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65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5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6"/>
        </w:rPr>
        <w:t>Universidad Peruana Unión</w:t>
      </w:r>
    </w:p>
    <w:p>
      <w:pPr>
        <w:jc w:val="center"/>
      </w:pPr>
      <w:r>
        <w:rPr>
          <w:b w:val="0"/>
          <w:color w:val="5B6B8C"/>
          <w:sz w:val="22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2"/>
        </w:rPr>
        <w:t>E.P. de Ingeniería de Sistemas</w:t>
      </w:r>
    </w:p>
    <w:p/>
    <w:p>
      <w:pPr>
        <w:jc w:val="center"/>
      </w:pPr>
      <w:r>
        <w:rPr>
          <w:b/>
          <w:color w:val="1F4E79"/>
          <w:sz w:val="34"/>
        </w:rPr>
        <w:t>INFORME DE VALIDACIÓN INTERNA, VALIDACIÓN EXTERNA</w:t>
        <w:br/>
        <w:t>Y CONFIABILIDAD DE LOS RESULTADOS</w:t>
      </w:r>
    </w:p>
    <w:p>
      <w:pPr>
        <w:spacing w:before="160"/>
        <w:jc w:val="center"/>
      </w:pPr>
      <w:r>
        <w:rPr>
          <w:i/>
          <w:color w:val="5B6B8C"/>
          <w:sz w:val="23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26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8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26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Asesores</w:t>
            </w:r>
          </w:p>
        </w:tc>
        <w:tc>
          <w:tcPr>
            <w:tcW w:type="dxa" w:w="708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 · Ing. Fernando Manuel Asin Gómez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>
      <w:pPr>
        <w:spacing w:before="400"/>
        <w:jc w:val="center"/>
      </w:pPr>
      <w:r>
        <w:rPr>
          <w:color w:val="5B6B8C"/>
          <w:sz w:val="21"/>
        </w:rPr>
        <w:t>Lima, agosto de 2026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1.  </w:t>
      </w:r>
      <w:r>
        <w:rPr>
          <w:b/>
          <w:color w:val="131B2E"/>
          <w:sz w:val="28"/>
        </w:rPr>
        <w:t>Estado general de los resultados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Se evaluó de forma rigurosa si los resultados obtenidos son </w:t>
      </w:r>
      <w:r>
        <w:rPr>
          <w:b/>
          <w:i w:val="0"/>
          <w:color w:val="131B2E"/>
          <w:sz w:val="20"/>
        </w:rPr>
        <w:t>válidos y confiables</w:t>
      </w:r>
      <w:r>
        <w:rPr>
          <w:b w:val="0"/>
          <w:i w:val="0"/>
          <w:color w:val="131B2E"/>
          <w:sz w:val="20"/>
        </w:rPr>
        <w:t>, aplicando los tres criterios solicitados. Cada criterio indica qué se abordó de manera concreta, qué parcialmente y qué no se abordó.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153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Síntesis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interna</w:t>
            </w:r>
          </w:p>
        </w:tc>
        <w:tc>
          <w:tcPr>
            <w:tcW w:type="dxa" w:w="153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Controles anti-fuga reales y verificados, pero el modelo final se eligió observando el conjunto de prueba</w:t>
            </w:r>
          </w:p>
        </w:tc>
      </w:tr>
      <w:tr>
        <w:tc>
          <w:tcPr>
            <w:tcW w:type="dxa" w:w="215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externa</w:t>
            </w:r>
          </w:p>
        </w:tc>
        <w:tc>
          <w:tcPr>
            <w:tcW w:type="dxa" w:w="153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5669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Medida en operación real y refutada: el error sobre tráfico legítimo intenso es 5 veces el de laboratorio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53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ALTA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Resultados reproducibles: al repetir la evaluación se obtienen exactamente las mismas cifras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Lectura general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Los resultados </w:t>
            </w:r>
            <w:r>
              <w:rPr>
                <w:b/>
                <w:color w:val="131B2E"/>
                <w:sz w:val="19"/>
              </w:rPr>
              <w:t>sí sostienen</w:t>
            </w:r>
            <w:r>
              <w:rPr>
                <w:b w:val="0"/>
                <w:color w:val="131B2E"/>
                <w:sz w:val="19"/>
              </w:rPr>
              <w:t xml:space="preserve"> que el sistema detecta y bloquea ataques reales en tiempo real (detección del </w:t>
            </w:r>
            <w:r>
              <w:rPr>
                <w:b/>
                <w:color w:val="131B2E"/>
                <w:sz w:val="19"/>
              </w:rPr>
              <w:t>88.8 %</w:t>
            </w:r>
            <w:r>
              <w:rPr>
                <w:b w:val="0"/>
                <w:color w:val="131B2E"/>
                <w:sz w:val="19"/>
              </w:rPr>
              <w:t xml:space="preserve"> sobre ataques genuinos, ROC-AUC de </w:t>
            </w:r>
            <w:r>
              <w:rPr>
                <w:b/>
                <w:color w:val="131B2E"/>
                <w:sz w:val="19"/>
              </w:rPr>
              <w:t>0,974</w:t>
            </w:r>
            <w:r>
              <w:rPr>
                <w:b w:val="0"/>
                <w:color w:val="131B2E"/>
                <w:sz w:val="19"/>
              </w:rPr>
              <w:t xml:space="preserve">, bloqueo en una mediana de </w:t>
            </w:r>
            <w:r>
              <w:rPr>
                <w:b/>
                <w:color w:val="131B2E"/>
                <w:sz w:val="19"/>
              </w:rPr>
              <w:t>8 segundos</w:t>
            </w:r>
            <w:r>
              <w:rPr>
                <w:b w:val="0"/>
                <w:color w:val="131B2E"/>
                <w:sz w:val="19"/>
              </w:rPr>
              <w:t xml:space="preserve">). </w:t>
            </w:r>
            <w:r>
              <w:rPr>
                <w:b/>
                <w:color w:val="131B2E"/>
                <w:sz w:val="19"/>
              </w:rPr>
              <w:t>No sostienen todavía</w:t>
            </w:r>
            <w:r>
              <w:rPr>
                <w:b w:val="0"/>
                <w:color w:val="131B2E"/>
                <w:sz w:val="19"/>
              </w:rPr>
              <w:t xml:space="preserve"> que lo haga sin penalizar el tráfico legítimo intenso. La debilidad principal no está en la ingeniería del sistema, sino en el diseño estadístico de la evaluación.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2.  </w:t>
      </w:r>
      <w:r>
        <w:rPr>
          <w:b/>
          <w:color w:val="131B2E"/>
          <w:sz w:val="28"/>
        </w:rPr>
        <w:t>Validación interna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obtenidos se deben realmente a lo que el estudio dice haber probado?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verificable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fuga de datos entre particiones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Auditoría automática: ningún episodio se reparte entre entrenamiento, validación y prueba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información futura en las variables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unitaria: un evento posterior no altera una ventana ya cerrada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Umbral fijado antes de ver la prueba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Cuantil α = 0,05 solo sobre validación (k = 13, n = 273); el escalador se ajusta solo con entrenamiento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en un solo paso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reentrenar tras ver resultados; registro sellado con hash del calibrador y del repositorio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Detección de una fuga propia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Un experimento con selección contaminada fue identificado y marcado como “no debe citarse”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Análisis de sensibilidad.</w:t>
      </w:r>
      <w:r>
        <w:rPr>
          <w:b w:val="0"/>
          <w:color w:val="131B2E"/>
          <w:sz w:val="20"/>
        </w:rPr>
        <w:t xml:space="preserve"> Se ejecutó con 10 semillas, ponderación por episodio y colapso de duplicados, pero </w:t>
      </w:r>
      <w:r>
        <w:rPr>
          <w:b/>
          <w:color w:val="131B2E"/>
          <w:sz w:val="20"/>
        </w:rPr>
        <w:t>solo sobre los modelos descartados</w:t>
      </w:r>
      <w:r>
        <w:rPr>
          <w:b w:val="0"/>
          <w:color w:val="131B2E"/>
          <w:sz w:val="20"/>
        </w:rPr>
        <w:t>. El modelo finalmente elegido no recibió ninguna prueba de estabilidad.</w:t>
      </w:r>
    </w:p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Selección del modelo sin contaminar la prueba.</w:t>
      </w:r>
      <w:r>
        <w:rPr>
          <w:b w:val="0"/>
          <w:color w:val="131B2E"/>
          <w:sz w:val="20"/>
        </w:rPr>
        <w:t xml:space="preserve"> El modelo se eligió después de observar su desempeño en el conjunto de prueba. El registro del proyecto documenta que ese modelo estaba designado como “comparador” y que la política prohibía promoverlo por ganar una métrica posterior. En consecuencia, el </w:t>
      </w:r>
      <w:r>
        <w:rPr>
          <w:b/>
          <w:color w:val="131B2E"/>
          <w:sz w:val="20"/>
        </w:rPr>
        <w:t>88.3 %</w:t>
      </w:r>
      <w:r>
        <w:rPr>
          <w:b w:val="0"/>
          <w:color w:val="131B2E"/>
          <w:sz w:val="20"/>
        </w:rPr>
        <w:t xml:space="preserve"> de detección es el máximo entre </w:t>
      </w:r>
      <w:r>
        <w:rPr>
          <w:b/>
          <w:color w:val="131B2E"/>
          <w:sz w:val="20"/>
        </w:rPr>
        <w:t>7 candidatos</w:t>
      </w:r>
      <w:r>
        <w:rPr>
          <w:b w:val="0"/>
          <w:color w:val="131B2E"/>
          <w:sz w:val="20"/>
        </w:rPr>
        <w:t xml:space="preserve"> evaluados sobre los mismos datos, sin conjunto reservado que permita una estimación sin sesgo optimista.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Pruebas de significancia estadística.</w:t>
      </w:r>
      <w:r>
        <w:rPr>
          <w:b w:val="0"/>
          <w:color w:val="131B2E"/>
          <w:sz w:val="20"/>
        </w:rPr>
        <w:t xml:space="preserve"> Ejecutadas: McNemar exacto por pares con corrección de Holm-Bonferroni sobre las 21 comparaciones. Las </w:t>
      </w:r>
      <w:r>
        <w:rPr>
          <w:b/>
          <w:color w:val="131B2E"/>
          <w:sz w:val="20"/>
        </w:rPr>
        <w:t>seis del OCSVM son significativas sin excepción</w:t>
      </w:r>
      <w:r>
        <w:rPr>
          <w:b w:val="0"/>
          <w:color w:val="131B2E"/>
          <w:sz w:val="20"/>
        </w:rPr>
        <w:t xml:space="preserve">; en cambio </w:t>
      </w:r>
      <w:r>
        <w:rPr>
          <w:b/>
          <w:color w:val="131B2E"/>
          <w:sz w:val="20"/>
        </w:rPr>
        <w:t>ninguna diferencia de falso positivo lo es</w:t>
      </w:r>
      <w:r>
        <w:rPr>
          <w:b w:val="0"/>
          <w:color w:val="131B2E"/>
          <w:sz w:val="20"/>
        </w:rPr>
        <w:t>, así que afirmar que un modelo comete menos falsos positivos que otro no está respaldado.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3.  </w:t>
      </w:r>
      <w:r>
        <w:rPr>
          <w:b/>
          <w:color w:val="131B2E"/>
          <w:sz w:val="28"/>
        </w:rPr>
        <w:t>Validación externa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se generalizan a otros contextos, poblaciones o condiciones de uso?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midió el sistema completo en operación real</w:t>
      </w:r>
      <w:r>
        <w:rPr>
          <w:b w:val="0"/>
          <w:color w:val="131B2E"/>
          <w:sz w:val="20"/>
        </w:rPr>
        <w:t>, no solo el modelo en laboratorio: 2 pases de 29 corridas más 2 pruebas de aislamiento, con motor y bloqueo activos.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Ataques genuinos</w:t>
      </w:r>
      <w:r>
        <w:rPr>
          <w:b w:val="0"/>
          <w:color w:val="131B2E"/>
          <w:sz w:val="20"/>
        </w:rPr>
        <w:t xml:space="preserve"> desde una máquina atacante real en 6 familias distintas, no simulados por inyección de datos.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declaró la procedencia heterogénea</w:t>
      </w:r>
      <w:r>
        <w:rPr>
          <w:b w:val="0"/>
          <w:color w:val="131B2E"/>
          <w:sz w:val="20"/>
        </w:rPr>
        <w:t xml:space="preserve"> de los datos de ataque: 161 ventanas reales y 18 heredadas, reportadas por separado (</w:t>
      </w:r>
      <w:r>
        <w:rPr>
          <w:b/>
          <w:color w:val="131B2E"/>
          <w:sz w:val="20"/>
        </w:rPr>
        <w:t>88.8 %</w:t>
      </w:r>
      <w:r>
        <w:rPr>
          <w:b w:val="0"/>
          <w:color w:val="131B2E"/>
          <w:sz w:val="20"/>
        </w:rPr>
        <w:t xml:space="preserve"> frente a </w:t>
      </w:r>
      <w:r>
        <w:rPr>
          <w:b/>
          <w:color w:val="131B2E"/>
          <w:sz w:val="20"/>
        </w:rPr>
        <w:t>83,3 %</w:t>
      </w:r>
      <w:r>
        <w:rPr>
          <w:b w:val="0"/>
          <w:color w:val="131B2E"/>
          <w:sz w:val="20"/>
        </w:rPr>
        <w:t>).</w:t>
      </w:r>
    </w:p>
    <w:p>
      <w:pPr>
        <w:spacing w:before="200" w:after="60"/>
      </w:pPr>
      <w:r>
        <w:rPr>
          <w:b/>
          <w:color w:val="B91C1C"/>
          <w:sz w:val="22"/>
        </w:rPr>
        <w:t>✘  Resultado que refuta la generalización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Es el hallazgo más importante del informe y se reporta aunque sea desfavorable: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Condición de medición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Falsos positivos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Laboratorio (conjunto de prueba)</w:t>
            </w:r>
          </w:p>
        </w:tc>
        <w:tc>
          <w:tcPr>
            <w:tcW w:type="dxa" w:w="2835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4.71 %  (13/276)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2,8 % – 7,9 %</w:t>
            </w:r>
          </w:p>
        </w:tc>
      </w:tr>
      <w:tr>
        <w:tc>
          <w:tcPr>
            <w:tcW w:type="dxa" w:w="368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1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25,8 %  (16/62)</w:t>
            </w:r>
          </w:p>
        </w:tc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16,6 % – 37,9 %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2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23,0 %  (17/74)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14,9 % – 33,7 %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95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B8C"/>
          <w:sz w:val="17"/>
        </w:rPr>
        <w:t>Figura 1. Intervalos de Wilson descriptivos; las ventanas comparten episodio e historia, por lo que el gráfico no prueba por sí solo una diferencia inferencial.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BE3E1"/>
          </w:tcPr>
          <w:p>
            <w:r/>
            <w:r>
              <w:rPr>
                <w:b/>
                <w:color w:val="B91C1C"/>
                <w:sz w:val="20"/>
              </w:rPr>
              <w:t>Evidencia adicional en aislamiento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Se reprodujo </w:t>
            </w:r>
            <w:r>
              <w:rPr>
                <w:b/>
                <w:color w:val="131B2E"/>
                <w:sz w:val="19"/>
              </w:rPr>
              <w:t>sin contaminación entre pruebas</w:t>
            </w:r>
            <w:r>
              <w:rPr>
                <w:b w:val="0"/>
                <w:color w:val="131B2E"/>
                <w:sz w:val="19"/>
              </w:rPr>
              <w:t xml:space="preserve">: una transferencia legítima de 200 Mbit/s generó una ventana que cruzó el umbral y </w:t>
            </w:r>
            <w:r>
              <w:rPr>
                <w:b/>
                <w:color w:val="131B2E"/>
                <w:sz w:val="19"/>
              </w:rPr>
              <w:t>bloqueó a un cliente legítimo durante 120 segundos</w:t>
            </w:r>
            <w:r>
              <w:rPr>
                <w:b w:val="0"/>
                <w:color w:val="131B2E"/>
                <w:sz w:val="19"/>
              </w:rPr>
              <w:t xml:space="preserve">. Otra ventana de la misma transferencia se permitió por apenas </w:t>
            </w:r>
            <w:r>
              <w:rPr>
                <w:b/>
                <w:color w:val="131B2E"/>
                <w:sz w:val="19"/>
              </w:rPr>
              <w:t>0,0014 puntos</w:t>
            </w:r>
            <w:r>
              <w:rPr>
                <w:b w:val="0"/>
                <w:color w:val="131B2E"/>
                <w:sz w:val="19"/>
              </w:rPr>
              <w:t xml:space="preserve"> de score, lo que indica que el tráfico legítimo intenso cae dentro del margen de decisión del modelo.</w:t>
            </w:r>
          </w:p>
        </w:tc>
      </w:tr>
    </w:tbl>
    <w:p/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Partición por sesiones independientes.</w:t>
      </w:r>
      <w:r>
        <w:rPr>
          <w:b w:val="0"/>
          <w:color w:val="131B2E"/>
          <w:sz w:val="20"/>
        </w:rPr>
        <w:t xml:space="preserve"> La división se hizo por índice de repetición, por lo que los </w:t>
      </w:r>
      <w:r>
        <w:rPr>
          <w:b/>
          <w:color w:val="131B2E"/>
          <w:sz w:val="20"/>
        </w:rPr>
        <w:t>44 perfiles</w:t>
      </w:r>
      <w:r>
        <w:rPr>
          <w:b w:val="0"/>
          <w:color w:val="131B2E"/>
          <w:sz w:val="20"/>
        </w:rPr>
        <w:t xml:space="preserve"> de tráfico aparecen en las tres particiones: se mide repetibilidad del escenario, no generalización a tráfico no visto.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Jornada de validación temporal externa.</w:t>
      </w:r>
      <w:r>
        <w:rPr>
          <w:b w:val="0"/>
          <w:color w:val="131B2E"/>
          <w:sz w:val="20"/>
        </w:rPr>
        <w:t xml:space="preserve"> No existe un conjunto capturado en fecha distinta y reservado sin participar en entrenamiento ni calibración.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Diversidad de escenarios.</w:t>
      </w:r>
      <w:r>
        <w:rPr>
          <w:b w:val="0"/>
          <w:color w:val="131B2E"/>
          <w:sz w:val="20"/>
        </w:rPr>
        <w:t xml:space="preserve"> Faltan seis escenarios legítimos previstos (SSH, SCP/SFTP, SMB, respaldo, streaming y actualizaciones) y no hay captura multi-sistema-operativo.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4.  </w:t>
      </w:r>
      <w:r>
        <w:rPr>
          <w:b/>
          <w:color w:val="131B2E"/>
          <w:sz w:val="28"/>
        </w:rPr>
        <w:t>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¿Repetir el procedimiento produce los mismos resultados?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verificada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congelado se obtuvieron exactamente las mismas cifras del registro original (13/276 y 158/179)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de artefactos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programa de calibración; repositorio verificado limpio antes y después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330 registros de cambios · 181 documentos de campañas · 162 revisiones independientes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operativa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Cero caídas registradas en 58 corridas (55 verificadas), sin pérdida de paquetes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Consistencia entre repeticiones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Los dos pases de validación operativa dieron resultados equivalentes (25,8 % y 23,0 %)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Cuantificación de la incertidumbre.</w:t>
      </w:r>
      <w:r>
        <w:rPr>
          <w:b w:val="0"/>
          <w:i w:val="0"/>
          <w:color w:val="131B2E"/>
          <w:sz w:val="20"/>
        </w:rPr>
        <w:t xml:space="preserve"> El trabajo original no calculó ninguna medida de dispersión. Se incorporan en este informe </w:t>
      </w:r>
      <w:r>
        <w:rPr>
          <w:b/>
          <w:i w:val="0"/>
          <w:color w:val="131B2E"/>
          <w:sz w:val="20"/>
        </w:rPr>
        <w:t>intervalos de confianza de Wilson al 95 %</w:t>
      </w:r>
      <w:r>
        <w:rPr>
          <w:b w:val="0"/>
          <w:i w:val="0"/>
          <w:color w:val="131B2E"/>
          <w:sz w:val="20"/>
        </w:rPr>
        <w:t>, que revelan un problema que las cifras puntuales ocultaban: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Cifra reportada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 real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50 % de detección en fuerza bruta (3/6)</w:t>
            </w:r>
          </w:p>
        </w:tc>
        <w:tc>
          <w:tcPr>
            <w:tcW w:type="dxa" w:w="255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18,8 % – 81,2 %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 n = 6 no sostiene ninguna conclusión</w:t>
            </w:r>
          </w:p>
        </w:tc>
      </w:tr>
      <w:tr>
        <w:tc>
          <w:tcPr>
            <w:tcW w:type="dxa" w:w="368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55,2 % en password-spray (16/29)</w:t>
            </w:r>
          </w:p>
        </w:tc>
        <w:tc>
          <w:tcPr>
            <w:tcW w:type="dxa" w:w="255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37,5 % – 71,6 %</w:t>
            </w:r>
          </w:p>
        </w:tc>
        <w:tc>
          <w:tcPr>
            <w:tcW w:type="dxa" w:w="311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 muy amplio; conclusión débil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88.3 % de detección global (158/179)</w:t>
            </w:r>
          </w:p>
        </w:tc>
        <w:tc>
          <w:tcPr>
            <w:tcW w:type="dxa" w:w="255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82,7 % – 92,2 %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Sólido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Repetición del experimento de modelado.</w:t>
      </w:r>
      <w:r>
        <w:rPr>
          <w:b w:val="0"/>
          <w:color w:val="131B2E"/>
          <w:sz w:val="20"/>
        </w:rPr>
        <w:t xml:space="preserve"> La calibración se ejecutó una sola vez; no hay repeticiones independientes que permitan estimar la variabilidad del umbral.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Confiabilidad inter-evaluador.</w:t>
      </w:r>
      <w:r>
        <w:rPr>
          <w:b w:val="0"/>
          <w:color w:val="131B2E"/>
          <w:sz w:val="20"/>
        </w:rPr>
        <w:t xml:space="preserve"> No aplica al diseño actual, que no emplea jueces ni instrumentos de percepción.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5.  </w:t>
      </w:r>
      <w:r>
        <w:rPr>
          <w:b/>
          <w:color w:val="131B2E"/>
          <w:sz w:val="28"/>
        </w:rPr>
        <w:t>Qué falta y cómo se abordará con el tiempo disponible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Ordenado por relación entre costo y beneficio. </w:t>
      </w:r>
      <w:r>
        <w:rPr>
          <w:b/>
          <w:i w:val="0"/>
          <w:color w:val="131B2E"/>
          <w:sz w:val="20"/>
        </w:rPr>
        <w:t>Ninguna acción de los bloques A y B requiere capturar datos nuevos.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81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Corrige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Declarada la selección posterior del modelo; intervalos de confianza en toda proporción; error operativo reportado junto al de laboratorio; diccionario de las 28 variables publicado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Interna · Confiabilidad · Externa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Ablación por capas y comparación 14 vs. 28, y prueba de significancia entre modelos (McNemar con corrección de Holm)</w:t>
            </w:r>
          </w:p>
        </w:tc>
        <w:tc>
          <w:tcPr>
            <w:tcW w:type="dxa" w:w="181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 · Interna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 por episodio y banda del umbral por remuestreo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usuarios: prueba de usabilidad con 5–8 evaluadores</w:t>
            </w:r>
          </w:p>
        </w:tc>
        <w:tc>
          <w:tcPr>
            <w:tcW w:type="dxa" w:w="181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futuro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Jornada nueva como holdout temporal y recalibración con tráfico legítimo intenso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36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Semanas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Compromiso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 pendiente de </w:t>
            </w:r>
            <w:r>
              <w:rPr>
                <w:b/>
                <w:color w:val="131B2E"/>
                <w:sz w:val="19"/>
              </w:rPr>
              <w:t>horas y días</w:t>
            </w:r>
            <w:r>
              <w:rPr>
                <w:b w:val="0"/>
                <w:color w:val="131B2E"/>
                <w:sz w:val="19"/>
              </w:rPr>
              <w:t xml:space="preserve"> se ejecuta antes de cerrar la tesis. Lo de </w:t>
            </w:r>
            <w:r>
              <w:rPr>
                <w:b/>
                <w:color w:val="131B2E"/>
                <w:sz w:val="19"/>
              </w:rPr>
              <w:t>semanas</w:t>
            </w:r>
            <w:r>
              <w:rPr>
                <w:b w:val="0"/>
                <w:color w:val="131B2E"/>
                <w:sz w:val="19"/>
              </w:rPr>
              <w:t xml:space="preserve"> se declara como trabajo futuro, indicando con precisión qué quedaría por demostrar.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6.  </w:t>
      </w:r>
      <w:r>
        <w:rPr>
          <w:b/>
          <w:color w:val="131B2E"/>
          <w:sz w:val="28"/>
        </w:rPr>
        <w:t>Conclusión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Los resultados sostienen una afirmación </w:t>
      </w:r>
      <w:r>
        <w:rPr>
          <w:b/>
          <w:i w:val="0"/>
          <w:color w:val="131B2E"/>
          <w:sz w:val="20"/>
        </w:rPr>
        <w:t>acotada y verdadera</w:t>
      </w:r>
      <w:r>
        <w:rPr>
          <w:b w:val="0"/>
          <w:i w:val="0"/>
          <w:color w:val="131B2E"/>
          <w:sz w:val="20"/>
        </w:rPr>
        <w:t>: se demostró la viabilidad de detectar comportamientos anómalos y ejercer control en línea en tiempo real sobre una red real, con capacidad discriminante alta (</w:t>
      </w:r>
      <w:r>
        <w:rPr>
          <w:b/>
          <w:i w:val="0"/>
          <w:color w:val="131B2E"/>
          <w:sz w:val="20"/>
        </w:rPr>
        <w:t>ROC-AUC = 0,974</w:t>
      </w:r>
      <w:r>
        <w:rPr>
          <w:b w:val="0"/>
          <w:i w:val="0"/>
          <w:color w:val="131B2E"/>
          <w:sz w:val="20"/>
        </w:rPr>
        <w:t xml:space="preserve">), detección del 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sobre ataques genuinos y bloqueo en una mediana de </w:t>
      </w:r>
      <w:r>
        <w:rPr>
          <w:b/>
          <w:i w:val="0"/>
          <w:color w:val="131B2E"/>
          <w:sz w:val="20"/>
        </w:rPr>
        <w:t>8 segundos</w:t>
      </w:r>
      <w:r>
        <w:rPr>
          <w:b w:val="0"/>
          <w:i w:val="0"/>
          <w:color w:val="131B2E"/>
          <w:sz w:val="20"/>
        </w:rPr>
        <w:t>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No sostienen todavía que el sistema sea apto para operación desatendida: sobre tráfico legítimo de alto volumen el error alcanza </w:t>
      </w:r>
      <w:r>
        <w:rPr>
          <w:b/>
          <w:i w:val="0"/>
          <w:color w:val="131B2E"/>
          <w:sz w:val="20"/>
        </w:rPr>
        <w:t>23–26 %</w:t>
      </w:r>
      <w:r>
        <w:rPr>
          <w:b w:val="0"/>
          <w:i w:val="0"/>
          <w:color w:val="131B2E"/>
          <w:sz w:val="20"/>
        </w:rPr>
        <w:t xml:space="preserve">. Esa limitación </w:t>
      </w:r>
      <w:r>
        <w:rPr>
          <w:b/>
          <w:i w:val="0"/>
          <w:color w:val="131B2E"/>
          <w:sz w:val="20"/>
        </w:rPr>
        <w:t>está medida, cuantificada y declarada</w:t>
      </w:r>
      <w:r>
        <w:rPr>
          <w:b w:val="0"/>
          <w:i w:val="0"/>
          <w:color w:val="131B2E"/>
          <w:sz w:val="20"/>
        </w:rPr>
        <w:t>, que es la condición que la hace defendible ante una revisión por pares.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inferencia </w:t>
      </w:r>
      <w:r>
        <w:rPr>
          <w:b/>
          <w:i w:val="0"/>
          <w:color w:val="131B2E"/>
          <w:sz w:val="20"/>
        </w:rPr>
        <w:t>quedó corregida</w:t>
      </w:r>
      <w:r>
        <w:rPr>
          <w:b w:val="0"/>
          <w:i w:val="0"/>
          <w:color w:val="131B2E"/>
          <w:sz w:val="20"/>
        </w:rPr>
        <w:t>: selección posterior declarada, intervalos de confianza en toda proporción, ablación ejecutada y pruebas de significancia añadidas. Queda una ausencia y una limitación, de naturaleza distinta.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La ausencia es la pertinencia</w:t>
      </w:r>
      <w:r>
        <w:rPr>
          <w:b w:val="0"/>
          <w:i w:val="0"/>
          <w:color w:val="131B2E"/>
          <w:sz w:val="20"/>
        </w:rPr>
        <w:t xml:space="preserve">: nadie externo ha usado el sistema. Una prueba de usabilidad con 5–8 evaluadores la convierte en evidencia. </w:t>
      </w:r>
      <w:r>
        <w:rPr>
          <w:b/>
          <w:i w:val="0"/>
          <w:color w:val="131B2E"/>
          <w:sz w:val="20"/>
        </w:rPr>
        <w:t>La limitación es el falso positivo sobre tráfico legítimo pesado</w:t>
      </w:r>
      <w:r>
        <w:rPr>
          <w:b w:val="0"/>
          <w:i w:val="0"/>
          <w:color w:val="131B2E"/>
          <w:sz w:val="20"/>
        </w:rPr>
        <w:t>, y esa no se corrige documentándola: exige recalibrar el umbral con ese tráfico como normalidad y repetir la validación operativa.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Campbell, D. T., &amp; Stanley, J. C. (1963).</w:t>
      </w:r>
      <w:r>
        <w:rPr>
          <w:b w:val="0"/>
          <w:color w:val="131B2E"/>
          <w:sz w:val="20"/>
        </w:rPr>
        <w:t xml:space="preserve"> Experimental and quasi-experimental designs for research. Rand McNally. — Marco de validez interna y externa aplicado en las secciones 2 y 3.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de los intervalos de confianza.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alpha. Psychometrika, 16(3), 297–334. — No aplicable: el producto no emplea instrumentos psicométricos.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Kapoor, S., &amp; Narayanan, A. (2023).</w:t>
      </w:r>
      <w:r>
        <w:rPr>
          <w:b w:val="0"/>
          <w:color w:val="131B2E"/>
          <w:sz w:val="20"/>
        </w:rPr>
        <w:t xml:space="preserve"> Leakage and the reproducibility crisis in ML-based science. Patterns, 4(9), 100804. — Sesgo por selección sobre el conjunto de prueba.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SQuaRE — System and software quality models. — Correspondencia detallada en la ficha de auditoría del producto.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 de validación y confiabilidad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Análisis completo con las 11 figuras y los 7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Datasheet del corpus: procedencia, calidad y límites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cruzada por episodio y banda del umbral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746"/>
      </w:tabs>
    </w:pPr>
    <w:r/>
    <w:r>
      <w:rPr>
        <w:color w:val="5B6B8C"/>
        <w:sz w:val="14"/>
      </w:rPr>
      <w:t>Informe de validación y confiabilidad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marksato13/VF-Sistema-Open-Source-para-la-Deteccion-Temprana-de-Comportamientos-Anomalos-en-Redes-de-Datos/blob/main/docs/entregables/02-validacion-y-confiabilidad/informe-validacion-confiabilidad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dataset/DATASHEET_MULTILAYER_V2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9-validacion-cruzada-y-estabilidad.md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validación y confiabilidad</dc:title>
  <dc:subject>Validación interna, externa y confiabilidad del sistema de detección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