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607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5"/>
        </w:rPr>
        <w:t>Universidad Peruana Unión</w:t>
      </w:r>
    </w:p>
    <w:p>
      <w:pPr>
        <w:jc w:val="center"/>
      </w:pPr>
      <w:r>
        <w:rPr>
          <w:b w:val="0"/>
          <w:color w:val="5B6B8C"/>
          <w:sz w:val="21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1"/>
        </w:rPr>
        <w:t>E.P. de Ingeniería de Sistemas</w:t>
      </w:r>
    </w:p>
    <w:p/>
    <w:p>
      <w:pPr>
        <w:jc w:val="center"/>
      </w:pPr>
      <w:r>
        <w:rPr>
          <w:b/>
          <w:color w:val="1F4E79"/>
          <w:sz w:val="38"/>
        </w:rPr>
        <w:t>FICHA DE AUDITORÍA</w:t>
        <w:br/>
        <w:t>DEL PRODUCTO DE INGENIERÍA VALIDADO</w:t>
      </w:r>
    </w:p>
    <w:p>
      <w:pPr>
        <w:spacing w:before="160"/>
        <w:jc w:val="center"/>
      </w:pPr>
      <w:r>
        <w:rPr>
          <w:i/>
          <w:color w:val="5B6B8C"/>
          <w:sz w:val="22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204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Producto auditado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de detección de anomalías de red con control inline, desplegado en laboratorio virtualizado (VM02)</w:t>
            </w:r>
          </w:p>
        </w:tc>
      </w:tr>
      <w:tr>
        <w:tc>
          <w:tcPr>
            <w:tcW w:type="dxa" w:w="204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3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04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3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DECD2"/>
          </w:tcPr>
          <w:p>
            <w:r/>
            <w:r>
              <w:rPr>
                <w:b/>
                <w:color w:val="B45309"/>
                <w:sz w:val="20"/>
              </w:rPr>
              <w:t>Nota sobre la rúbrica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escala y los ítems son una </w:t>
            </w:r>
            <w:r>
              <w:rPr>
                <w:b/>
                <w:color w:val="131B2E"/>
                <w:sz w:val="19"/>
              </w:rPr>
              <w:t>reconstrucción razonada</w:t>
            </w:r>
            <w:r>
              <w:rPr>
                <w:b w:val="0"/>
                <w:color w:val="131B2E"/>
                <w:sz w:val="19"/>
              </w:rPr>
              <w:t xml:space="preserve"> del ejercicio propuesto, porque no se dispuso del formato exacto de la ficha proyectada en clase. La estructura de tres dimensiones —confiabilidad, replicabilidad y pertinencia— y el cálculo de puntaje final sí corresponden a la consigna. Si el formato oficial difiere, los puntajes por ítem se trasladan sin recalcular la evidencia.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Procedimiento seguido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La consigna planteaba seis pasos. Se dejan explícitos para que pueda verificarse que se siguieron y no solo que se entregó la ficha: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1 — Conformación del equipo.</w:t>
      </w:r>
      <w:r>
        <w:rPr>
          <w:b w:val="0"/>
          <w:color w:val="131B2E"/>
          <w:sz w:val="20"/>
        </w:rPr>
        <w:t xml:space="preserve"> Rubén Mark Salazar Tocas y Uziel Elias Sauñe Fernandez, los mismos integrantes del proyecto auditado.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2 — Análisis del producto validado.</w:t>
      </w:r>
      <w:r>
        <w:rPr>
          <w:b w:val="0"/>
          <w:color w:val="131B2E"/>
          <w:sz w:val="20"/>
        </w:rPr>
        <w:t xml:space="preserve"> Se auditó el sistema realmente desplegado en VM02, no su especificación: motor de decisión, mecanismo de bloqueo y panel de observación.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3 — Evidencia de confiabilidad.</w:t>
      </w:r>
      <w:r>
        <w:rPr>
          <w:b w:val="0"/>
          <w:color w:val="131B2E"/>
          <w:sz w:val="20"/>
        </w:rPr>
        <w:t xml:space="preserve"> Las tres vías nombradas (Alfa, Kappa, validación cruzada) más las que corresponden a un sistema de software. → Sección 1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4 — Evidencia de replicabilidad.</w:t>
      </w:r>
      <w:r>
        <w:rPr>
          <w:b w:val="0"/>
          <w:color w:val="131B2E"/>
          <w:sz w:val="20"/>
        </w:rPr>
        <w:t xml:space="preserve"> Se comprobó ejecutando, no solo leyendo documentación, qué está publicado y qué no. → Sección 2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5 — Evidencia de pertinencia.</w:t>
      </w:r>
      <w:r>
        <w:rPr>
          <w:b w:val="0"/>
          <w:color w:val="131B2E"/>
          <w:sz w:val="20"/>
        </w:rPr>
        <w:t xml:space="preserve"> Se contrastó el producto con el problema declarado y con los requisitos comprometidos. → Sección 3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6 — Diligenciamiento y cálculo.</w:t>
      </w:r>
      <w:r>
        <w:rPr>
          <w:b w:val="0"/>
          <w:color w:val="131B2E"/>
          <w:sz w:val="20"/>
        </w:rPr>
        <w:t xml:space="preserve"> Puntuación ítem por ítem, subtotales y puntaje final. → Secciones 4 y 5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Cómo se realizó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Para que la ficha sea verificable y no una autoevaluación complaciente, se fijó de antemano qué se aceptaría como evidencia: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Solo cuenta lo que puede comprobar un tercero.</w:t>
      </w:r>
      <w:r>
        <w:rPr>
          <w:b w:val="0"/>
          <w:color w:val="131B2E"/>
          <w:sz w:val="20"/>
        </w:rPr>
        <w:t xml:space="preserve"> Una afirmación documentada pero no ejecutada se puntúa como declarada, nunca como completa.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verificó ejecutando, no leyendo.</w:t>
      </w:r>
      <w:r>
        <w:rPr>
          <w:b w:val="0"/>
          <w:color w:val="131B2E"/>
          <w:sz w:val="20"/>
        </w:rPr>
        <w:t xml:space="preserve"> La reproducibilidad se comprobó reevaluando el modelo congelado; la disponibilidad de datos, inspeccionando qué excluye el repositorio y cuánto ocupa cada artefacto.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Las cifras del proyecto no se transcriben a mano.</w:t>
      </w:r>
      <w:r>
        <w:rPr>
          <w:b w:val="0"/>
          <w:color w:val="131B2E"/>
          <w:sz w:val="20"/>
        </w:rPr>
        <w:t xml:space="preserve"> Se leen del manifiesto de calibración y de los registros de la validación operativa.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ausente se puntúa como ausente.</w:t>
      </w:r>
      <w:r>
        <w:rPr>
          <w:b w:val="0"/>
          <w:color w:val="131B2E"/>
          <w:sz w:val="20"/>
        </w:rPr>
        <w:t xml:space="preserve"> No se compensa una carencia con una fortaleza de otra dimensión.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que no aplica se excluye del cálculo</w:t>
      </w:r>
      <w:r>
        <w:rPr>
          <w:b w:val="0"/>
          <w:color w:val="131B2E"/>
          <w:sz w:val="20"/>
        </w:rPr>
        <w:t>, en vez de puntuarse con cero.</w:t>
      </w:r>
    </w:p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Escala de valoración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Puntos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635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02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Completo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y es verificable por un tercero</w:t>
            </w:r>
          </w:p>
        </w:tc>
      </w:tr>
      <w:tr>
        <w:tc>
          <w:tcPr>
            <w:tcW w:type="dxa" w:w="102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  <w:tc>
          <w:tcPr>
            <w:tcW w:type="dxa" w:w="170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635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pero con limitaciones declaradas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Solo declarado, sin evidencia sólida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  <w:tc>
          <w:tcPr>
            <w:tcW w:type="dxa" w:w="170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Ausente</w:t>
            </w:r>
          </w:p>
        </w:tc>
        <w:tc>
          <w:tcPr>
            <w:tcW w:type="dxa" w:w="635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abordó</w:t>
            </w:r>
          </w:p>
        </w:tc>
      </w:tr>
      <w:tr>
        <w:tc>
          <w:tcPr>
            <w:tcW w:type="dxa" w:w="1020"/>
            <w:shd w:val="clear" w:fill="F2F6FC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aplica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corresponde al tipo de producto (se excluye del cálculo)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Ficha de auditoría de validación — esquema del curso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Los seis criterios sobre 20 puntos de la Sesión 02. El análisis extenso de las secciones 1 a 3 los sustenta con 18 ítems sobre 51 puntos.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102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encontrada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Puntaje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estadística reportada (Alfa, Kappa u otra)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proporción, McNemar exacto con corrección de Holm sobre 21 comparaciones, ROC-AUC 0,974 y validación cruzada agrupada por episodio. Alfa no aplica: no hay escalas. Kappa no aplica: no hay jueces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 / 4</w:t>
            </w:r>
          </w:p>
        </w:tc>
      </w:tr>
      <w:tr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Método de validación de resultados declarado</w:t>
            </w:r>
          </w:p>
        </w:tc>
        <w:tc>
          <w:tcPr>
            <w:tcW w:type="dxa" w:w="5102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Hold-out con partición disjunta por episodio, umbral calibrado solo con validation y evaluación bloqueada de un solo paso, con validación cruzada por episodio que la respalda. Falta la jornada de holdout temporal externa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de sistema / determinismo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Reproducción bit a bit verificada: el umbral coincide en sus 16 dígitos y los 7 modelos reproducen el manifiesto. Las semillas aún no se declaran como protocolo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y/o código disponibles públicamente</w:t>
            </w:r>
          </w:p>
        </w:tc>
        <w:tc>
          <w:tcPr>
            <w:tcW w:type="dxa" w:w="5102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Dataset, manifiesto y los 7 modelos candidatos publicados, verificables con sha256sum -c, bajo licencias MIT y CC BY 4.0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y dependencias documentadas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de scikit-learn y numpy registradas en el manifiesto congelado, con script de instalación idempotente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 validada con usuarios o stakeholders reales</w:t>
            </w:r>
          </w:p>
        </w:tc>
        <w:tc>
          <w:tcPr>
            <w:tcW w:type="dxa" w:w="5102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ninguna. Es la única ausencia total del producto</w:t>
            </w:r>
          </w:p>
        </w:tc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/ 3</w:t>
            </w:r>
          </w:p>
        </w:tc>
      </w:tr>
      <w:tr>
        <w:tc>
          <w:tcPr>
            <w:tcW w:type="dxa" w:w="2835"/>
            <w:shd w:val="clear" w:fill="F2F6FC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 / 20  ·  80 %</w:t>
            </w:r>
          </w:p>
        </w:tc>
      </w:tr>
    </w:tbl>
    <w:p>
      <w:pPr>
        <w:spacing w:after="120"/>
        <w:jc w:val="both"/>
      </w:pPr>
      <w:r>
        <w:rPr>
          <w:b/>
          <w:i/>
          <w:color w:val="5B6B8C"/>
          <w:sz w:val="20"/>
        </w:rPr>
        <w:t>El único cero es la validación con personas.</w:t>
      </w:r>
      <w:r>
        <w:rPr>
          <w:b w:val="0"/>
          <w:i/>
          <w:color w:val="5B6B8C"/>
          <w:sz w:val="20"/>
        </w:rPr>
        <w:t xml:space="preserve"> No se corrige documentando: exige evaluadores usando el panel. Una prueba de usabilidad con 5–8 participantes lo convierte en evidencia y eleva el total a 19 de 20.</w:t>
      </w:r>
    </w:p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1.  Evidencia de 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son estables y consistentes al repetir la medición?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Alfa de Cronbach (consistencia interna)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producto no emplea cuestionarios ni escalas psicométricas; no hay ítems que correlacionar</w:t>
            </w:r>
          </w:p>
        </w:tc>
        <w:tc>
          <w:tcPr>
            <w:tcW w:type="dxa" w:w="680"/>
            <w:shd w:val="clear" w:fill="F2F6FC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Kappa de Cohen (acuerdo inter-evaluador)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evaluación por jueces ni doble etiquetado independiente; las etiquetas provienen del diseño experimental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Ejecutada sobre el pipeline StandardScaler + OCSVM, agrupada por episodio normal en 5 pliegues: la detección varió entre 78,8 % y 89,4 %. Reutiliza las mismas anomalías; es evidencia interna, no externa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1.4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de la medición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se obtuvieron exactamente las cifras originales (13/276 y 158/179)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entre repeticiones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Bootstrap agrupado por episodio del umbral con B = 1 000: coeficiente de variación 4,10 % y banda percentil 95 % [1,6496–1,8132]. Los pases operativos comparten infraestructura y no son réplicas independientes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Cuantificación de la incertidumbre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 y prueba de significancia entre modelos: McNemar exacto con corrección de Holm-Bonferroni sobre las 21 comparaciones por pares. Los intervalos por ventana son descriptivos porque las ventanas de un episodio comparten historia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12 / 15 puntos  =  80.0 %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La cuantificación de la incertidumbre pasó de parcial a completa: toda proporción lleva intervalo de Wilson y las comparaciones entre modelos tienen prueba de significancia. La validación cruzada y la estabilidad del umbral son internas al mismo laboratorio; falta una jornada externa. El acuerdo inter-evaluador no aplica porque el diseño no contempla jueces.</w:t>
      </w:r>
    </w:p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2.  Evidencia de REPLICABILIDAD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¿Puede un tercero reconstruir el estudio y obtener lo mismo?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Código disponible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Repositorio público con 625 archivos versionados y 382 registros de cambios trazables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disponibles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Publicados: dataset, manifiesto y los 7 modelos candidatos, con checksums verificables por sha256sum -c y licencias MIT para el código y CC BY 4.0 para los datos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documentado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fijadas, script de instalación idempotente y playbooks de Ansible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Determinismo y semillas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Protocolo documentado y verificación de 10 ajustes repetidos del pipeline elegido que producen el mismo SHA-256 y el mismo umbral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calibrador; repositorio verificado limpio antes y después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Instrucciones de reproducción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datasheet documenta descarga, verificación de hashes y regeneración; el despliegue cuenta con scripts y playbooks versionados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18 / 18 puntos  =  100.0 %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Es la dimensión </w:t>
      </w:r>
      <w:r>
        <w:rPr>
          <w:b/>
          <w:i w:val="0"/>
          <w:color w:val="131B2E"/>
          <w:sz w:val="20"/>
        </w:rPr>
        <w:t>más fuerte</w:t>
      </w:r>
      <w:r>
        <w:rPr>
          <w:b w:val="0"/>
          <w:i w:val="0"/>
          <w:color w:val="131B2E"/>
          <w:sz w:val="20"/>
        </w:rPr>
        <w:t xml:space="preserve"> del producto, y la que más subió: la publicación del dataset y de los siete modelos con checksums y licencias cerró la única brecha que quedaba. Un tercero puede hoy clonar el repositorio y reproducir el umbral en sus 16 dígitos.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3.  Evidencia de PERTINENCIA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¿El producto responde al problema real y su utilidad está demostrada?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 reales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realizó. Sin pruebas con analistas de seguridad ni medición de experiencia de uso del panel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por expertos o jueces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ningún instrumento de juicio experto (Delphi, SUS u otro)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Matriz cerrada: cada requisito está cumplido con evidencia enlazada, cumplido con una reserva medida, o declarado pendiente con lo que concretamente falta. Ninguna fila queda en Planificado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3.4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en operación real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medido desplegado y activo: 2 pases de 29 corridas con motor y bloqueo sobre tráfico real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Alineación con el problema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La evaluación offline cubre 9 familias (6 Kali y 3 heredadas) y F6 valida el camino real de detección y bloqueo; las limitaciones por familia se reportan separadamente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3.6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Alcance y limitaciones declarados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Limitaciones medidas, cuantificadas y publicadas, incluido el error operativo desfavorable (23–26 %)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12 / 18 puntos  =  66.7 %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El producto es </w:t>
      </w:r>
      <w:r>
        <w:rPr>
          <w:b/>
          <w:i w:val="0"/>
          <w:color w:val="131B2E"/>
          <w:sz w:val="20"/>
        </w:rPr>
        <w:t>técnicamente pertinente</w:t>
      </w:r>
      <w:r>
        <w:rPr>
          <w:b w:val="0"/>
          <w:i w:val="0"/>
          <w:color w:val="131B2E"/>
          <w:sz w:val="20"/>
        </w:rPr>
        <w:t xml:space="preserve"> —resuelve el problema y se probó en operación real— pero carece de </w:t>
      </w:r>
      <w:r>
        <w:rPr>
          <w:b/>
          <w:i w:val="0"/>
          <w:color w:val="131B2E"/>
          <w:sz w:val="20"/>
        </w:rPr>
        <w:t>validación con personas</w:t>
      </w:r>
      <w:r>
        <w:rPr>
          <w:b w:val="0"/>
          <w:i w:val="0"/>
          <w:color w:val="131B2E"/>
          <w:sz w:val="20"/>
        </w:rPr>
        <w:t>: nadie externo al equipo lo ha usado ni evaluado. Para un producto cuya interfaz es un panel destinado a un analista, esa ausencia pesa.</w:t>
      </w:r>
    </w:p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4.  Puntaje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Obtenido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81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Porcentaje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80.0 %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Replicabilidad</w:t>
            </w:r>
          </w:p>
        </w:tc>
        <w:tc>
          <w:tcPr>
            <w:tcW w:type="dxa" w:w="147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3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100.0 %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66.7 %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147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42</w:t>
            </w:r>
          </w:p>
        </w:tc>
        <w:tc>
          <w:tcPr>
            <w:tcW w:type="dxa" w:w="13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51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82.4 %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Interpretación del 82.4 %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Describe con precisión el estado del producto: </w:t>
            </w:r>
            <w:r>
              <w:rPr>
                <w:b/>
                <w:color w:val="131B2E"/>
                <w:sz w:val="19"/>
              </w:rPr>
              <w:t>sólido como artefacto de ingeniería, incompleto como evidencia científica</w:t>
            </w:r>
            <w:r>
              <w:rPr>
                <w:b w:val="0"/>
                <w:color w:val="131B2E"/>
                <w:sz w:val="19"/>
              </w:rPr>
              <w:t xml:space="preserve">. Lo que sostiene el puntaje es la </w:t>
            </w:r>
            <w:r>
              <w:rPr>
                <w:b/>
                <w:color w:val="131B2E"/>
                <w:sz w:val="19"/>
              </w:rPr>
              <w:t>replicabilidad</w:t>
            </w:r>
            <w:r>
              <w:rPr>
                <w:b w:val="0"/>
                <w:color w:val="131B2E"/>
                <w:sz w:val="19"/>
              </w:rPr>
              <w:t xml:space="preserve"> (100 %): el trabajo es verificable, versionado y auditable. Lo que lo baja son dos ausencias distintas: </w:t>
            </w:r>
            <w:r>
              <w:rPr>
                <w:b/>
                <w:color w:val="131B2E"/>
                <w:sz w:val="19"/>
              </w:rPr>
              <w:t>validación estadística</w:t>
            </w:r>
            <w:r>
              <w:rPr>
                <w:b w:val="0"/>
                <w:color w:val="131B2E"/>
                <w:sz w:val="19"/>
              </w:rPr>
              <w:t xml:space="preserve"> externa (la validación disponible es interna) y </w:t>
            </w:r>
            <w:r>
              <w:rPr>
                <w:b/>
                <w:color w:val="131B2E"/>
                <w:sz w:val="19"/>
              </w:rPr>
              <w:t>validación humana</w:t>
            </w:r>
            <w:r>
              <w:rPr>
                <w:b w:val="0"/>
                <w:color w:val="131B2E"/>
                <w:sz w:val="19"/>
              </w:rPr>
              <w:t xml:space="preserve"> (ningún usuario o experto externo lo evaluó). Ninguna invalida los resultados; ambas </w:t>
            </w:r>
            <w:r>
              <w:rPr>
                <w:b/>
                <w:color w:val="131B2E"/>
                <w:sz w:val="19"/>
              </w:rPr>
              <w:t>limitan el alcance de lo que puede afirmarse</w:t>
            </w:r>
            <w:r>
              <w:rPr>
                <w:b w:val="0"/>
                <w:color w:val="131B2E"/>
                <w:sz w:val="19"/>
              </w:rPr>
              <w:t xml:space="preserve"> con ellos.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5.  Acciones para elevar el puntaje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Siete ítems subieron desde la primera auditoría</w:t>
      </w:r>
      <w:r>
        <w:rPr>
          <w:b w:val="0"/>
          <w:i w:val="0"/>
          <w:color w:val="131B2E"/>
          <w:sz w:val="20"/>
        </w:rPr>
        <w:t>, todos con evidencia publicada y ninguno con experimentación nueva.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5783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 ejecutada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Ítem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el dataset, el manifiesto y los 7 modelos con checksums y licencias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</w:tr>
      <w:tr>
        <w:tc>
          <w:tcPr>
            <w:tcW w:type="dxa" w:w="5783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en toda proporción y McNemar con corrección de Holm</w:t>
            </w:r>
          </w:p>
        </w:tc>
        <w:tc>
          <w:tcPr>
            <w:tcW w:type="dxa" w:w="102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 agrupada por episodio sobre el modelo congelado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</w:tr>
      <w:tr>
        <w:tc>
          <w:tcPr>
            <w:tcW w:type="dxa" w:w="5783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Remuestreo del umbral con B = 1 000; coeficiente de variación 4,10 %</w:t>
            </w:r>
          </w:p>
        </w:tc>
        <w:tc>
          <w:tcPr>
            <w:tcW w:type="dxa" w:w="102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Protocolo de determinismo, verificado con 10 ajustes de SHA-256 idéntico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Documentar el procedimiento de descarga, verificación y regeneración</w:t>
            </w:r>
          </w:p>
        </w:tc>
        <w:tc>
          <w:tcPr>
            <w:tcW w:type="dxa" w:w="102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la matriz de trazabilidad de requisitos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</w:tr>
    </w:tbl>
    <w:p>
      <w:pPr>
        <w:spacing w:after="120"/>
        <w:jc w:val="both"/>
      </w:pPr>
      <w:r>
        <w:rPr>
          <w:b/>
          <w:i w:val="0"/>
          <w:color w:val="131B2E"/>
          <w:sz w:val="20"/>
        </w:rPr>
        <w:t>Efecto acumulado: de 32/51 (62,7 %) a 42/51 (82.4 %).</w:t>
      </w:r>
    </w:p>
    <w:p/>
    <w:p>
      <w:pPr>
        <w:spacing w:after="120"/>
        <w:jc w:val="both"/>
      </w:pPr>
      <w:r>
        <w:rPr>
          <w:b/>
          <w:i w:val="0"/>
          <w:color w:val="131B2E"/>
          <w:sz w:val="20"/>
        </w:rPr>
        <w:t>Lo que queda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329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 pendiente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Sube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  <w:tc>
          <w:tcPr>
            <w:tcW w:type="dxa" w:w="158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532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**Aplicar un instrumento validado (SUS) con 5–8 evaluadores sobre el panel**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3</w:t>
            </w:r>
          </w:p>
        </w:tc>
        <w:tc>
          <w:tcPr>
            <w:tcW w:type="dxa" w:w="1587"/>
          </w:tcPr>
          <w:p/>
        </w:tc>
      </w:tr>
      <w:tr>
        <w:tc>
          <w:tcPr>
            <w:tcW w:type="dxa" w:w="5329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Sesión de juicio experto con 3 evaluadores</w:t>
            </w:r>
          </w:p>
        </w:tc>
        <w:tc>
          <w:tcPr>
            <w:tcW w:type="dxa" w:w="102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</w:tcPr>
          <w:p/>
        </w:tc>
      </w:tr>
      <w:tr>
        <w:tc>
          <w:tcPr>
            <w:tcW w:type="dxa" w:w="532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Acuerdo inter-evaluador, si se incorpora doble etiquetado independiente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El puntaje ya no lo frena la evidencia técnica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replicabilidad está en </w:t>
            </w:r>
            <w:r>
              <w:rPr>
                <w:b/>
                <w:color w:val="131B2E"/>
                <w:sz w:val="19"/>
              </w:rPr>
              <w:t>100 %</w:t>
            </w:r>
            <w:r>
              <w:rPr>
                <w:b w:val="0"/>
                <w:color w:val="131B2E"/>
                <w:sz w:val="19"/>
              </w:rPr>
              <w:t xml:space="preserve"> y la confiabilidad en </w:t>
            </w:r>
            <w:r>
              <w:rPr>
                <w:b/>
                <w:color w:val="131B2E"/>
                <w:sz w:val="19"/>
              </w:rPr>
              <w:t>80 %</w:t>
            </w:r>
            <w:r>
              <w:rPr>
                <w:b w:val="0"/>
                <w:color w:val="131B2E"/>
                <w:sz w:val="19"/>
              </w:rPr>
              <w:t xml:space="preserve">. Los tres ítems que quedan miden </w:t>
            </w:r>
            <w:r>
              <w:rPr>
                <w:b/>
                <w:color w:val="131B2E"/>
                <w:sz w:val="19"/>
              </w:rPr>
              <w:t>lo que otras personas opinan del producto</w:t>
            </w:r>
            <w:r>
              <w:rPr>
                <w:b w:val="0"/>
                <w:color w:val="131B2E"/>
                <w:sz w:val="19"/>
              </w:rPr>
              <w:t xml:space="preserve">, y ninguno se corrige escribiendo. Con solo la prueba de usabilidad el puntaje llegaría a </w:t>
            </w:r>
            <w:r>
              <w:rPr>
                <w:b/>
                <w:color w:val="131B2E"/>
                <w:sz w:val="19"/>
              </w:rPr>
              <w:t>45/51 (88.2 %)</w:t>
            </w:r>
            <w:r>
              <w:rPr>
                <w:b w:val="0"/>
                <w:color w:val="131B2E"/>
                <w:sz w:val="19"/>
              </w:rPr>
              <w:t xml:space="preserve">; con los tres, a </w:t>
            </w:r>
            <w:r>
              <w:rPr>
                <w:b/>
                <w:color w:val="131B2E"/>
                <w:sz w:val="19"/>
              </w:rPr>
              <w:t>49/51 (96.1 %)</w:t>
            </w:r>
            <w:r>
              <w:rPr>
                <w:b w:val="0"/>
                <w:color w:val="131B2E"/>
                <w:sz w:val="19"/>
              </w:rPr>
              <w:t>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6.  Correspondencia con la norma ISO/IEC 25010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norma de calidad de producto de software permite situar los resultados en un marco reconocido. Se declara solo lo que el proyecto </w:t>
      </w:r>
      <w:r>
        <w:rPr>
          <w:b/>
          <w:i w:val="0"/>
          <w:color w:val="131B2E"/>
          <w:sz w:val="20"/>
        </w:rPr>
        <w:t>midió</w:t>
      </w:r>
      <w:r>
        <w:rPr>
          <w:b w:val="0"/>
          <w:i w:val="0"/>
          <w:color w:val="131B2E"/>
          <w:sz w:val="20"/>
        </w:rPr>
        <w:t>; el resto se marca como no evaluado, en lugar de suponerlo.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Característica ISO/IEC 25010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¿Se evaluó?</w:t>
            </w:r>
          </w:p>
        </w:tc>
        <w:tc>
          <w:tcPr>
            <w:tcW w:type="dxa" w:w="504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 este proyecto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Fiabilidad — madurez, disponibilidad, tolerancia a fallos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Cero caídas registradas en 58 corridas (55 verificadas), sin pérdida de paquetes. Tres fallos de producción detectados y corregidos con prueba positiva y negativa</w:t>
            </w:r>
          </w:p>
        </w:tc>
      </w:tr>
      <w:tr>
        <w:tc>
          <w:tcPr>
            <w:tcW w:type="dxa" w:w="30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Eficiencia de desempeño — comportamiento temporal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Bloqueo en una mediana de 8 s. Límite declarado: bajo carga sostenida el motor acumula retraso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Adecuación funcional — completitud y corrección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La evaluación offline cubre 9 familias y F6 confirma el camino de bloqueo, pero la corrección se degrada con tráfico legítimo intenso (error 23–26 %)</w:t>
            </w:r>
          </w:p>
        </w:tc>
      </w:tr>
      <w:tr>
        <w:tc>
          <w:tcPr>
            <w:tcW w:type="dxa" w:w="30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Seguridad — confidencialidad, integridad, no repudio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 por SHA-256 y acceso por helper de alcance estrecho. NO se evaluó el sistema como objetivo de ataque (evasión, suplantación de IP)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Mantenibilidad — modularidad, reusabilidad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motor reutiliza el extractor congelado sin duplicar fórmulas; 625 archivos versionados. Sin métricas formales</w:t>
            </w:r>
          </w:p>
        </w:tc>
      </w:tr>
      <w:tr>
        <w:tc>
          <w:tcPr>
            <w:tcW w:type="dxa" w:w="30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Usabilidad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panel no se sometió a ninguna evaluación de uso (ver ítems 3.1 y 3.2)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Portabilidad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Desplegado sobre una única configuración de laboratorio; no se probó en otro entorno</w:t>
            </w:r>
          </w:p>
        </w:tc>
      </w:tr>
      <w:tr>
        <w:tc>
          <w:tcPr>
            <w:tcW w:type="dxa" w:w="30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Compatibilidad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evaluó la coexistencia con otras herramientas de monitoreo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Lectura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Las dos características que el producto </w:t>
            </w:r>
            <w:r>
              <w:rPr>
                <w:b/>
                <w:color w:val="131B2E"/>
                <w:sz w:val="19"/>
              </w:rPr>
              <w:t>sí demuestra con evidencia</w:t>
            </w:r>
            <w:r>
              <w:rPr>
                <w:b w:val="0"/>
                <w:color w:val="131B2E"/>
                <w:sz w:val="19"/>
              </w:rPr>
              <w:t xml:space="preserve"> —fiabilidad y eficiencia de desempeño— son precisamente las críticas en un sistema de detección en tiempo real. Las no evaluadas coinciden con las carencias que ya señala la ficha: usabilidad con la ausencia de validación con usuarios, y seguridad con la ausencia de pruebas de evasión.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7.  Conclusión de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El producto </w:t>
      </w:r>
      <w:r>
        <w:rPr>
          <w:b/>
          <w:i w:val="0"/>
          <w:color w:val="131B2E"/>
          <w:sz w:val="20"/>
        </w:rPr>
        <w:t>está validado como artefacto de ingeniería</w:t>
      </w:r>
      <w:r>
        <w:rPr>
          <w:b w:val="0"/>
          <w:i w:val="0"/>
          <w:color w:val="131B2E"/>
          <w:sz w:val="20"/>
        </w:rPr>
        <w:t xml:space="preserve">: funciona, se midió en operación real y sus resultados se pueden reproducir exactamente. Lo que la auditoría expone no son fallos del sistema, sino </w:t>
      </w:r>
      <w:r>
        <w:rPr>
          <w:b/>
          <w:i w:val="0"/>
          <w:color w:val="131B2E"/>
          <w:sz w:val="20"/>
        </w:rPr>
        <w:t>huecos en la evidencia que lo respalda</w:t>
      </w:r>
      <w:r>
        <w:rPr>
          <w:b w:val="0"/>
          <w:i w:val="0"/>
          <w:color w:val="131B2E"/>
          <w:sz w:val="20"/>
        </w:rPr>
        <w:t>: falta una jornada externa y falta que alguien ajeno al equipo lo haya usado.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La validación con usuarios exige planificar una sesión con evaluadores externos. Una evaluación temporal o de otra red también requiere datos nuevos y un protocolo prospectivo; no puede cerrarse solo con documentación.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International Organization for Standardization.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Origen del criterio del ítem 1.1.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Cohen, J. (1960).</w:t>
      </w:r>
      <w:r>
        <w:rPr>
          <w:b w:val="0"/>
          <w:color w:val="131B2E"/>
          <w:sz w:val="20"/>
        </w:rPr>
        <w:t xml:space="preserve"> A coefficient of agreement for nominal scales. Educational and Psychological Measurement, 20(1), 37–46. — Origen del criterio del ítem 1.2.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usado para los intervalos del ítem 1.6.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Wilkinson, M. D., et al. (2016).</w:t>
      </w:r>
      <w:r>
        <w:rPr>
          <w:b w:val="0"/>
          <w:color w:val="131B2E"/>
          <w:sz w:val="20"/>
        </w:rPr>
        <w:t xml:space="preserve"> The FAIR Guiding Principles for scientific data management and stewardship. Scientific Data, 3, 160018. — Marco de referencia de la sección 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ítems 1.4 y 2.1–2.6.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Ficha detallada, con los 18 ítems y su evidencia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Plan de mejora: debilidades abiertas con prioridad e impacto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Instrumento SUS, listo para aplicar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Matriz de trazabilidad de los requisitos del jurado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4"/>
      <w:headerReference w:type="default" r:id="rId15"/>
      <w:pgSz w:w="12240" w:h="15840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Ficha de auditoría del producto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02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4-ficha-auditoria/ficha-auditoria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entregables/06-plan-de-mejora/README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entregables/08-validacion-usuarios/README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requisitos-jurado/README.md" TargetMode="External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auditoría del producto</dc:title>
  <dc:subject>Auditoría de confiabilidad, replicabilidad y pertinencia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