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650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e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50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31B2E"/>
          <w:sz w:val="26"/>
        </w:rPr>
        <w:t>Universidad Peruana Unión</w:t>
      </w:r>
    </w:p>
    <w:p>
      <w:pPr>
        <w:jc w:val="center"/>
      </w:pPr>
      <w:r>
        <w:rPr>
          <w:b w:val="0"/>
          <w:color w:val="5B6B8C"/>
          <w:sz w:val="22"/>
        </w:rPr>
        <w:t>Facultad de Ingeniería y Arquitectura</w:t>
      </w:r>
    </w:p>
    <w:p>
      <w:pPr>
        <w:jc w:val="center"/>
      </w:pPr>
      <w:r>
        <w:rPr>
          <w:b w:val="0"/>
          <w:color w:val="5B6B8C"/>
          <w:sz w:val="22"/>
        </w:rPr>
        <w:t>E.P. de Ingeniería de Sistemas</w:t>
      </w:r>
    </w:p>
    <w:p/>
    <w:p>
      <w:pPr>
        <w:jc w:val="center"/>
      </w:pPr>
      <w:r>
        <w:rPr>
          <w:b/>
          <w:color w:val="0F8A7D"/>
          <w:sz w:val="34"/>
        </w:rPr>
        <w:t>INFORME DE VALIDACIÓN INTERNA, VALIDACIÓN EXTERNA</w:t>
        <w:br/>
        <w:t>Y CONFIABILIDAD DE LOS RESULTADOS</w:t>
      </w:r>
    </w:p>
    <w:p>
      <w:pPr>
        <w:spacing w:before="160"/>
        <w:jc w:val="center"/>
      </w:pPr>
      <w:r>
        <w:rPr>
          <w:i/>
          <w:color w:val="5B6B8C"/>
          <w:sz w:val="23"/>
        </w:rPr>
        <w:t>Detección temprana de comportamientos anómalos en redes de datos</w:t>
        <w:br/>
        <w:t>mediante modelos predictivos y un mecanismo de control inline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087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Curso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Investigación V · Ciclo X</w:t>
            </w:r>
          </w:p>
        </w:tc>
      </w:tr>
      <w:tr>
        <w:tc>
          <w:tcPr>
            <w:tcW w:type="dxa" w:w="226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Docente</w:t>
            </w:r>
          </w:p>
        </w:tc>
        <w:tc>
          <w:tcPr>
            <w:tcW w:type="dxa" w:w="708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Ing. Nemias Saboya Ríos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Integrantes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Rubén Mark Salazar Tocas</w:t>
              <w:br/>
              <w:t>Uziel Elias Sauñe Fernandez</w:t>
            </w:r>
          </w:p>
        </w:tc>
      </w:tr>
      <w:tr>
        <w:tc>
          <w:tcPr>
            <w:tcW w:type="dxa" w:w="226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Asesores</w:t>
            </w:r>
          </w:p>
        </w:tc>
        <w:tc>
          <w:tcPr>
            <w:tcW w:type="dxa" w:w="708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Ing. Nemias Saboya Ríos · Ing. Fernando Manuel Asin Gómez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Fecha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19 de agosto de 2026</w:t>
            </w:r>
          </w:p>
        </w:tc>
      </w:tr>
    </w:tbl>
    <w:p>
      <w:pPr>
        <w:spacing w:before="400"/>
        <w:jc w:val="center"/>
      </w:pPr>
      <w:r>
        <w:rPr>
          <w:color w:val="5B6B8C"/>
          <w:sz w:val="21"/>
        </w:rPr>
        <w:t>Lima, agosto de 2026</w:t>
      </w:r>
    </w:p>
    <w:p>
      <w:r>
        <w:br w:type="page"/>
      </w:r>
    </w:p>
    <w:p>
      <w:pPr>
        <w:spacing w:before="320" w:after="120"/>
        <w:pBdr>
          <w:bottom w:val="single" w:sz="8" w:color="0F8A7D"/>
        </w:pBdr>
      </w:pPr>
      <w:r>
        <w:rPr>
          <w:b/>
          <w:color w:val="0F8A7D"/>
          <w:sz w:val="30"/>
        </w:rPr>
        <w:t xml:space="preserve">1.  </w:t>
      </w:r>
      <w:r>
        <w:rPr>
          <w:b/>
          <w:color w:val="131B2E"/>
          <w:sz w:val="28"/>
        </w:rPr>
        <w:t>Estado general de los resultados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 xml:space="preserve">Se evaluó de forma rigurosa si los resultados obtenidos son </w:t>
      </w:r>
      <w:r>
        <w:rPr>
          <w:b/>
          <w:i w:val="0"/>
          <w:color w:val="131B2E"/>
          <w:sz w:val="20"/>
        </w:rPr>
        <w:t>válidos y confiables</w:t>
      </w:r>
      <w:r>
        <w:rPr>
          <w:b w:val="0"/>
          <w:i w:val="0"/>
          <w:color w:val="131B2E"/>
          <w:sz w:val="20"/>
        </w:rPr>
        <w:t>, aplicando los tres criterios solicitados. Cada criterio indica qué se abordó de manera concreta, qué parcialmente y qué no se abordó.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1531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5669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Síntesis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Validación interna</w:t>
            </w:r>
          </w:p>
        </w:tc>
        <w:tc>
          <w:tcPr>
            <w:tcW w:type="dxa" w:w="1531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PARCIAL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Controles anti-fuga reales y verificados, pero el modelo final se eligió observando el conjunto de prueba</w:t>
            </w:r>
          </w:p>
        </w:tc>
      </w:tr>
      <w:tr>
        <w:tc>
          <w:tcPr>
            <w:tcW w:type="dxa" w:w="215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Validación externa</w:t>
            </w:r>
          </w:p>
        </w:tc>
        <w:tc>
          <w:tcPr>
            <w:tcW w:type="dxa" w:w="1531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INSUFICIENTE</w:t>
            </w:r>
          </w:p>
        </w:tc>
        <w:tc>
          <w:tcPr>
            <w:tcW w:type="dxa" w:w="5669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Medida en operación real y refutada: el error sobre tráfico legítimo intenso es 5 veces el de laboratorio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Confiabilidad</w:t>
            </w:r>
          </w:p>
        </w:tc>
        <w:tc>
          <w:tcPr>
            <w:tcW w:type="dxa" w:w="1531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ALTA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Resultados reproducibles: al repetir la evaluación se obtienen exactamente las mismas cifras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8"/>
          </w:tcPr>
          <w:p>
            <w:r/>
            <w:r>
              <w:rPr>
                <w:b/>
                <w:color w:val="0F8A7D"/>
                <w:sz w:val="20"/>
              </w:rPr>
              <w:t>Lectura general</w:t>
            </w:r>
          </w:p>
          <w:p>
            <w:pPr>
              <w:jc w:val="both"/>
            </w:pPr>
            <w:r>
              <w:rPr>
                <w:b w:val="0"/>
                <w:color w:val="131B2E"/>
                <w:sz w:val="19"/>
              </w:rPr>
              <w:t xml:space="preserve">Los resultados </w:t>
            </w:r>
            <w:r>
              <w:rPr>
                <w:b/>
                <w:color w:val="131B2E"/>
                <w:sz w:val="19"/>
              </w:rPr>
              <w:t>sí sostienen</w:t>
            </w:r>
            <w:r>
              <w:rPr>
                <w:b w:val="0"/>
                <w:color w:val="131B2E"/>
                <w:sz w:val="19"/>
              </w:rPr>
              <w:t xml:space="preserve"> que el sistema detecta y bloquea ataques reales en tiempo real (detección del </w:t>
            </w:r>
            <w:r>
              <w:rPr>
                <w:b/>
                <w:color w:val="131B2E"/>
                <w:sz w:val="19"/>
              </w:rPr>
              <w:t>88.8 %</w:t>
            </w:r>
            <w:r>
              <w:rPr>
                <w:b w:val="0"/>
                <w:color w:val="131B2E"/>
                <w:sz w:val="19"/>
              </w:rPr>
              <w:t xml:space="preserve"> sobre ataques genuinos, ROC-AUC de </w:t>
            </w:r>
            <w:r>
              <w:rPr>
                <w:b/>
                <w:color w:val="131B2E"/>
                <w:sz w:val="19"/>
              </w:rPr>
              <w:t>0,974</w:t>
            </w:r>
            <w:r>
              <w:rPr>
                <w:b w:val="0"/>
                <w:color w:val="131B2E"/>
                <w:sz w:val="19"/>
              </w:rPr>
              <w:t xml:space="preserve">, bloqueo en una mediana de </w:t>
            </w:r>
            <w:r>
              <w:rPr>
                <w:b/>
                <w:color w:val="131B2E"/>
                <w:sz w:val="19"/>
              </w:rPr>
              <w:t>8 segundos</w:t>
            </w:r>
            <w:r>
              <w:rPr>
                <w:b w:val="0"/>
                <w:color w:val="131B2E"/>
                <w:sz w:val="19"/>
              </w:rPr>
              <w:t xml:space="preserve">). </w:t>
            </w:r>
            <w:r>
              <w:rPr>
                <w:b/>
                <w:color w:val="131B2E"/>
                <w:sz w:val="19"/>
              </w:rPr>
              <w:t>No sostienen todavía</w:t>
            </w:r>
            <w:r>
              <w:rPr>
                <w:b w:val="0"/>
                <w:color w:val="131B2E"/>
                <w:sz w:val="19"/>
              </w:rPr>
              <w:t xml:space="preserve"> que lo haga sin penalizar el tráfico legítimo intenso. La debilidad principal no está en la ingeniería del sistema, sino en el diseño estadístico de la evaluación.</w:t>
            </w:r>
          </w:p>
        </w:tc>
      </w:tr>
    </w:tbl>
    <w:p/>
    <w:p>
      <w:pPr>
        <w:spacing w:before="320" w:after="120"/>
        <w:pBdr>
          <w:bottom w:val="single" w:sz="8" w:color="0F8A7D"/>
        </w:pBdr>
      </w:pPr>
      <w:r>
        <w:rPr>
          <w:b/>
          <w:color w:val="0F8A7D"/>
          <w:sz w:val="30"/>
        </w:rPr>
        <w:t xml:space="preserve">2.  </w:t>
      </w:r>
      <w:r>
        <w:rPr>
          <w:b/>
          <w:color w:val="131B2E"/>
          <w:sz w:val="28"/>
        </w:rPr>
        <w:t>Validación interna</w:t>
      </w:r>
    </w:p>
    <w:p>
      <w:pPr>
        <w:spacing w:after="120"/>
        <w:jc w:val="both"/>
      </w:pPr>
      <w:r>
        <w:rPr>
          <w:b w:val="0"/>
          <w:i/>
          <w:color w:val="5B6B8C"/>
          <w:sz w:val="20"/>
        </w:rPr>
        <w:t>¿Los resultados obtenidos se deben realmente a lo que el estudio dice haber probado?</w:t>
      </w:r>
    </w:p>
    <w:p>
      <w:pPr>
        <w:spacing w:before="200" w:after="60"/>
      </w:pPr>
      <w:r>
        <w:rPr>
          <w:b/>
          <w:color w:val="15803D"/>
          <w:sz w:val="22"/>
        </w:rPr>
        <w:t>✔  Abordado de manera concreta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6406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Evidencia verificable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Sin fuga de datos entre particiones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Auditoría automática: ningún episodio se reparte entre entrenamiento, validación y prueba</w:t>
            </w:r>
          </w:p>
        </w:tc>
      </w:tr>
      <w:tr>
        <w:tc>
          <w:tcPr>
            <w:tcW w:type="dxa" w:w="294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Sin información futura en las variables</w:t>
            </w:r>
          </w:p>
        </w:tc>
        <w:tc>
          <w:tcPr>
            <w:tcW w:type="dxa" w:w="640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Prueba unitaria: un evento posterior no altera una ventana ya cerrada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Umbral fijado antes de ver la prueba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Cuantil α = 0,05 solo sobre validación (k = 13, n = 273); el escalador se ajusta solo con entrenamiento</w:t>
            </w:r>
          </w:p>
        </w:tc>
      </w:tr>
      <w:tr>
        <w:tc>
          <w:tcPr>
            <w:tcW w:type="dxa" w:w="294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Evaluación en un solo paso</w:t>
            </w:r>
          </w:p>
        </w:tc>
        <w:tc>
          <w:tcPr>
            <w:tcW w:type="dxa" w:w="640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Sin reentrenar tras ver resultados; registro sellado con hash del calibrador y del repositorio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Detección de una fuga propia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Un experimento con selección contaminada fue identificado y marcado como “no debe citarse”</w:t>
            </w:r>
          </w:p>
        </w:tc>
      </w:tr>
    </w:tbl>
    <w:p>
      <w:pPr>
        <w:spacing w:before="200" w:after="60"/>
      </w:pPr>
      <w:r>
        <w:rPr>
          <w:b/>
          <w:color w:val="B45309"/>
          <w:sz w:val="22"/>
        </w:rPr>
        <w:t>◐  Abordado parcialmente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Análisis de sensibilidad.</w:t>
      </w:r>
      <w:r>
        <w:rPr>
          <w:b w:val="0"/>
          <w:color w:val="131B2E"/>
          <w:sz w:val="20"/>
        </w:rPr>
        <w:t xml:space="preserve"> Se ejecutó con 10 semillas, ponderación por episodio y colapso de duplicados, pero </w:t>
      </w:r>
      <w:r>
        <w:rPr>
          <w:b/>
          <w:color w:val="131B2E"/>
          <w:sz w:val="20"/>
        </w:rPr>
        <w:t>solo sobre los modelos descartados</w:t>
      </w:r>
      <w:r>
        <w:rPr>
          <w:b w:val="0"/>
          <w:color w:val="131B2E"/>
          <w:sz w:val="20"/>
        </w:rPr>
        <w:t>. El modelo finalmente elegido no recibió ninguna prueba de estabilidad.</w:t>
      </w:r>
    </w:p>
    <w:p>
      <w:pPr>
        <w:spacing w:before="200" w:after="60"/>
      </w:pPr>
      <w:r>
        <w:rPr>
          <w:b/>
          <w:color w:val="B91C1C"/>
          <w:sz w:val="22"/>
        </w:rPr>
        <w:t>✘  No abordado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Selección del modelo sin contaminar la prueba.</w:t>
      </w:r>
      <w:r>
        <w:rPr>
          <w:b w:val="0"/>
          <w:color w:val="131B2E"/>
          <w:sz w:val="20"/>
        </w:rPr>
        <w:t xml:space="preserve"> El modelo se eligió después de observar su desempeño en el conjunto de prueba. El registro del proyecto documenta que ese modelo estaba designado como “comparador” y que la política prohibía promoverlo por ganar una métrica posterior. En consecuencia, el </w:t>
      </w:r>
      <w:r>
        <w:rPr>
          <w:b/>
          <w:color w:val="131B2E"/>
          <w:sz w:val="20"/>
        </w:rPr>
        <w:t>88.3 %</w:t>
      </w:r>
      <w:r>
        <w:rPr>
          <w:b w:val="0"/>
          <w:color w:val="131B2E"/>
          <w:sz w:val="20"/>
        </w:rPr>
        <w:t xml:space="preserve"> de detección es el máximo entre </w:t>
      </w:r>
      <w:r>
        <w:rPr>
          <w:b/>
          <w:color w:val="131B2E"/>
          <w:sz w:val="20"/>
        </w:rPr>
        <w:t>7 candidatos</w:t>
      </w:r>
      <w:r>
        <w:rPr>
          <w:b w:val="0"/>
          <w:color w:val="131B2E"/>
          <w:sz w:val="20"/>
        </w:rPr>
        <w:t xml:space="preserve"> evaluados sobre los mismos datos, sin conjunto reservado que permita una estimación sin sesgo optimista.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Pruebas de significancia estadística.</w:t>
      </w:r>
      <w:r>
        <w:rPr>
          <w:b w:val="0"/>
          <w:color w:val="131B2E"/>
          <w:sz w:val="20"/>
        </w:rPr>
        <w:t xml:space="preserve"> No se realizó ninguna prueba (t, Wilcoxon o equivalente) que compare los modelos entre sí.</w:t>
      </w:r>
    </w:p>
    <w:p>
      <w:r>
        <w:br w:type="page"/>
      </w:r>
    </w:p>
    <w:p>
      <w:pPr>
        <w:spacing w:before="320" w:after="120"/>
        <w:pBdr>
          <w:bottom w:val="single" w:sz="8" w:color="0F8A7D"/>
        </w:pBdr>
      </w:pPr>
      <w:r>
        <w:rPr>
          <w:b/>
          <w:color w:val="0F8A7D"/>
          <w:sz w:val="30"/>
        </w:rPr>
        <w:t xml:space="preserve">3.  </w:t>
      </w:r>
      <w:r>
        <w:rPr>
          <w:b/>
          <w:color w:val="131B2E"/>
          <w:sz w:val="28"/>
        </w:rPr>
        <w:t>Validación externa</w:t>
      </w:r>
    </w:p>
    <w:p>
      <w:pPr>
        <w:spacing w:after="120"/>
        <w:jc w:val="both"/>
      </w:pPr>
      <w:r>
        <w:rPr>
          <w:b w:val="0"/>
          <w:i/>
          <w:color w:val="5B6B8C"/>
          <w:sz w:val="20"/>
        </w:rPr>
        <w:t>¿Los resultados se generalizan a otros contextos, poblaciones o condiciones de uso?</w:t>
      </w:r>
    </w:p>
    <w:p>
      <w:pPr>
        <w:spacing w:before="200" w:after="60"/>
      </w:pPr>
      <w:r>
        <w:rPr>
          <w:b/>
          <w:color w:val="15803D"/>
          <w:sz w:val="22"/>
        </w:rPr>
        <w:t>✔  Abordado de manera concreta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Se midió el sistema completo en operación real</w:t>
      </w:r>
      <w:r>
        <w:rPr>
          <w:b w:val="0"/>
          <w:color w:val="131B2E"/>
          <w:sz w:val="20"/>
        </w:rPr>
        <w:t>, no solo el modelo en laboratorio: 2 pases de 29 corridas más 2 pruebas de aislamiento, con motor y bloqueo activos.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Ataques genuinos</w:t>
      </w:r>
      <w:r>
        <w:rPr>
          <w:b w:val="0"/>
          <w:color w:val="131B2E"/>
          <w:sz w:val="20"/>
        </w:rPr>
        <w:t xml:space="preserve"> desde una máquina atacante real en 6 familias distintas, no simulados por inyección de datos.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Se declaró la procedencia heterogénea</w:t>
      </w:r>
      <w:r>
        <w:rPr>
          <w:b w:val="0"/>
          <w:color w:val="131B2E"/>
          <w:sz w:val="20"/>
        </w:rPr>
        <w:t xml:space="preserve"> de los datos de ataque: 161 ventanas reales y 18 heredadas, reportadas por separado (</w:t>
      </w:r>
      <w:r>
        <w:rPr>
          <w:b/>
          <w:color w:val="131B2E"/>
          <w:sz w:val="20"/>
        </w:rPr>
        <w:t>88.8 %</w:t>
      </w:r>
      <w:r>
        <w:rPr>
          <w:b w:val="0"/>
          <w:color w:val="131B2E"/>
          <w:sz w:val="20"/>
        </w:rPr>
        <w:t xml:space="preserve"> frente a </w:t>
      </w:r>
      <w:r>
        <w:rPr>
          <w:b/>
          <w:color w:val="131B2E"/>
          <w:sz w:val="20"/>
        </w:rPr>
        <w:t>83,3 %</w:t>
      </w:r>
      <w:r>
        <w:rPr>
          <w:b w:val="0"/>
          <w:color w:val="131B2E"/>
          <w:sz w:val="20"/>
        </w:rPr>
        <w:t>).</w:t>
      </w:r>
    </w:p>
    <w:p>
      <w:pPr>
        <w:spacing w:before="200" w:after="60"/>
      </w:pPr>
      <w:r>
        <w:rPr>
          <w:b/>
          <w:color w:val="B91C1C"/>
          <w:sz w:val="22"/>
        </w:rPr>
        <w:t>✘  Resultado que refuta la generalización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>Es el hallazgo más importante del informe y se reporta aunque sea desfavorable: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85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Condición de medición</w:t>
            </w:r>
          </w:p>
        </w:tc>
        <w:tc>
          <w:tcPr>
            <w:tcW w:type="dxa" w:w="2835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Falsos positivos</w:t>
            </w:r>
          </w:p>
        </w:tc>
        <w:tc>
          <w:tcPr>
            <w:tcW w:type="dxa" w:w="2835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IC 95 %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Laboratorio (conjunto de prueba)</w:t>
            </w:r>
          </w:p>
        </w:tc>
        <w:tc>
          <w:tcPr>
            <w:tcW w:type="dxa" w:w="2835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4.71 %  (13/276)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2,8 % – 7,9 %</w:t>
            </w:r>
          </w:p>
        </w:tc>
      </w:tr>
      <w:tr>
        <w:tc>
          <w:tcPr>
            <w:tcW w:type="dxa" w:w="3685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Operación real · pase 1</w:t>
            </w:r>
          </w:p>
        </w:tc>
        <w:tc>
          <w:tcPr>
            <w:tcW w:type="dxa" w:w="2835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25,8 %  (16/62)</w:t>
            </w:r>
          </w:p>
        </w:tc>
        <w:tc>
          <w:tcPr>
            <w:tcW w:type="dxa" w:w="2835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16,6 % – 37,9 %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Operación real · pase 2</w:t>
            </w:r>
          </w:p>
        </w:tc>
        <w:tc>
          <w:tcPr>
            <w:tcW w:type="dxa" w:w="2835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23,0 %  (17/74)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14,9 % – 33,7 %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95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-fpr-offline-vs-ope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8C"/>
          <w:sz w:val="17"/>
        </w:rPr>
        <w:t>Figura 1. Los intervalos de confianza no se solapan: la diferencia no se explica por azar muestral.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BE3E1"/>
          </w:tcPr>
          <w:p>
            <w:r/>
            <w:r>
              <w:rPr>
                <w:b/>
                <w:color w:val="B91C1C"/>
                <w:sz w:val="20"/>
              </w:rPr>
              <w:t>Evidencia adicional en aislamiento</w:t>
            </w:r>
          </w:p>
          <w:p>
            <w:pPr>
              <w:jc w:val="both"/>
            </w:pPr>
            <w:r>
              <w:rPr>
                <w:b w:val="0"/>
                <w:color w:val="131B2E"/>
                <w:sz w:val="19"/>
              </w:rPr>
              <w:t xml:space="preserve">Se reprodujo </w:t>
            </w:r>
            <w:r>
              <w:rPr>
                <w:b/>
                <w:color w:val="131B2E"/>
                <w:sz w:val="19"/>
              </w:rPr>
              <w:t>sin contaminación entre pruebas</w:t>
            </w:r>
            <w:r>
              <w:rPr>
                <w:b w:val="0"/>
                <w:color w:val="131B2E"/>
                <w:sz w:val="19"/>
              </w:rPr>
              <w:t xml:space="preserve">: una transferencia legítima de 200 Mbit/s generó una ventana que cruzó el umbral y </w:t>
            </w:r>
            <w:r>
              <w:rPr>
                <w:b/>
                <w:color w:val="131B2E"/>
                <w:sz w:val="19"/>
              </w:rPr>
              <w:t>bloqueó a un cliente legítimo durante 120 segundos</w:t>
            </w:r>
            <w:r>
              <w:rPr>
                <w:b w:val="0"/>
                <w:color w:val="131B2E"/>
                <w:sz w:val="19"/>
              </w:rPr>
              <w:t xml:space="preserve">. Otra ventana de la misma transferencia se permitió por apenas </w:t>
            </w:r>
            <w:r>
              <w:rPr>
                <w:b/>
                <w:color w:val="131B2E"/>
                <w:sz w:val="19"/>
              </w:rPr>
              <w:t>0,0014 puntos</w:t>
            </w:r>
            <w:r>
              <w:rPr>
                <w:b w:val="0"/>
                <w:color w:val="131B2E"/>
                <w:sz w:val="19"/>
              </w:rPr>
              <w:t xml:space="preserve"> de score, lo que indica que el tráfico legítimo intenso cae dentro del margen de decisión del modelo.</w:t>
            </w:r>
          </w:p>
        </w:tc>
      </w:tr>
    </w:tbl>
    <w:p/>
    <w:p>
      <w:pPr>
        <w:spacing w:before="200" w:after="60"/>
      </w:pPr>
      <w:r>
        <w:rPr>
          <w:b/>
          <w:color w:val="B91C1C"/>
          <w:sz w:val="22"/>
        </w:rPr>
        <w:t>✘  No abordado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Partición por sesiones independientes.</w:t>
      </w:r>
      <w:r>
        <w:rPr>
          <w:b w:val="0"/>
          <w:color w:val="131B2E"/>
          <w:sz w:val="20"/>
        </w:rPr>
        <w:t xml:space="preserve"> La división se hizo por índice de repetición, por lo que los </w:t>
      </w:r>
      <w:r>
        <w:rPr>
          <w:b/>
          <w:color w:val="131B2E"/>
          <w:sz w:val="20"/>
        </w:rPr>
        <w:t>44 perfiles</w:t>
      </w:r>
      <w:r>
        <w:rPr>
          <w:b w:val="0"/>
          <w:color w:val="131B2E"/>
          <w:sz w:val="20"/>
        </w:rPr>
        <w:t xml:space="preserve"> de tráfico aparecen en las tres particiones: se mide repetibilidad del escenario, no generalización a tráfico no visto.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Jornada de validación temporal externa.</w:t>
      </w:r>
      <w:r>
        <w:rPr>
          <w:b w:val="0"/>
          <w:color w:val="131B2E"/>
          <w:sz w:val="20"/>
        </w:rPr>
        <w:t xml:space="preserve"> No existe un conjunto capturado en fecha distinta y reservado sin participar en entrenamiento ni calibración.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Diversidad de escenarios.</w:t>
      </w:r>
      <w:r>
        <w:rPr>
          <w:b w:val="0"/>
          <w:color w:val="131B2E"/>
          <w:sz w:val="20"/>
        </w:rPr>
        <w:t xml:space="preserve"> Faltan seis escenarios legítimos previstos (SSH, SCP/SFTP, SMB, respaldo, streaming y actualizaciones) y no hay captura multi-sistema-operativo.</w:t>
      </w:r>
    </w:p>
    <w:p>
      <w:r>
        <w:br w:type="page"/>
      </w:r>
    </w:p>
    <w:p>
      <w:pPr>
        <w:spacing w:before="320" w:after="120"/>
        <w:pBdr>
          <w:bottom w:val="single" w:sz="8" w:color="0F8A7D"/>
        </w:pBdr>
      </w:pPr>
      <w:r>
        <w:rPr>
          <w:b/>
          <w:color w:val="0F8A7D"/>
          <w:sz w:val="30"/>
        </w:rPr>
        <w:t xml:space="preserve">4.  </w:t>
      </w:r>
      <w:r>
        <w:rPr>
          <w:b/>
          <w:color w:val="131B2E"/>
          <w:sz w:val="28"/>
        </w:rPr>
        <w:t>Confiabilidad</w:t>
      </w:r>
    </w:p>
    <w:p>
      <w:pPr>
        <w:spacing w:after="120"/>
        <w:jc w:val="both"/>
      </w:pPr>
      <w:r>
        <w:rPr>
          <w:b w:val="0"/>
          <w:i/>
          <w:color w:val="5B6B8C"/>
          <w:sz w:val="20"/>
        </w:rPr>
        <w:t>¿Repetir el procedimiento produce los mismos resultados?</w:t>
      </w:r>
    </w:p>
    <w:p>
      <w:pPr>
        <w:spacing w:before="200" w:after="60"/>
      </w:pPr>
      <w:r>
        <w:rPr>
          <w:b/>
          <w:color w:val="15803D"/>
          <w:sz w:val="22"/>
        </w:rPr>
        <w:t>✔  Abordado de manera concreta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6406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Reproducibilidad verificada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Al reevaluar el modelo congelado se obtuvieron exactamente las mismas cifras del registro original (13/276 y 158/179)</w:t>
            </w:r>
          </w:p>
        </w:tc>
      </w:tr>
      <w:tr>
        <w:tc>
          <w:tcPr>
            <w:tcW w:type="dxa" w:w="294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Integridad de artefactos</w:t>
            </w:r>
          </w:p>
        </w:tc>
        <w:tc>
          <w:tcPr>
            <w:tcW w:type="dxa" w:w="640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SHA-256 de datos, modelo y programa de calibración; repositorio verificado limpio antes y después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Trazabilidad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330 registros de cambios · 181 documentos de campañas · 162 revisiones independientes</w:t>
            </w:r>
          </w:p>
        </w:tc>
      </w:tr>
      <w:tr>
        <w:tc>
          <w:tcPr>
            <w:tcW w:type="dxa" w:w="294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Estabilidad operativa</w:t>
            </w:r>
          </w:p>
        </w:tc>
        <w:tc>
          <w:tcPr>
            <w:tcW w:type="dxa" w:w="640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100 % de disponibilidad en 57 corridas, sin pérdida de paquetes en captura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Consistencia entre repeticiones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Los dos pases de validación operativa dieron resultados equivalentes (25,8 % y 23,0 %)</w:t>
            </w:r>
          </w:p>
        </w:tc>
      </w:tr>
    </w:tbl>
    <w:p>
      <w:pPr>
        <w:spacing w:before="200" w:after="60"/>
      </w:pPr>
      <w:r>
        <w:rPr>
          <w:b/>
          <w:color w:val="B45309"/>
          <w:sz w:val="22"/>
        </w:rPr>
        <w:t>◐  Abordado parcialmente</w:t>
      </w:r>
    </w:p>
    <w:p>
      <w:pPr>
        <w:spacing w:after="120"/>
        <w:jc w:val="both"/>
      </w:pPr>
      <w:r>
        <w:rPr>
          <w:b/>
          <w:i w:val="0"/>
          <w:color w:val="131B2E"/>
          <w:sz w:val="20"/>
        </w:rPr>
        <w:t>Cuantificación de la incertidumbre.</w:t>
      </w:r>
      <w:r>
        <w:rPr>
          <w:b w:val="0"/>
          <w:i w:val="0"/>
          <w:color w:val="131B2E"/>
          <w:sz w:val="20"/>
        </w:rPr>
        <w:t xml:space="preserve"> El trabajo original no calculó ninguna medida de dispersión. Se incorporan en este informe </w:t>
      </w:r>
      <w:r>
        <w:rPr>
          <w:b/>
          <w:i w:val="0"/>
          <w:color w:val="131B2E"/>
          <w:sz w:val="20"/>
        </w:rPr>
        <w:t>intervalos de confianza de Wilson al 95 %</w:t>
      </w:r>
      <w:r>
        <w:rPr>
          <w:b w:val="0"/>
          <w:i w:val="0"/>
          <w:color w:val="131B2E"/>
          <w:sz w:val="20"/>
        </w:rPr>
        <w:t>, que revelan un problema que las cifras puntuales ocultaban: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85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Cifra reportada</w:t>
            </w:r>
          </w:p>
        </w:tc>
        <w:tc>
          <w:tcPr>
            <w:tcW w:type="dxa" w:w="2551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IC 95 % real</w:t>
            </w:r>
          </w:p>
        </w:tc>
        <w:tc>
          <w:tcPr>
            <w:tcW w:type="dxa" w:w="3118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Lectura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50 % de detección en fuerza bruta (3/6)</w:t>
            </w:r>
          </w:p>
        </w:tc>
        <w:tc>
          <w:tcPr>
            <w:tcW w:type="dxa" w:w="2551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18,8 % – 81,2 %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 n = 6 no sostiene ninguna conclusión</w:t>
            </w:r>
          </w:p>
        </w:tc>
      </w:tr>
      <w:tr>
        <w:tc>
          <w:tcPr>
            <w:tcW w:type="dxa" w:w="3685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55,2 % en password-spray (16/29)</w:t>
            </w:r>
          </w:p>
        </w:tc>
        <w:tc>
          <w:tcPr>
            <w:tcW w:type="dxa" w:w="2551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37,5 % – 71,6 %</w:t>
            </w:r>
          </w:p>
        </w:tc>
        <w:tc>
          <w:tcPr>
            <w:tcW w:type="dxa" w:w="311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Intervalo muy amplio; conclusión débil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88.3 % de detección global (158/179)</w:t>
            </w:r>
          </w:p>
        </w:tc>
        <w:tc>
          <w:tcPr>
            <w:tcW w:type="dxa" w:w="2551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82,7 % – 92,2 %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Sólido</w:t>
            </w:r>
          </w:p>
        </w:tc>
      </w:tr>
    </w:tbl>
    <w:p>
      <w:pPr>
        <w:spacing w:before="200" w:after="60"/>
      </w:pPr>
      <w:r>
        <w:rPr>
          <w:b/>
          <w:color w:val="B91C1C"/>
          <w:sz w:val="22"/>
        </w:rPr>
        <w:t>✘  No abordado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Repetición del experimento de modelado.</w:t>
      </w:r>
      <w:r>
        <w:rPr>
          <w:b w:val="0"/>
          <w:color w:val="131B2E"/>
          <w:sz w:val="20"/>
        </w:rPr>
        <w:t xml:space="preserve"> La calibración se ejecutó una sola vez; no hay repeticiones independientes que permitan estimar la variabilidad del umbral.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Confiabilidad inter-evaluador.</w:t>
      </w:r>
      <w:r>
        <w:rPr>
          <w:b w:val="0"/>
          <w:color w:val="131B2E"/>
          <w:sz w:val="20"/>
        </w:rPr>
        <w:t xml:space="preserve"> No aplica al diseño actual, que no emplea jueces ni instrumentos de percepción.</w:t>
      </w:r>
    </w:p>
    <w:p/>
    <w:p>
      <w:pPr>
        <w:spacing w:before="320" w:after="120"/>
        <w:pBdr>
          <w:bottom w:val="single" w:sz="8" w:color="0F8A7D"/>
        </w:pBdr>
      </w:pPr>
      <w:r>
        <w:rPr>
          <w:b/>
          <w:color w:val="0F8A7D"/>
          <w:sz w:val="30"/>
        </w:rPr>
        <w:t xml:space="preserve">5.  </w:t>
      </w:r>
      <w:r>
        <w:rPr>
          <w:b/>
          <w:color w:val="131B2E"/>
          <w:sz w:val="28"/>
        </w:rPr>
        <w:t>Qué falta y cómo se abordará con el tiempo disponible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 xml:space="preserve">Ordenado por relación entre costo y beneficio. </w:t>
      </w:r>
      <w:r>
        <w:rPr>
          <w:b/>
          <w:i w:val="0"/>
          <w:color w:val="131B2E"/>
          <w:sz w:val="20"/>
        </w:rPr>
        <w:t>Ninguna acción de los bloques A y B requiere capturar datos nuevos.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5102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1814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Corrige</w:t>
            </w:r>
          </w:p>
        </w:tc>
        <w:tc>
          <w:tcPr>
            <w:tcW w:type="dxa" w:w="1474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Tiempo</w:t>
            </w:r>
          </w:p>
        </w:tc>
      </w:tr>
      <w:tr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A1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Declarar la selección posterior del modelo y que la detección reportada es una estimación optimista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Validez interna</w:t>
            </w:r>
          </w:p>
        </w:tc>
        <w:tc>
          <w:tcPr>
            <w:tcW w:type="dxa" w:w="1474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A2</w:t>
            </w:r>
          </w:p>
        </w:tc>
        <w:tc>
          <w:tcPr>
            <w:tcW w:type="dxa" w:w="5102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Incorporar los intervalos de confianza a todas las proporciones reportadas</w:t>
            </w:r>
          </w:p>
        </w:tc>
        <w:tc>
          <w:tcPr>
            <w:tcW w:type="dxa" w:w="181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Confiabilidad</w:t>
            </w:r>
          </w:p>
        </w:tc>
        <w:tc>
          <w:tcPr>
            <w:tcW w:type="dxa" w:w="1474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A3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Sustituir las conclusiones sobre familias con n ≤ 6 por declaración de muestra insuficiente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Confiabilidad</w:t>
            </w:r>
          </w:p>
        </w:tc>
        <w:tc>
          <w:tcPr>
            <w:tcW w:type="dxa" w:w="1474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A4</w:t>
            </w:r>
          </w:p>
        </w:tc>
        <w:tc>
          <w:tcPr>
            <w:tcW w:type="dxa" w:w="5102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Reportar el error operativo (23–26 %) junto al de laboratorio (4,71 %)</w:t>
            </w:r>
          </w:p>
        </w:tc>
        <w:tc>
          <w:tcPr>
            <w:tcW w:type="dxa" w:w="181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Validez externa</w:t>
            </w:r>
          </w:p>
        </w:tc>
        <w:tc>
          <w:tcPr>
            <w:tcW w:type="dxa" w:w="1474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A5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Publicar el diccionario de fórmulas de las 14 variables nuevas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Constructo</w:t>
            </w:r>
          </w:p>
        </w:tc>
        <w:tc>
          <w:tcPr>
            <w:tcW w:type="dxa" w:w="1474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680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B1</w:t>
            </w:r>
          </w:p>
        </w:tc>
        <w:tc>
          <w:tcPr>
            <w:tcW w:type="dxa" w:w="5102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Ejecutar la prueba de ablación por capas (L3/L4/L7) y la comparación 14 vs. 28 variables</w:t>
            </w:r>
          </w:p>
        </w:tc>
        <w:tc>
          <w:tcPr>
            <w:tcW w:type="dxa" w:w="181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Constructo</w:t>
            </w:r>
          </w:p>
        </w:tc>
        <w:tc>
          <w:tcPr>
            <w:tcW w:type="dxa" w:w="1474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1–2 días</w:t>
            </w:r>
          </w:p>
        </w:tc>
      </w:tr>
      <w:tr>
        <w:tc>
          <w:tcPr>
            <w:tcW w:type="dxa" w:w="680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B2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Prueba de estabilidad por remuestreo del modelo elegido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Validez interna</w:t>
            </w:r>
          </w:p>
        </w:tc>
        <w:tc>
          <w:tcPr>
            <w:tcW w:type="dxa" w:w="1474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680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B3</w:t>
            </w:r>
          </w:p>
        </w:tc>
        <w:tc>
          <w:tcPr>
            <w:tcW w:type="dxa" w:w="5102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Prueba de significancia entre modelos</w:t>
            </w:r>
          </w:p>
        </w:tc>
        <w:tc>
          <w:tcPr>
            <w:tcW w:type="dxa" w:w="181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Validez interna</w:t>
            </w:r>
          </w:p>
        </w:tc>
        <w:tc>
          <w:tcPr>
            <w:tcW w:type="dxa" w:w="1474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68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C1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Capturar una jornada nueva y reservarla como validación temporal externa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Validez externa</w:t>
            </w:r>
          </w:p>
        </w:tc>
        <w:tc>
          <w:tcPr>
            <w:tcW w:type="dxa" w:w="1474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Días</w:t>
            </w:r>
          </w:p>
        </w:tc>
      </w:tr>
      <w:tr>
        <w:tc>
          <w:tcPr>
            <w:tcW w:type="dxa" w:w="68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C2</w:t>
            </w:r>
          </w:p>
        </w:tc>
        <w:tc>
          <w:tcPr>
            <w:tcW w:type="dxa" w:w="5102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Recalibrar el umbral incluyendo tráfico legítimo intenso y repetir la validación</w:t>
            </w:r>
          </w:p>
        </w:tc>
        <w:tc>
          <w:tcPr>
            <w:tcW w:type="dxa" w:w="181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Validez externa</w:t>
            </w:r>
          </w:p>
        </w:tc>
        <w:tc>
          <w:tcPr>
            <w:tcW w:type="dxa" w:w="1474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1–2 semanas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8"/>
          </w:tcPr>
          <w:p>
            <w:r/>
            <w:r>
              <w:rPr>
                <w:b/>
                <w:color w:val="0F8A7D"/>
                <w:sz w:val="20"/>
              </w:rPr>
              <w:t>Compromiso realista</w:t>
            </w:r>
          </w:p>
          <w:p>
            <w:pPr>
              <w:jc w:val="both"/>
            </w:pPr>
            <w:r>
              <w:rPr>
                <w:b w:val="0"/>
                <w:color w:val="131B2E"/>
                <w:sz w:val="19"/>
              </w:rPr>
              <w:t xml:space="preserve">Con el tiempo disponible se ejecutarán los </w:t>
            </w:r>
            <w:r>
              <w:rPr>
                <w:b/>
                <w:color w:val="131B2E"/>
                <w:sz w:val="19"/>
              </w:rPr>
              <w:t>bloques A y B</w:t>
            </w:r>
            <w:r>
              <w:rPr>
                <w:b w:val="0"/>
                <w:color w:val="131B2E"/>
                <w:sz w:val="19"/>
              </w:rPr>
              <w:t xml:space="preserve"> antes de cerrar la tesis: cubren los dos requisitos formales pendientes y corrigen la principal deficiencia estadística </w:t>
            </w:r>
            <w:r>
              <w:rPr>
                <w:b/>
                <w:color w:val="131B2E"/>
                <w:sz w:val="19"/>
              </w:rPr>
              <w:t>sin requerir experimentación nueva</w:t>
            </w:r>
            <w:r>
              <w:rPr>
                <w:b w:val="0"/>
                <w:color w:val="131B2E"/>
                <w:sz w:val="19"/>
              </w:rPr>
              <w:t xml:space="preserve">. El </w:t>
            </w:r>
            <w:r>
              <w:rPr>
                <w:b/>
                <w:color w:val="131B2E"/>
                <w:sz w:val="19"/>
              </w:rPr>
              <w:t>bloque C</w:t>
            </w:r>
            <w:r>
              <w:rPr>
                <w:b w:val="0"/>
                <w:color w:val="131B2E"/>
                <w:sz w:val="19"/>
              </w:rPr>
              <w:t xml:space="preserve"> se declarará como trabajo futuro, indicando con precisión qué quedaría por demostrar.</w:t>
            </w:r>
          </w:p>
        </w:tc>
      </w:tr>
    </w:tbl>
    <w:p/>
    <w:p>
      <w:pPr>
        <w:spacing w:before="320" w:after="120"/>
        <w:pBdr>
          <w:bottom w:val="single" w:sz="8" w:color="0F8A7D"/>
        </w:pBdr>
      </w:pPr>
      <w:r>
        <w:rPr>
          <w:b/>
          <w:color w:val="0F8A7D"/>
          <w:sz w:val="30"/>
        </w:rPr>
        <w:t xml:space="preserve">6.  </w:t>
      </w:r>
      <w:r>
        <w:rPr>
          <w:b/>
          <w:color w:val="131B2E"/>
          <w:sz w:val="28"/>
        </w:rPr>
        <w:t>Conclusión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 xml:space="preserve">Los resultados sostienen una afirmación </w:t>
      </w:r>
      <w:r>
        <w:rPr>
          <w:b/>
          <w:i w:val="0"/>
          <w:color w:val="131B2E"/>
          <w:sz w:val="20"/>
        </w:rPr>
        <w:t>acotada y verdadera</w:t>
      </w:r>
      <w:r>
        <w:rPr>
          <w:b w:val="0"/>
          <w:i w:val="0"/>
          <w:color w:val="131B2E"/>
          <w:sz w:val="20"/>
        </w:rPr>
        <w:t>: se demostró la viabilidad de detectar comportamientos anómalos y ejercer control en línea en tiempo real sobre una red real, con capacidad discriminante alta (</w:t>
      </w:r>
      <w:r>
        <w:rPr>
          <w:b/>
          <w:i w:val="0"/>
          <w:color w:val="131B2E"/>
          <w:sz w:val="20"/>
        </w:rPr>
        <w:t>ROC-AUC = 0,974</w:t>
      </w:r>
      <w:r>
        <w:rPr>
          <w:b w:val="0"/>
          <w:i w:val="0"/>
          <w:color w:val="131B2E"/>
          <w:sz w:val="20"/>
        </w:rPr>
        <w:t xml:space="preserve">), detección del </w:t>
      </w:r>
      <w:r>
        <w:rPr>
          <w:b/>
          <w:i w:val="0"/>
          <w:color w:val="131B2E"/>
          <w:sz w:val="20"/>
        </w:rPr>
        <w:t>88.8 %</w:t>
      </w:r>
      <w:r>
        <w:rPr>
          <w:b w:val="0"/>
          <w:i w:val="0"/>
          <w:color w:val="131B2E"/>
          <w:sz w:val="20"/>
        </w:rPr>
        <w:t xml:space="preserve"> sobre ataques genuinos y bloqueo en una mediana de </w:t>
      </w:r>
      <w:r>
        <w:rPr>
          <w:b/>
          <w:i w:val="0"/>
          <w:color w:val="131B2E"/>
          <w:sz w:val="20"/>
        </w:rPr>
        <w:t>8 segundos</w:t>
      </w:r>
      <w:r>
        <w:rPr>
          <w:b w:val="0"/>
          <w:i w:val="0"/>
          <w:color w:val="131B2E"/>
          <w:sz w:val="20"/>
        </w:rPr>
        <w:t>.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 xml:space="preserve">No sostienen todavía que el sistema sea apto para operación desatendida: sobre tráfico legítimo de alto volumen el error alcanza </w:t>
      </w:r>
      <w:r>
        <w:rPr>
          <w:b/>
          <w:i w:val="0"/>
          <w:color w:val="131B2E"/>
          <w:sz w:val="20"/>
        </w:rPr>
        <w:t>23–26 %</w:t>
      </w:r>
      <w:r>
        <w:rPr>
          <w:b w:val="0"/>
          <w:i w:val="0"/>
          <w:color w:val="131B2E"/>
          <w:sz w:val="20"/>
        </w:rPr>
        <w:t xml:space="preserve">. Esa limitación </w:t>
      </w:r>
      <w:r>
        <w:rPr>
          <w:b/>
          <w:i w:val="0"/>
          <w:color w:val="131B2E"/>
          <w:sz w:val="20"/>
        </w:rPr>
        <w:t>está medida, cuantificada y declarada</w:t>
      </w:r>
      <w:r>
        <w:rPr>
          <w:b w:val="0"/>
          <w:i w:val="0"/>
          <w:color w:val="131B2E"/>
          <w:sz w:val="20"/>
        </w:rPr>
        <w:t>, que es la condición que la hace defendible ante una revisión por pares.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 xml:space="preserve">La prioridad antes de cerrar no es mejorar el sistema, sino </w:t>
      </w:r>
      <w:r>
        <w:rPr>
          <w:b/>
          <w:i w:val="0"/>
          <w:color w:val="131B2E"/>
          <w:sz w:val="20"/>
        </w:rPr>
        <w:t>corregir la inferencia</w:t>
      </w:r>
      <w:r>
        <w:rPr>
          <w:b w:val="0"/>
          <w:i w:val="0"/>
          <w:color w:val="131B2E"/>
          <w:sz w:val="20"/>
        </w:rPr>
        <w:t>: declarar la selección posterior del modelo, acompañar cada cifra de su intervalo de confianza y ejecutar la ablación pendiente.</w:t>
      </w:r>
    </w:p>
    <w:p/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Referencias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Campbell, D. T., &amp; Stanley, J. C. (1963).</w:t>
      </w:r>
      <w:r>
        <w:rPr>
          <w:b w:val="0"/>
          <w:color w:val="131B2E"/>
          <w:sz w:val="20"/>
        </w:rPr>
        <w:t xml:space="preserve"> Experimental and quasi-experimental designs for research. Rand McNally. — Marco de validez interna y externa aplicado en las secciones 2 y 3.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Wilson, E. B. (1927).</w:t>
      </w:r>
      <w:r>
        <w:rPr>
          <w:b w:val="0"/>
          <w:color w:val="131B2E"/>
          <w:sz w:val="20"/>
        </w:rPr>
        <w:t xml:space="preserve"> Probable inference, the law of succession, and statistical inference. Journal of the American Statistical Association, 22(158), 209–212. — Método de los intervalos de confianza.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Cronbach, L. J. (1951).</w:t>
      </w:r>
      <w:r>
        <w:rPr>
          <w:b w:val="0"/>
          <w:color w:val="131B2E"/>
          <w:sz w:val="20"/>
        </w:rPr>
        <w:t xml:space="preserve"> Coefficient alpha and the internal structure of tests. Psychometrika, 16(3), 297–334. — Criterio de consistencia interna, no aplicable por no emplear instrumentos psicométricos.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Peng, R. D. (2011).</w:t>
      </w:r>
      <w:r>
        <w:rPr>
          <w:b w:val="0"/>
          <w:color w:val="131B2E"/>
          <w:sz w:val="20"/>
        </w:rPr>
        <w:t xml:space="preserve"> Reproducible research in computational science. Science, 334(6060), 1226–1227. — Distinción entre reproducibilidad y replicabilidad, sección 4.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Kapoor, S., &amp; Narayanan, A. (2023).</w:t>
      </w:r>
      <w:r>
        <w:rPr>
          <w:b w:val="0"/>
          <w:color w:val="131B2E"/>
          <w:sz w:val="20"/>
        </w:rPr>
        <w:t xml:space="preserve"> Leakage and the reproducibility crisis in machine-learning-based science. Patterns, 4(9), 100804. — Tipología de fugas y del sesgo por selección sobre el conjunto de prueba.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ISO/IEC 25010:2011.</w:t>
      </w:r>
      <w:r>
        <w:rPr>
          <w:b w:val="0"/>
          <w:color w:val="131B2E"/>
          <w:sz w:val="20"/>
        </w:rPr>
        <w:t xml:space="preserve"> Systems and software engineering — SQuaRE — System and software quality models. — Su correspondencia detallada se desarrolla en la ficha de auditoría del producto.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8"/>
          </w:tcPr>
          <w:p>
            <w:r/>
            <w:r>
              <w:rPr>
                <w:b/>
                <w:color w:val="0F8A7D"/>
                <w:sz w:val="20"/>
              </w:rPr>
              <w:t>Anexo técnico</w:t>
            </w:r>
          </w:p>
          <w:p>
            <w:pPr>
              <w:jc w:val="both"/>
            </w:pPr>
            <w:r>
              <w:rPr>
                <w:b w:val="0"/>
                <w:color w:val="131B2E"/>
                <w:sz w:val="19"/>
              </w:rPr>
              <w:t>El análisis completo, con las 11 figuras, la comparación de los 7 modelos evaluados y el detalle de cada hallazgo, está disponible en el repositorio del proyecto: docs/entregables/01-evaluacion-critica/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