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Procedimiento seguido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La consigna planteaba seis pasos. Se dejan explícitos para que pueda verificarse que se siguieron y no solo que se entregó la ficha: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1 — Conformación del equipo.</w:t>
      </w:r>
      <w:r>
        <w:rPr>
          <w:b w:val="0"/>
          <w:color w:val="131B2E"/>
          <w:sz w:val="20"/>
        </w:rPr>
        <w:t xml:space="preserve"> Rubén Mark Salazar Tocas y Uziel Elias Sauñe Fernandez, los mismos integrantes del proyecto auditado.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2 — Análisis del producto validado.</w:t>
      </w:r>
      <w:r>
        <w:rPr>
          <w:b w:val="0"/>
          <w:color w:val="131B2E"/>
          <w:sz w:val="20"/>
        </w:rPr>
        <w:t xml:space="preserve"> Se auditó el sistema realmente desplegado en VM02, no su especificación: motor de decisión, mecanismo de bloqueo y panel de observación.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3 — Evidencia de confiabilidad.</w:t>
      </w:r>
      <w:r>
        <w:rPr>
          <w:b w:val="0"/>
          <w:color w:val="131B2E"/>
          <w:sz w:val="20"/>
        </w:rPr>
        <w:t xml:space="preserve"> Las tres vías nombradas (Alfa, Kappa, validación cruzada) más las que corresponden a un sistema de software. → Sección 1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4 — Evidencia de replicabilidad.</w:t>
      </w:r>
      <w:r>
        <w:rPr>
          <w:b w:val="0"/>
          <w:color w:val="131B2E"/>
          <w:sz w:val="20"/>
        </w:rPr>
        <w:t xml:space="preserve"> Se comprobó ejecutando, no solo leyendo documentación, qué está publicado y qué no. → Sección 2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5 — Evidencia de pertinencia.</w:t>
      </w:r>
      <w:r>
        <w:rPr>
          <w:b w:val="0"/>
          <w:color w:val="131B2E"/>
          <w:sz w:val="20"/>
        </w:rPr>
        <w:t xml:space="preserve"> Se contrastó el producto con el problema declarado y con los requisitos comprometidos. → Sección 3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Paso 6 — Diligenciamiento y cálculo.</w:t>
      </w:r>
      <w:r>
        <w:rPr>
          <w:b w:val="0"/>
          <w:color w:val="131B2E"/>
          <w:sz w:val="20"/>
        </w:rPr>
        <w:t xml:space="preserve"> Puntuación ítem por ítem, subtotales y puntaje final. → Secciones 4 y 5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Cómo se realizó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Para que la ficha sea verificable y no una autoevaluación complaciente, se fijó de antemano qué se aceptaría como evidencia: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Solo cuenta lo que puede comprobar un tercero.</w:t>
      </w:r>
      <w:r>
        <w:rPr>
          <w:b w:val="0"/>
          <w:color w:val="131B2E"/>
          <w:sz w:val="20"/>
        </w:rPr>
        <w:t xml:space="preserve"> Una afirmación documentada pero no ejecutada se puntúa como declarada, nunca como completa.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verificó ejecutando, no leyendo.</w:t>
      </w:r>
      <w:r>
        <w:rPr>
          <w:b w:val="0"/>
          <w:color w:val="131B2E"/>
          <w:sz w:val="20"/>
        </w:rPr>
        <w:t xml:space="preserve"> La reproducibilidad se comprobó reevaluando el modelo congelado; la disponibilidad de datos, inspeccionando qué excluye el repositorio y cuánto ocupa cada artefacto.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Las cifras del proyecto no se transcriben a mano.</w:t>
      </w:r>
      <w:r>
        <w:rPr>
          <w:b w:val="0"/>
          <w:color w:val="131B2E"/>
          <w:sz w:val="20"/>
        </w:rPr>
        <w:t xml:space="preserve"> Se leen del manifiesto de calibración y de los registros de la validación operativa.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ausente se puntúa como ausente.</w:t>
      </w:r>
      <w:r>
        <w:rPr>
          <w:b w:val="0"/>
          <w:color w:val="131B2E"/>
          <w:sz w:val="20"/>
        </w:rPr>
        <w:t xml:space="preserve"> No se compensa una carencia con una fortaleza de otra dimensión.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Lo que no aplica se excluye del cálculo</w:t>
      </w:r>
      <w:r>
        <w:rPr>
          <w:b w:val="0"/>
          <w:color w:val="131B2E"/>
          <w:sz w:val="20"/>
        </w:rPr>
        <w:t>, en vez de puntuarse con cero.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sobre el modelo congelado. Existe leave-one-episode-out, pero solo sobre un pipeline descartado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completos de validación operativa con resultados equivalentes (25,8 % y 23,0 %)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confianza de Wilson 95 % sobre todas las proporciones; incorporados a posteriori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8 / 15 puntos  =  53.3 %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Alta en </w:t>
      </w:r>
      <w:r>
        <w:rPr>
          <w:b/>
          <w:i w:val="0"/>
          <w:color w:val="131B2E"/>
          <w:sz w:val="20"/>
        </w:rPr>
        <w:t>reproducibilidad técnica</w:t>
      </w:r>
      <w:r>
        <w:rPr>
          <w:b w:val="0"/>
          <w:i w:val="0"/>
          <w:color w:val="131B2E"/>
          <w:sz w:val="20"/>
        </w:rPr>
        <w:t xml:space="preserve"> —el resultado se vuelve a obtener exactamente— pero baja en </w:t>
      </w:r>
      <w:r>
        <w:rPr>
          <w:b/>
          <w:i w:val="0"/>
          <w:color w:val="131B2E"/>
          <w:sz w:val="20"/>
        </w:rPr>
        <w:t>validación estadística</w:t>
      </w:r>
      <w:r>
        <w:rPr>
          <w:b w:val="0"/>
          <w:i w:val="0"/>
          <w:color w:val="131B2E"/>
          <w:sz w:val="20"/>
        </w:rPr>
        <w:t>: falta validación cruzada sobre el modelo elegido y no hay acuerdo inter-evaluador porque el diseño no lo contempla.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522 archivos versionados y 346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publicados. El repositorio excluye artifacts/ en bloque y esa regla arrastra al dataset (708 KB) y al modelo (8 KB) junto con lo que sí pesa: 60 MB de dependencias y 24 MB de capturas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Manual de operación y documentación por fases disponibles; falta el manual de implementación técnica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14 / 18 puntos  =  77.8 %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producto. La cadena de integridad (hashes, repositorio limpio, versiones fijadas) es superior a lo habitual. La brecha real es que </w:t>
      </w:r>
      <w:r>
        <w:rPr>
          <w:b/>
          <w:i w:val="0"/>
          <w:color w:val="131B2E"/>
          <w:sz w:val="20"/>
        </w:rPr>
        <w:t>los datos no están publicados</w:t>
      </w:r>
      <w:r>
        <w:rPr>
          <w:b w:val="0"/>
          <w:i w:val="0"/>
          <w:color w:val="131B2E"/>
          <w:sz w:val="20"/>
        </w:rPr>
        <w:t>, lo que impide replicar el entrenamiento de forma independiente.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53.3 %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77.8 %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62.7 %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62.7 %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los datasets (o un subconjunto) con enlace citable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Completar el manual de implementación técnica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día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32/51 (62.7 %)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39/51 (76.5 %)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Correspondencia con la norma ISO/IEC 25010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norma de calidad de producto de software permite situar los resultados en un marco reconocido. Se declara solo lo que el proyecto </w:t>
      </w:r>
      <w:r>
        <w:rPr>
          <w:b/>
          <w:i w:val="0"/>
          <w:color w:val="131B2E"/>
          <w:sz w:val="20"/>
        </w:rPr>
        <w:t>midió</w:t>
      </w:r>
      <w:r>
        <w:rPr>
          <w:b w:val="0"/>
          <w:i w:val="0"/>
          <w:color w:val="131B2E"/>
          <w:sz w:val="20"/>
        </w:rPr>
        <w:t>; el resto se marca como no evaluado, en lugar de suponerlo.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0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Característica ISO/IEC 25010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¿Se evaluó?</w:t>
            </w:r>
          </w:p>
        </w:tc>
        <w:tc>
          <w:tcPr>
            <w:tcW w:type="dxa" w:w="504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en este proyecto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Fiabilidad — madurez, disponibilidad, tolerancia a fallos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100 % de disponibilidad en 57 corridas, sin pérdida de paquetes. Tres fallos de producción detectados y corregidos con prueba positiva y negativa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Eficiencia de desempeño — comportamiento temporal</w:t>
            </w:r>
          </w:p>
        </w:tc>
        <w:tc>
          <w:tcPr>
            <w:tcW w:type="dxa" w:w="124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Sí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Bloqueo en una mediana de 8 s. Límite declarado: bajo carga sostenida el motor acumula retraso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Adecuación funcional — completitud y corrección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previstas (88,8 %), pero la corrección se degrada con tráfico legítimo intenso (error 23–26 %)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Seguridad — confidencialidad, integridad, no repudio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 por SHA-256 y acceso por helper de alcance estrecho. NO se evaluó el sistema como objetivo de ataque (evasión, suplantación de IP)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Mantenibilidad — modularidad, reusabilidad</w:t>
            </w:r>
          </w:p>
        </w:tc>
        <w:tc>
          <w:tcPr>
            <w:tcW w:type="dxa" w:w="124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motor reutiliza el extractor congelado sin duplicar fórmulas; 522 archivos versionados. Sin métricas formales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Usabilidad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panel no se sometió a ninguna evaluación de uso (ver ítems 3.1 y 3.2)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Portabilidad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Desplegado sobre una única configuración de laboratorio; no se probó en otro entorno</w:t>
            </w:r>
          </w:p>
        </w:tc>
      </w:tr>
      <w:tr>
        <w:tc>
          <w:tcPr>
            <w:tcW w:type="dxa" w:w="30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Compatibilidad</w:t>
            </w:r>
          </w:p>
        </w:tc>
        <w:tc>
          <w:tcPr>
            <w:tcW w:type="dxa" w:w="1247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</w:t>
            </w:r>
          </w:p>
        </w:tc>
        <w:tc>
          <w:tcPr>
            <w:tcW w:type="dxa" w:w="504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evaluó la coexistencia con otras herramientas de monitoreo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Las dos características que el producto </w:t>
            </w:r>
            <w:r>
              <w:rPr>
                <w:b/>
                <w:color w:val="131B2E"/>
                <w:sz w:val="19"/>
              </w:rPr>
              <w:t>sí demuestra con evidencia</w:t>
            </w:r>
            <w:r>
              <w:rPr>
                <w:b w:val="0"/>
                <w:color w:val="131B2E"/>
                <w:sz w:val="19"/>
              </w:rPr>
              <w:t xml:space="preserve"> —fiabilidad y eficiencia de desempeño— son precisamente las críticas en un sistema de detección en tiempo real. Las no evaluadas coinciden con las carencias que ya señala la ficha: usabilidad con la ausencia de validación con usuarios, y seguridad con la ausencia de pruebas de evasión.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7.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Systems and software engineering — SQuaRE — System and software quality models. International Organization for Standardization.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 and the internal structure of tests. Psychometrika, 16(3), 297–334. — Origen del criterio del ítem 1.1.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Cohen, J. (1960).</w:t>
      </w:r>
      <w:r>
        <w:rPr>
          <w:b w:val="0"/>
          <w:color w:val="131B2E"/>
          <w:sz w:val="20"/>
        </w:rPr>
        <w:t xml:space="preserve"> A coefficient of agreement for nominal scales. Educational and Psychological Measurement, 20(1), 37–46. — Origen del criterio del ítem 1.2.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usado para los intervalos del ítem 1.6.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Wilkinson, M. D., et al. (2016).</w:t>
      </w:r>
      <w:r>
        <w:rPr>
          <w:b w:val="0"/>
          <w:color w:val="131B2E"/>
          <w:sz w:val="20"/>
        </w:rPr>
        <w:t xml:space="preserve"> The FAIR Guiding Principles for scientific data management and stewardship. Scientific Data, 3, 160018. — Marco de referencia de la sección 2.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 — Distinción entre reproducibilidad y replicabilidad, ítems 1.4 y 2.1–2.6.</w:t>
      </w:r>
    </w:p>
    <w:sectPr w:rsidR="00FC693F" w:rsidRPr="0006063C" w:rsidSect="00034616"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