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</w:t>
      </w:r>
      <w:r>
        <w:rPr>
          <w:rFonts w:ascii="Consolas" w:hAnsi="Consolas"/>
          <w:b w:val="0"/>
          <w:i w:val="0"/>
          <w:color w:val="5B6B8C"/>
          <w:sz w:val="16"/>
        </w:rPr>
        <w:t>07-plan-de-validacion/plan-de-validacion-de-resultados.md</w:t>
      </w:r>
      <w:r>
        <w:rPr>
          <w:b w:val="0"/>
          <w:i w:val="0"/>
          <w:color w:val="5B6B8C"/>
          <w:sz w:val="16"/>
        </w:rPr>
        <w:t>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¿El resultado se debe a lo que decimos, o algo lo contamina?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Nuestros datos</w:t>
            </w:r>
            <w:r>
              <w:rPr>
                <w:b w:val="0"/>
                <w:i w:val="0"/>
                <w:color w:val="131B2E"/>
                <w:sz w:val="16"/>
              </w:rPr>
              <w:t xml:space="preserve"> se reparten por corrida completa, no al azar: así el modelo no puede reconocer la corrida en vez del ataque. Detectamos una fuga real y la corregimos.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¿Funcionaría fuera de nuestro laboratorio?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modelo</w:t>
            </w:r>
            <w:r>
              <w:rPr>
                <w:b w:val="0"/>
                <w:i w:val="0"/>
                <w:color w:val="131B2E"/>
                <w:sz w:val="16"/>
              </w:rPr>
              <w:t xml:space="preserve"> se probó con validación cruzada de 5 pliegues y 58 corridas en la red real. Falta una jornada nueva: hasta tenerla </w:t>
            </w:r>
            <w:r>
              <w:rPr>
                <w:b/>
                <w:i w:val="0"/>
                <w:color w:val="131B2E"/>
                <w:sz w:val="16"/>
              </w:rPr>
              <w:t>no afirmamos</w:t>
            </w:r>
            <w:r>
              <w:rPr>
                <w:b w:val="0"/>
                <w:i w:val="0"/>
                <w:color w:val="131B2E"/>
                <w:sz w:val="16"/>
              </w:rPr>
              <w:t xml:space="preserve"> que funcione en otra red.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Parcial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Confiabilidad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Si repetimos la medición, ¿da lo mismo?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sistema es determinista</w:t>
            </w:r>
            <w:r>
              <w:rPr>
                <w:b w:val="0"/>
                <w:i w:val="0"/>
                <w:color w:val="131B2E"/>
                <w:sz w:val="16"/>
              </w:rPr>
              <w:t>: 10 ajustes repetidos dieron el mismo modelo y el mismo umbral. Dos pases completos de validación dieron resultados equivalentes.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Lo que medimos, ¿mide lo que decimos?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Nuestras 28 variables</w:t>
            </w:r>
            <w:r>
              <w:rPr>
                <w:b w:val="0"/>
                <w:i w:val="0"/>
                <w:color w:val="131B2E"/>
                <w:sz w:val="16"/>
              </w:rPr>
              <w:t xml:space="preserve"> están definidas una por una con su fórmula, ventana y fuente, generadas desde el código que corre. Ninguna se describe de memoria.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α de Cronbach / Kappa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¿Por qué no las usamos?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producto no es un cuestionario</w:t>
            </w:r>
            <w:r>
              <w:rPr>
                <w:b w:val="0"/>
                <w:i w:val="0"/>
                <w:color w:val="131B2E"/>
                <w:sz w:val="16"/>
              </w:rPr>
              <w:t xml:space="preserve"> ni tiene jueces clasificando, así que ninguna de las dos aplica. El Alfa se calculará sobre el SUS, que sí tiene 10 ítems.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</w:t>
      </w:r>
      <w:r>
        <w:rPr>
          <w:b w:val="0"/>
          <w:i/>
          <w:color w:val="131B2E"/>
          <w:sz w:val="17"/>
        </w:rPr>
        <w:t>adecuación funcional</w:t>
      </w:r>
      <w:r>
        <w:rPr>
          <w:b w:val="0"/>
          <w:i w:val="0"/>
          <w:color w:val="131B2E"/>
          <w:sz w:val="17"/>
        </w:rPr>
        <w:t xml:space="preserve"> (detecta y bloquea, 88,8 % de detección), </w:t>
      </w:r>
      <w:r>
        <w:rPr>
          <w:b w:val="0"/>
          <w:i/>
          <w:color w:val="131B2E"/>
          <w:sz w:val="17"/>
        </w:rPr>
        <w:t>eficiencia de desempeño</w:t>
      </w:r>
      <w:r>
        <w:rPr>
          <w:b w:val="0"/>
          <w:i w:val="0"/>
          <w:color w:val="131B2E"/>
          <w:sz w:val="17"/>
        </w:rPr>
        <w:t xml:space="preserve"> (bloqueo en mediana de 8,0 s), </w:t>
      </w:r>
      <w:r>
        <w:rPr>
          <w:b w:val="0"/>
          <w:i/>
          <w:color w:val="131B2E"/>
          <w:sz w:val="17"/>
        </w:rPr>
        <w:t>confiabilidad</w:t>
      </w:r>
      <w:r>
        <w:rPr>
          <w:b w:val="0"/>
          <w:i w:val="0"/>
          <w:color w:val="131B2E"/>
          <w:sz w:val="17"/>
        </w:rPr>
        <w:t xml:space="preserve"> (cero caídas en 58 corridas, determinismo verificado) y </w:t>
      </w:r>
      <w:r>
        <w:rPr>
          <w:b w:val="0"/>
          <w:i/>
          <w:color w:val="131B2E"/>
          <w:sz w:val="17"/>
        </w:rPr>
        <w:t>seguridad</w:t>
      </w:r>
      <w:r>
        <w:rPr>
          <w:b w:val="0"/>
          <w:i w:val="0"/>
          <w:color w:val="131B2E"/>
          <w:sz w:val="17"/>
        </w:rPr>
        <w:t xml:space="preserve">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 xml:space="preserve">: </w:t>
      </w:r>
      <w:r>
        <w:rPr>
          <w:b w:val="0"/>
          <w:i/>
          <w:color w:val="131B2E"/>
          <w:sz w:val="17"/>
        </w:rPr>
        <w:t>usabilidad</w:t>
      </w:r>
      <w:r>
        <w:rPr>
          <w:b w:val="0"/>
          <w:i w:val="0"/>
          <w:color w:val="131B2E"/>
          <w:sz w:val="17"/>
        </w:rPr>
        <w:t xml:space="preserve"> —el SUS está pendiente—, </w:t>
      </w:r>
      <w:r>
        <w:rPr>
          <w:b w:val="0"/>
          <w:i/>
          <w:color w:val="131B2E"/>
          <w:sz w:val="17"/>
        </w:rPr>
        <w:t>compatibilidad</w:t>
      </w:r>
      <w:r>
        <w:rPr>
          <w:b w:val="0"/>
          <w:i w:val="0"/>
          <w:color w:val="131B2E"/>
          <w:sz w:val="17"/>
        </w:rPr>
        <w:t xml:space="preserve">, </w:t>
      </w:r>
      <w:r>
        <w:rPr>
          <w:b w:val="0"/>
          <w:i/>
          <w:color w:val="131B2E"/>
          <w:sz w:val="17"/>
        </w:rPr>
        <w:t>mantenibilidad</w:t>
      </w:r>
      <w:r>
        <w:rPr>
          <w:b w:val="0"/>
          <w:i w:val="0"/>
          <w:color w:val="131B2E"/>
          <w:sz w:val="17"/>
        </w:rPr>
        <w:t xml:space="preserve"> y </w:t>
      </w:r>
      <w:r>
        <w:rPr>
          <w:b w:val="0"/>
          <w:i/>
          <w:color w:val="131B2E"/>
          <w:sz w:val="17"/>
        </w:rPr>
        <w:t>portabilidad</w:t>
      </w:r>
      <w:r>
        <w:rPr>
          <w:b w:val="0"/>
          <w:i w:val="0"/>
          <w:color w:val="131B2E"/>
          <w:sz w:val="17"/>
        </w:rPr>
        <w:t>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Ya resuelto en agosto</w:t>
      </w:r>
      <w:r>
        <w:rPr>
          <w:b w:val="0"/>
          <w:i w:val="0"/>
          <w:color w:val="131B2E"/>
          <w:sz w:val="17"/>
        </w:rPr>
        <w:t>, sin capturar datos nuevos ni reentrenar: intervalos de Wilson en toda proporción y McNemar con corrección de Holm; ablación por capas y comparación de 14 contra 28 variables; diccionario de las 28 variables; dataset, manifiesto y 7 modelos publicados con sus checksums; datasheet, model card y system card; declaración de la selección posterior; validación cruzada y bootstrap.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Resultados medidos: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discriminante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ROC-AUC 0,974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Detección de ataques genuinos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88,8 %</w:t>
            </w:r>
            <w:r>
              <w:rPr>
                <w:b w:val="0"/>
                <w:i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Respuesta en tiempo real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i w:val="0"/>
                <w:color w:val="131B2E"/>
                <w:sz w:val="16"/>
              </w:rPr>
              <w:t>8,0 s</w:t>
            </w:r>
            <w:r>
              <w:rPr>
                <w:b w:val="0"/>
                <w:i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Disponibilidad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Cero caídas registradas</w:t>
            </w:r>
            <w:r>
              <w:rPr>
                <w:b w:val="0"/>
                <w:i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Aporte de las variables multicapa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 </w:t>
            </w:r>
            <w:r>
              <w:rPr>
                <w:b/>
                <w:i w:val="0"/>
                <w:color w:val="131B2E"/>
                <w:sz w:val="16"/>
              </w:rPr>
              <w:t>66,5 % a 88,8 %</w:t>
            </w:r>
            <w:r>
              <w:rPr>
                <w:b w:val="0"/>
                <w:i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Superioridad del modelo elegido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Las </w:t>
            </w:r>
            <w:r>
              <w:rPr>
                <w:b/>
                <w:i w:val="0"/>
                <w:color w:val="131B2E"/>
                <w:sz w:val="16"/>
              </w:rPr>
              <w:t>6 comparaciones</w:t>
            </w:r>
            <w:r>
              <w:rPr>
                <w:b w:val="0"/>
                <w:i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Reproducibilidad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</w:t>
            </w:r>
            <w:r>
              <w:rPr>
                <w:b w:val="0"/>
                <w:i w:val="0"/>
                <w:color w:val="131B2E"/>
                <w:sz w:val="16"/>
              </w:rPr>
              <w:t xml:space="preserve"> publicados y verificables. </w:t>
            </w:r>
            <w:r>
              <w:rPr>
                <w:b/>
                <w:i w:val="0"/>
                <w:color w:val="131B2E"/>
                <w:sz w:val="16"/>
              </w:rPr>
              <w:t>No es replicabilidad</w:t>
            </w:r>
            <w:r>
              <w:rPr>
                <w:b w:val="0"/>
                <w:i w:val="0"/>
                <w:color w:val="131B2E"/>
                <w:sz w:val="16"/>
              </w:rPr>
              <w:t>: eso exige datos nuevos y es P-2/P-4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2 ·  Lo que NO está listo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Solo lo que sigue abierto hoy. </w:t>
      </w:r>
      <w:r>
        <w:rPr>
          <w:b/>
          <w:i w:val="0"/>
          <w:color w:val="131B2E"/>
          <w:sz w:val="18"/>
        </w:rPr>
        <w:t>Lo ya resuelto está en la sección 1 y no se repite aquí.</w:t>
      </w:r>
      <w:r>
        <w:rPr>
          <w:b w:val="0"/>
          <w:i w:val="0"/>
          <w:color w:val="131B2E"/>
          <w:sz w:val="18"/>
        </w:rPr>
        <w:t xml:space="preserve"> Las cinco están medidas,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26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de que falta</w:t>
            </w:r>
          </w:p>
        </w:tc>
        <w:tc>
          <w:tcPr>
            <w:tcW w:type="dxa" w:w="119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sistema bloquea tráfico legítimo pesado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 laboratorio se equivoca el 4,71 % de las veces; en operación, 25,81 % y 22,97 %. Una transferencia legítima de 200 Mbit/s bloqueó a un cliente real durante 120 s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modelo se eligió mirando el examen final</w:t>
            </w:r>
            <w:r>
              <w:rPr>
                <w:b w:val="0"/>
                <w:i w:val="0"/>
                <w:color w:val="131B2E"/>
                <w:sz w:val="16"/>
              </w:rPr>
              <w:t xml:space="preserve"> </w:t>
            </w:r>
            <w:r>
              <w:rPr>
                <w:b w:val="0"/>
                <w:i/>
                <w:color w:val="131B2E"/>
                <w:sz w:val="16"/>
              </w:rPr>
              <w:t>(replicabilidad)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compararon 7 candidatos sobre el mismo conjunto de prueba y se escogió el mejor. El 88,8 % es un máximo, no una estimación limpia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Nadie ha usado el panel salvo el equipo</w:t>
            </w:r>
            <w:r>
              <w:rPr>
                <w:b w:val="0"/>
                <w:i w:val="0"/>
                <w:color w:val="131B2E"/>
                <w:sz w:val="16"/>
              </w:rPr>
              <w:t xml:space="preserve"> </w:t>
            </w:r>
            <w:r>
              <w:rPr>
                <w:b w:val="0"/>
                <w:i/>
                <w:color w:val="131B2E"/>
                <w:sz w:val="16"/>
              </w:rPr>
              <w:t>(pertinencia)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El instrumento SUS está preparado, pero el archivo de respuestas tiene 0 filas: no se ha aplicado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se sabe si funciona en otra jornada</w:t>
            </w:r>
            <w:r>
              <w:rPr>
                <w:b w:val="0"/>
                <w:i w:val="0"/>
                <w:color w:val="131B2E"/>
                <w:sz w:val="16"/>
              </w:rPr>
              <w:t xml:space="preserve"> </w:t>
            </w:r>
            <w:r>
              <w:rPr>
                <w:b w:val="0"/>
                <w:i/>
                <w:color w:val="131B2E"/>
                <w:sz w:val="16"/>
              </w:rPr>
              <w:t>(replicabilidad)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44 perfiles aparecen en las tres particiones. Falta una captura nueva que el modelo no haya visto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Faltan 4 escenarios legítimos del jurado</w:t>
            </w:r>
          </w:p>
        </w:tc>
        <w:tc>
          <w:tcPr>
            <w:tcW w:type="dxa" w:w="476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SSH, SCP/SFTP, backup y actualizaciones no están en el dataset</w:t>
            </w:r>
          </w:p>
        </w:tc>
        <w:tc>
          <w:tcPr>
            <w:tcW w:type="dxa" w:w="119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3 ·  Cómo se va a abordar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Una acción por cada pendiente de la sección 2, con el mismo identificador. Todas caben en el laboratorio actual: </w:t>
      </w:r>
      <w:r>
        <w:rPr>
          <w:b/>
          <w:i w:val="0"/>
          <w:color w:val="131B2E"/>
          <w:sz w:val="18"/>
        </w:rPr>
        <w:t>ninguna exige equipo ni presupuesto nuevo</w:t>
      </w:r>
      <w:r>
        <w:rPr>
          <w:b w:val="0"/>
          <w:i w:val="0"/>
          <w:color w:val="131B2E"/>
          <w:sz w:val="18"/>
        </w:rPr>
        <w:t xml:space="preserve">. </w:t>
      </w:r>
      <w:r>
        <w:rPr>
          <w:b/>
          <w:i w:val="0"/>
          <w:color w:val="131B2E"/>
          <w:sz w:val="18"/>
        </w:rPr>
        <w:t>P-2 y P-4 se resuelven con la misma campaña.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408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hará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¿Lo resuelve del todo?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Cuándo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incluyendo la transferencia de 200 Mbit/s como tráfico </w:t>
            </w:r>
            <w:r>
              <w:rPr>
                <w:b/>
                <w:i w:val="0"/>
                <w:color w:val="131B2E"/>
                <w:sz w:val="16"/>
              </w:rPr>
              <w:t>normal</w:t>
            </w:r>
            <w:r>
              <w:rPr>
                <w:b w:val="0"/>
                <w:i w:val="0"/>
                <w:color w:val="131B2E"/>
                <w:sz w:val="16"/>
              </w:rPr>
              <w:t xml:space="preserve"> y repetir las 29 corridas de validación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Sí, si el error baja. Si no baja, queda declarado como límite del sistema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10 oct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Recolectar una </w:t>
            </w:r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que el modelo no vea nunca, y medir sobre ella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Sí. Es la única corrección real: no se arregla escribiendo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 usando el instrumento SUS ya preparado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9 sep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La misma jornada nueva de P-2</w:t>
            </w:r>
            <w:r>
              <w:rPr>
                <w:b w:val="0"/>
                <w:i w:val="0"/>
                <w:color w:val="131B2E"/>
                <w:sz w:val="16"/>
              </w:rPr>
              <w:t xml:space="preserve"> sirve para las dos cosas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Una campaña F1 más: SSH, SCP/SFTP, backup y actualizaciones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19 sep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  <w:t>Propuesta del equipo del 2 de septiembre de 2026, pendiente del visto bueno de los asesores.</w:t>
      </w:r>
      <w:r>
        <w:rPr>
          <w:b w:val="0"/>
          <w:i w:val="0"/>
          <w:color w:val="131B2E"/>
          <w:sz w:val="18"/>
        </w:rPr>
        <w:t xml:space="preserve"> </w:t>
      </w:r>
      <w:r>
        <w:rPr>
          <w:b/>
          <w:i w:val="0"/>
          <w:color w:val="131B2E"/>
          <w:sz w:val="18"/>
        </w:rPr>
        <w:t>La fecha que ordena todo es el 30 de septiembre:</w:t>
      </w:r>
      <w:r>
        <w:rPr>
          <w:b w:val="0"/>
          <w:i w:val="0"/>
          <w:color w:val="131B2E"/>
          <w:sz w:val="18"/>
        </w:rPr>
        <w:t xml:space="preserve"> IJIES sube su APC de USD 300 a 400 el 1 de octubre y lo paga la universidad. Un envío el 28 de septiembre proyecta primera decisión hacia el 8 de noviembre.</w:t>
      </w:r>
    </w:p>
    <w:p>
      <w:pPr>
        <w:spacing w:after="100"/>
        <w:jc w:val="both"/>
      </w:pPr>
      <w:r>
        <w:rPr>
          <w:b/>
          <w:i/>
          <w:color w:val="5B6B8C"/>
          <w:sz w:val="17"/>
        </w:rPr>
        <w:t>Dos riesgos declarados.</w:t>
      </w:r>
      <w:r>
        <w:rPr>
          <w:b w:val="0"/>
          <w:i/>
          <w:color w:val="5B6B8C"/>
          <w:sz w:val="17"/>
        </w:rPr>
        <w:t xml:space="preserve"> El envío deja </w:t>
      </w:r>
      <w:r>
        <w:rPr>
          <w:b/>
          <w:i/>
          <w:color w:val="5B6B8C"/>
          <w:sz w:val="17"/>
        </w:rPr>
        <w:t>3 días de margen</w:t>
      </w:r>
      <w:r>
        <w:rPr>
          <w:b w:val="0"/>
          <w:i/>
          <w:color w:val="5B6B8C"/>
          <w:sz w:val="17"/>
        </w:rPr>
        <w:t xml:space="preserve"> antes de que suba el APC. Y </w:t>
      </w:r>
      <w:r>
        <w:rPr>
          <w:b/>
          <w:i/>
          <w:color w:val="5B6B8C"/>
          <w:sz w:val="17"/>
        </w:rPr>
        <w:t>P-1 y P-2 se cierran después del envío</w:t>
      </w:r>
      <w:r>
        <w:rPr>
          <w:b w:val="0"/>
          <w:i/>
          <w:color w:val="5B6B8C"/>
          <w:sz w:val="17"/>
        </w:rPr>
        <w:t>, con el artículo ya en revisión: es deliberado, porque el artículo se escribe con el resultado ya bloqueado.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36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hace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vie 4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la selección posterior en el documento de tesis (mitiga; la corrección real es el 24 de octubre)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9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Sesión SUS</w:t>
            </w:r>
            <w:r>
              <w:rPr>
                <w:b w:val="0"/>
                <w:i w:val="0"/>
                <w:color w:val="131B2E"/>
                <w:sz w:val="16"/>
              </w:rPr>
              <w:t xml:space="preserve"> de 2 h con 5–8 evaluadores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19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23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+P-3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Juicio experto con 3 evaluadores. </w:t>
            </w:r>
            <w:r>
              <w:rPr>
                <w:b/>
                <w:i w:val="0"/>
                <w:color w:val="131B2E"/>
                <w:sz w:val="16"/>
              </w:rPr>
              <w:t>Refuerza P-3, no lo cierra</w:t>
            </w:r>
            <w:r>
              <w:rPr>
                <w:b w:val="0"/>
                <w:i w:val="0"/>
                <w:color w:val="131B2E"/>
                <w:sz w:val="16"/>
              </w:rPr>
              <w:t>: lo cierra el SUS del 9 de septiembre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lun 28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—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Envío del artículo a IJIES.</w:t>
            </w:r>
            <w:r>
              <w:rPr>
                <w:b w:val="0"/>
                <w:i w:val="0"/>
                <w:color w:val="131B2E"/>
                <w:sz w:val="16"/>
              </w:rPr>
              <w:t xml:space="preserve"> Hito, no un pendiente: el artículo no espera a P-1 ni a P-2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10 oct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Recalibrar</w:t>
            </w:r>
            <w:r>
              <w:rPr>
                <w:b w:val="0"/>
                <w:i w:val="0"/>
                <w:color w:val="131B2E"/>
                <w:sz w:val="16"/>
              </w:rPr>
              <w:t xml:space="preserve"> con tráfico pesado como normalidad y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24 oct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 · P-4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en fecha distinta, sin reutilizar episodios. Cierra los dos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 xml:space="preserve">: cero en la ficha de auditoría, cero en el eje de pertinencia y </w:t>
      </w:r>
      <w:r>
        <w:rPr>
          <w:rFonts w:ascii="Consolas" w:hAnsi="Consolas"/>
          <w:b w:val="0"/>
          <w:i/>
          <w:color w:val="131B2E"/>
          <w:sz w:val="18"/>
        </w:rPr>
        <w:t>D-18</w:t>
      </w:r>
      <w:r>
        <w:rPr>
          <w:b w:val="0"/>
          <w:i/>
          <w:color w:val="131B2E"/>
          <w:sz w:val="18"/>
        </w:rPr>
        <w:t xml:space="preserve">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/>
          <w:i/>
          <w:color w:val="131B2E"/>
          <w:sz w:val="18"/>
        </w:rPr>
        <w:t>El artículo no espera a P-1 ni a P-2.</w:t>
      </w:r>
      <w:r>
        <w:rPr>
          <w:b w:val="0"/>
          <w:i/>
          <w:color w:val="131B2E"/>
          <w:sz w:val="18"/>
        </w:rPr>
        <w:t xml:space="preserve"> La sección de resultados se escribe con lo que ya está bloqueado y no va a cambiar; si algo se retrasa, sale igual con la limitación declarada. </w:t>
      </w:r>
      <w:r>
        <w:rPr>
          <w:b/>
          <w:i/>
          <w:color w:val="131B2E"/>
          <w:sz w:val="18"/>
        </w:rPr>
        <w:t>Ningún pendiente condiciona la sustentación más allá del 24 de octubre.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(Threats to Validity)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i w:val="0"/>
                <w:color w:val="131B2E"/>
                <w:sz w:val="16"/>
              </w:rPr>
              <w:t>selección posterior</w:t>
            </w:r>
            <w:r>
              <w:rPr>
                <w:b w:val="0"/>
                <w:i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Declarada en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  <w:r>
              <w:rPr>
                <w:b w:val="0"/>
                <w:i w:val="0"/>
                <w:color w:val="131B2E"/>
                <w:sz w:val="16"/>
              </w:rPr>
              <w:t xml:space="preserve">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i w:val="0"/>
                <w:color w:val="131B2E"/>
                <w:sz w:val="16"/>
              </w:rPr>
              <w:t>sin jornada de holdout externa</w:t>
            </w:r>
            <w:r>
              <w:rPr>
                <w:b w:val="0"/>
                <w:i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i w:val="0"/>
                <w:color w:val="131B2E"/>
                <w:sz w:val="16"/>
              </w:rPr>
              <w:t>no se afirma generalización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conclusión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i w:val="0"/>
                <w:color w:val="131B2E"/>
                <w:sz w:val="16"/>
              </w:rPr>
              <w:t>descriptivos</w:t>
            </w:r>
            <w:r>
              <w:rPr>
                <w:b w:val="0"/>
                <w:i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«¿el FPR de laboratorio mide el FPR de operación?»</w:t>
            </w:r>
            <w:r>
              <w:rPr>
                <w:b w:val="0"/>
                <w:i w:val="0"/>
                <w:color w:val="131B2E"/>
                <w:sz w:val="16"/>
              </w:rPr>
              <w:t xml:space="preserve"> — </w:t>
            </w:r>
            <w:r>
              <w:rPr>
                <w:b/>
                <w:i w:val="0"/>
                <w:color w:val="131B2E"/>
                <w:sz w:val="16"/>
              </w:rPr>
              <w:t>la medición dice que no</w:t>
            </w:r>
            <w:r>
              <w:rPr>
                <w:b w:val="0"/>
                <w:i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Cualquiera puede descargarlo y ejecutarlo.</w:t>
      </w:r>
      <w:r>
        <w:rPr>
          <w:b w:val="0"/>
          <w:i w:val="0"/>
          <w:color w:val="131B2E"/>
          <w:sz w:val="17"/>
        </w:rPr>
        <w:t xml:space="preserve"> Repositorio público: </w:t>
      </w:r>
      <w:r>
        <w:rPr>
          <w:rFonts w:ascii="Consolas" w:hAnsi="Consolas"/>
          <w:b w:val="0"/>
          <w:i w:val="0"/>
          <w:color w:val="131B2E"/>
          <w:sz w:val="17"/>
        </w:rPr>
        <w:t>github.com/marksato13/VF-Sistema-Open-Source-para-la-Deteccion-Temprana-de-Comportamientos-Anomalos-en-Redes-de-Datos</w:t>
      </w:r>
      <w:r>
        <w:rPr>
          <w:b w:val="0"/>
          <w:i w:val="0"/>
          <w:color w:val="131B2E"/>
          <w:sz w:val="17"/>
        </w:rPr>
        <w:t xml:space="preserve"> — con el dataset, los 7 modelos, los scripts que generan cada cifra de este informe y el entorno con versiones exactas.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