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Ficha de auditoría de validación — esquema del curso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Los seis criterios sobre 20 puntos de la Sesión 02. El análisis extenso de las secciones 1 a 3 los sustenta con 18 ítems sobre 51 puntos.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encontrada</w:t>
            </w:r>
          </w:p>
        </w:tc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Puntaje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estadística reportada (Alfa, Kappa u otra)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proporción, McNemar exacto con corrección de Holm sobre 21 comparaciones y ROC-AUC 0,974. Alfa no aplica: no hay escalas. Kappa no aplica: no hay jueces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Método de validación de resultados declarado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Hold-out con partición disjunta por episodio, umbral calibrado solo con validation y evaluación bloqueada de un solo paso. Falta validación cruzada y jornada de holdout externa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de sistema / determinismo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Reproducción bit a bit verificada: el umbral coincide en sus 16 dígitos y los 7 modelos reproducen el manifiesto. Las semillas aún no se declaran como protocolo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y/o código disponibles públicamente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Dataset, manifiesto y los 7 modelos candidatos publicados, verificables con sha256sum -c, bajo licencias MIT y CC BY 4.0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y dependencias documentadas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de scikit-learn y numpy registradas en el manifiesto congelado, con script de instalación idempotente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 validada con usuarios o stakeholders reales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ninguna. Es la única ausencia total del producto</w:t>
            </w:r>
          </w:p>
        </w:tc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/ 3</w:t>
            </w:r>
          </w:p>
        </w:tc>
      </w:tr>
      <w:tr>
        <w:tc>
          <w:tcPr>
            <w:tcW w:type="dxa" w:w="2835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 / 20  ·  75 %</w:t>
            </w:r>
          </w:p>
        </w:tc>
      </w:tr>
    </w:tbl>
    <w:p>
      <w:pPr>
        <w:spacing w:after="120"/>
        <w:jc w:val="both"/>
      </w:pPr>
      <w:r>
        <w:rPr>
          <w:b/>
          <w:i/>
          <w:color w:val="5B6B8C"/>
          <w:sz w:val="20"/>
        </w:rPr>
        <w:t>El único cero es la validación con personas.</w:t>
      </w:r>
      <w:r>
        <w:rPr>
          <w:b w:val="0"/>
          <w:i/>
          <w:color w:val="5B6B8C"/>
          <w:sz w:val="20"/>
        </w:rPr>
        <w:t xml:space="preserve"> No se corrige documentando: exige evaluadores usando el panel. Una prueba de usabilidad con 5–8 participantes lo convierte en evidencia y eleva el total a 18 de 20.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sobre el modelo congelado. Existe leave-one-episode-out, pero solo sobre un pipeline descartado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completos de validación operativa con resultados equivalentes (25,8 % y 23,0 %)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 y prueba de significancia entre modelos: McNemar exacto con corrección de Holm-Bonferroni sobre las 21 comparaciones por pares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9 / 15 puntos  =  60.0 %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La cuantificación de la incertidumbre pasó de parcial a completa: toda proporción lleva intervalo de Wilson y las comparaciones entre modelos tienen prueba de significancia. Lo que sigue faltando es </w:t>
      </w:r>
      <w:r>
        <w:rPr>
          <w:b/>
          <w:i w:val="0"/>
          <w:color w:val="131B2E"/>
          <w:sz w:val="20"/>
        </w:rPr>
        <w:t>validación cruzada sobre el modelo elegido</w:t>
      </w:r>
      <w:r>
        <w:rPr>
          <w:b w:val="0"/>
          <w:i w:val="0"/>
          <w:color w:val="131B2E"/>
          <w:sz w:val="20"/>
        </w:rPr>
        <w:t>; el acuerdo inter-evaluador no aplica porque el diseño no contempla jueces.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566 archivos versionados y 357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Publicados: dataset, manifiesto y los 7 modelos candidatos, con checksums verificables por sha256sum -c y licencias MIT para el código y CC BY 4.0 para los datos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 semillas registradas, pero no cubren el modelo elegido; el determinismo no se declara como protocolo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datasheet documenta el procedimiento exacto de descarga, verificación y regeneración; queda pendiente el manual de instalación desde cero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17 / 18 puntos  =  94.4 %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producto, y la que más subió: la publicación del dataset y de los siete modelos con checksums y licencias cerró la única brecha que quedaba. Un tercero puede hoy clonar el repositorio y reproducir el umbral en sus 16 dígitos.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matriz de cumplimiento del jurado, pero 4 filas sin cerrar y con rutas desactualizadas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10 / 18 puntos  =  55.6 %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60.0 %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17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94.4 %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55.6 %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36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70.6 %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70.6 %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**Aplicar una prueba de usabilidad (SUS) con 5–8 evaluadores**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y 3.2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36/51 (70.6 %)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43/51 (84.3 %)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566 archivos versionados. Sin métricas formales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sectPr w:rsidR="00FC693F" w:rsidRPr="0006063C" w:rsidSect="00034616"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