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584000" cy="381559"/>
            <wp:docPr id="1" name="Picture 1"/>
            <wp:cNvGraphicFramePr>
              <a:graphicFrameLocks noChangeAspect="1"/>
            </wp:cNvGraphicFramePr>
            <a:graphic>
              <a:graphicData uri="http://schemas.openxmlformats.org/drawingml/2006/picture">
                <pic:pic>
                  <pic:nvPicPr>
                    <pic:cNvPr id="0" name="logo-upeu.png"/>
                    <pic:cNvPicPr/>
                  </pic:nvPicPr>
                  <pic:blipFill>
                    <a:blip r:embed="rId9"/>
                    <a:stretch>
                      <a:fillRect/>
                    </a:stretch>
                  </pic:blipFill>
                  <pic:spPr>
                    <a:xfrm>
                      <a:off x="0" y="0"/>
                      <a:ext cx="1584000" cy="381559"/>
                    </a:xfrm>
                    <a:prstGeom prst="rect"/>
                  </pic:spPr>
                </pic:pic>
              </a:graphicData>
            </a:graphic>
          </wp:inline>
        </w:drawing>
      </w:r>
    </w:p>
    <w:p>
      <w:pPr>
        <w:spacing w:after="20"/>
        <w:jc w:val="center"/>
      </w:pPr>
      <w:r>
        <w:rPr>
          <w:b/>
          <w:color w:val="131B2E"/>
          <w:sz w:val="20"/>
        </w:rPr>
        <w:t>Universidad Peruana Unión</w:t>
      </w:r>
    </w:p>
    <w:p>
      <w:pPr>
        <w:spacing w:after="20"/>
        <w:jc w:val="center"/>
      </w:pPr>
      <w:r>
        <w:rPr>
          <w:b w:val="0"/>
          <w:color w:val="5B6B8C"/>
          <w:sz w:val="16"/>
        </w:rPr>
        <w:t>E.P. de Ingeniería de Sistemas · Investigación V · Sesión 04</w:t>
      </w:r>
    </w:p>
    <w:p>
      <w:pPr>
        <w:spacing w:before="120" w:after="40"/>
        <w:jc w:val="center"/>
      </w:pPr>
      <w:r>
        <w:rPr>
          <w:b/>
          <w:color w:val="1F4E79"/>
          <w:sz w:val="27"/>
        </w:rPr>
        <w:t>MI DECISIÓN FINAL: REVISTA OBJETIVO Y PLAN DE RESPALDO</w:t>
      </w:r>
    </w:p>
    <w:p>
      <w:pPr>
        <w:spacing w:after="160"/>
        <w:jc w:val="center"/>
      </w:pPr>
      <w:r>
        <w:rPr>
          <w:b w:val="0"/>
          <w:i w:val="0"/>
          <w:color w:val="5B6B8C"/>
          <w:sz w:val="16"/>
        </w:rPr>
        <w:t>Rubén Mark Salazar Tocas · Uziel Elias Sauñe Fernandez  ·  Datos consultados el 26 de agosto de 2026</w:t>
      </w:r>
    </w:p>
    <w:p>
      <w:pPr>
        <w:spacing w:before="180" w:after="60"/>
      </w:pPr>
      <w:r>
        <w:rPr>
          <w:b/>
          <w:color w:val="1F4E79"/>
          <w:sz w:val="23"/>
        </w:rPr>
        <w:t>1 · Filtro de legitimidad, aplicado antes de puntuar</w:t>
      </w:r>
    </w:p>
    <w:p>
      <w:pPr>
        <w:spacing w:after="80"/>
        <w:jc w:val="both"/>
      </w:pPr>
      <w:r>
        <w:rPr>
          <w:b w:val="0"/>
          <w:i w:val="0"/>
          <w:color w:val="131B2E"/>
          <w:sz w:val="17"/>
        </w:rPr>
        <w:t xml:space="preserve">La legitimidad </w:t>
      </w:r>
      <w:r>
        <w:rPr>
          <w:b/>
          <w:i w:val="0"/>
          <w:color w:val="131B2E"/>
          <w:sz w:val="17"/>
        </w:rPr>
        <w:t>no se pondera: es un filtro de entrada</w:t>
      </w:r>
      <w:r>
        <w:rPr>
          <w:b w:val="0"/>
          <w:i w:val="0"/>
          <w:color w:val="131B2E"/>
          <w:sz w:val="17"/>
        </w:rPr>
        <w:t>. Una candidata que no lo supera sale de la matriz por completo, sin importar cuánto puntúe en lo demás.</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475"/>
        <w:gridCol w:w="3475"/>
        <w:gridCol w:w="3475"/>
      </w:tblGrid>
      <w:tr>
        <w:tc>
          <w:tcPr>
            <w:tcW w:type="dxa" w:w="1361"/>
            <w:shd w:val="clear" w:fill="1F4E79"/>
          </w:tcPr>
          <w:p>
            <w:r/>
            <w:r>
              <w:rPr>
                <w:b/>
                <w:color w:val="FFFFFF"/>
                <w:sz w:val="16"/>
              </w:rPr>
              <w:t>Revista</w:t>
            </w:r>
          </w:p>
        </w:tc>
        <w:tc>
          <w:tcPr>
            <w:tcW w:type="dxa" w:w="1701"/>
            <w:shd w:val="clear" w:fill="1F4E79"/>
          </w:tcPr>
          <w:p>
            <w:r/>
            <w:r>
              <w:rPr>
                <w:b/>
                <w:color w:val="FFFFFF"/>
                <w:sz w:val="16"/>
              </w:rPr>
              <w:t>Resultado</w:t>
            </w:r>
          </w:p>
        </w:tc>
        <w:tc>
          <w:tcPr>
            <w:tcW w:type="dxa" w:w="7030"/>
            <w:shd w:val="clear" w:fill="1F4E79"/>
          </w:tcPr>
          <w:p>
            <w:r/>
            <w:r>
              <w:rPr>
                <w:b/>
                <w:color w:val="FFFFFF"/>
                <w:sz w:val="16"/>
              </w:rPr>
              <w:t>Evidencia documental</w:t>
            </w:r>
          </w:p>
        </w:tc>
      </w:tr>
      <w:tr>
        <w:tc>
          <w:tcPr>
            <w:tcW w:type="dxa" w:w="1361"/>
            <w:shd w:val="clear" w:fill="EEF3FA"/>
          </w:tcPr>
          <w:p>
            <w:pPr>
              <w:spacing w:after="20"/>
            </w:pPr>
            <w:r/>
            <w:r>
              <w:rPr>
                <w:b w:val="0"/>
                <w:color w:val="131B2E"/>
                <w:sz w:val="15"/>
              </w:rPr>
              <w:t>BEEI</w:t>
            </w:r>
          </w:p>
        </w:tc>
        <w:tc>
          <w:tcPr>
            <w:tcW w:type="dxa" w:w="1701"/>
            <w:shd w:val="clear" w:fill="EEF3FA"/>
          </w:tcPr>
          <w:p>
            <w:pPr>
              <w:spacing w:after="20"/>
            </w:pPr>
            <w:r/>
            <w:r>
              <w:rPr>
                <w:b w:val="0"/>
                <w:color w:val="131B2E"/>
                <w:sz w:val="15"/>
              </w:rPr>
              <w:t>Supera</w:t>
            </w:r>
          </w:p>
        </w:tc>
        <w:tc>
          <w:tcPr>
            <w:tcW w:type="dxa" w:w="7030"/>
            <w:shd w:val="clear" w:fill="EEF3FA"/>
          </w:tcPr>
          <w:p>
            <w:pPr>
              <w:spacing w:after="20"/>
            </w:pPr>
            <w:r/>
            <w:r>
              <w:rPr>
                <w:b w:val="0"/>
                <w:color w:val="131B2E"/>
                <w:sz w:val="15"/>
              </w:rPr>
              <w:t>ISSN confirmado, ficha activa en Scopus, política de revisión por pares publicada, archivo de números con DOI, APC transparente y editor identificable. Fuera de la lista de revistas depredadoras consultada</w:t>
            </w:r>
          </w:p>
        </w:tc>
      </w:tr>
      <w:tr>
        <w:tc>
          <w:tcPr>
            <w:tcW w:type="dxa" w:w="1361"/>
          </w:tcPr>
          <w:p>
            <w:pPr>
              <w:spacing w:after="20"/>
            </w:pPr>
            <w:r/>
            <w:r>
              <w:rPr>
                <w:b w:val="0"/>
                <w:color w:val="131B2E"/>
                <w:sz w:val="15"/>
              </w:rPr>
              <w:t>IJSSE</w:t>
            </w:r>
          </w:p>
        </w:tc>
        <w:tc>
          <w:tcPr>
            <w:tcW w:type="dxa" w:w="1701"/>
          </w:tcPr>
          <w:p>
            <w:pPr>
              <w:spacing w:after="20"/>
            </w:pPr>
            <w:r/>
            <w:r>
              <w:rPr>
                <w:b w:val="0"/>
                <w:color w:val="131B2E"/>
                <w:sz w:val="15"/>
              </w:rPr>
              <w:t>Supera</w:t>
            </w:r>
          </w:p>
        </w:tc>
        <w:tc>
          <w:tcPr>
            <w:tcW w:type="dxa" w:w="7030"/>
          </w:tcPr>
          <w:p>
            <w:pPr>
              <w:spacing w:after="20"/>
            </w:pPr>
            <w:r/>
            <w:r>
              <w:rPr>
                <w:b w:val="0"/>
                <w:color w:val="131B2E"/>
                <w:sz w:val="15"/>
              </w:rPr>
              <w:t>ISSN confirmado, ficha activa en Scopus, revisión double-blind declarada, archivo de números con DOI y página oficial de APC. Fuera de la lista de revistas depredadoras consultada</w:t>
            </w:r>
          </w:p>
        </w:tc>
      </w:tr>
      <w:tr>
        <w:tc>
          <w:tcPr>
            <w:tcW w:type="dxa" w:w="1361"/>
            <w:shd w:val="clear" w:fill="EEF3FA"/>
          </w:tcPr>
          <w:p>
            <w:pPr>
              <w:spacing w:after="20"/>
            </w:pPr>
            <w:r/>
            <w:r>
              <w:rPr>
                <w:b w:val="0"/>
                <w:color w:val="131B2E"/>
                <w:sz w:val="15"/>
              </w:rPr>
              <w:t>ISJ</w:t>
            </w:r>
          </w:p>
        </w:tc>
        <w:tc>
          <w:tcPr>
            <w:tcW w:type="dxa" w:w="1701"/>
            <w:shd w:val="clear" w:fill="EEF3FA"/>
          </w:tcPr>
          <w:p>
            <w:pPr>
              <w:spacing w:after="20"/>
            </w:pPr>
            <w:r/>
            <w:r>
              <w:rPr>
                <w:b w:val="0"/>
                <w:color w:val="131B2E"/>
                <w:sz w:val="15"/>
              </w:rPr>
              <w:t>Supera</w:t>
            </w:r>
          </w:p>
        </w:tc>
        <w:tc>
          <w:tcPr>
            <w:tcW w:type="dxa" w:w="7030"/>
            <w:shd w:val="clear" w:fill="EEF3FA"/>
          </w:tcPr>
          <w:p>
            <w:pPr>
              <w:spacing w:after="20"/>
            </w:pPr>
            <w:r/>
            <w:r>
              <w:rPr>
                <w:b w:val="0"/>
                <w:color w:val="131B2E"/>
                <w:sz w:val="15"/>
              </w:rPr>
              <w:t>Editorial de trayectoria reconocida, ficha activa en Scopus e indexación adicional en ESCI. Fuera de la lista de revistas depredadoras consultada</w:t>
            </w:r>
          </w:p>
        </w:tc>
      </w:tr>
      <w:tr>
        <w:tc>
          <w:tcPr>
            <w:tcW w:type="dxa" w:w="1361"/>
          </w:tcPr>
          <w:p>
            <w:pPr>
              <w:spacing w:after="20"/>
            </w:pPr>
            <w:r/>
            <w:r>
              <w:rPr>
                <w:b w:val="0"/>
                <w:color w:val="131B2E"/>
                <w:sz w:val="15"/>
              </w:rPr>
              <w:t>ICS</w:t>
            </w:r>
          </w:p>
        </w:tc>
        <w:tc>
          <w:tcPr>
            <w:tcW w:type="dxa" w:w="1701"/>
          </w:tcPr>
          <w:p>
            <w:pPr>
              <w:spacing w:after="20"/>
            </w:pPr>
            <w:r/>
            <w:r>
              <w:rPr>
                <w:b w:val="0"/>
                <w:color w:val="131B2E"/>
                <w:sz w:val="15"/>
              </w:rPr>
              <w:t>Supera</w:t>
            </w:r>
          </w:p>
        </w:tc>
        <w:tc>
          <w:tcPr>
            <w:tcW w:type="dxa" w:w="7030"/>
          </w:tcPr>
          <w:p>
            <w:pPr>
              <w:spacing w:after="20"/>
            </w:pPr>
            <w:r/>
            <w:r>
              <w:rPr>
                <w:b w:val="0"/>
                <w:color w:val="131B2E"/>
                <w:sz w:val="15"/>
              </w:rPr>
              <w:t>Editorial de trayectoria reconocida y ficha activa en Scopus. Fuera de la lista de revistas depredadoras consultada</w:t>
            </w:r>
          </w:p>
        </w:tc>
      </w:tr>
      <w:tr>
        <w:tc>
          <w:tcPr>
            <w:tcW w:type="dxa" w:w="1361"/>
            <w:shd w:val="clear" w:fill="EEF3FA"/>
          </w:tcPr>
          <w:p>
            <w:pPr>
              <w:spacing w:after="20"/>
            </w:pPr>
            <w:r/>
            <w:r>
              <w:rPr>
                <w:b w:val="0"/>
                <w:color w:val="131B2E"/>
                <w:sz w:val="15"/>
              </w:rPr>
              <w:t>IJACSA</w:t>
            </w:r>
          </w:p>
        </w:tc>
        <w:tc>
          <w:tcPr>
            <w:tcW w:type="dxa" w:w="1701"/>
            <w:shd w:val="clear" w:fill="EEF3FA"/>
          </w:tcPr>
          <w:p>
            <w:pPr>
              <w:spacing w:after="20"/>
            </w:pPr>
            <w:r/>
            <w:r>
              <w:rPr>
                <w:b w:val="0"/>
                <w:color w:val="131B2E"/>
                <w:sz w:val="15"/>
              </w:rPr>
              <w:t>Supera con reserva</w:t>
            </w:r>
          </w:p>
        </w:tc>
        <w:tc>
          <w:tcPr>
            <w:tcW w:type="dxa" w:w="7030"/>
            <w:shd w:val="clear" w:fill="EEF3FA"/>
          </w:tcPr>
          <w:p>
            <w:pPr>
              <w:spacing w:after="20"/>
            </w:pPr>
            <w:r/>
            <w:r>
              <w:rPr>
                <w:b w:val="0"/>
                <w:color w:val="131B2E"/>
                <w:sz w:val="15"/>
              </w:rPr>
              <w:t>Ficha activa en Scopus e indexación en WoS ESCI, y fuera de la lista de depredadoras consultada. Se registra que su reputación editorial es más discutida que la de las demás candidatas</w:t>
            </w:r>
          </w:p>
        </w:tc>
      </w:tr>
      <w:tr>
        <w:tc>
          <w:tcPr>
            <w:tcW w:type="dxa" w:w="1361"/>
          </w:tcPr>
          <w:p>
            <w:pPr>
              <w:spacing w:after="20"/>
            </w:pPr>
            <w:r/>
            <w:r>
              <w:rPr>
                <w:b w:val="0"/>
                <w:color w:val="131B2E"/>
                <w:sz w:val="15"/>
              </w:rPr>
              <w:t>CIT</w:t>
            </w:r>
          </w:p>
        </w:tc>
        <w:tc>
          <w:tcPr>
            <w:tcW w:type="dxa" w:w="1701"/>
          </w:tcPr>
          <w:p>
            <w:pPr>
              <w:spacing w:after="20"/>
            </w:pPr>
            <w:r/>
            <w:r>
              <w:rPr>
                <w:b w:val="0"/>
                <w:color w:val="131B2E"/>
                <w:sz w:val="15"/>
              </w:rPr>
              <w:t>Supera</w:t>
            </w:r>
          </w:p>
        </w:tc>
        <w:tc>
          <w:tcPr>
            <w:tcW w:type="dxa" w:w="7030"/>
          </w:tcPr>
          <w:p>
            <w:pPr>
              <w:spacing w:after="20"/>
            </w:pPr>
            <w:r/>
            <w:r>
              <w:rPr>
                <w:b w:val="0"/>
                <w:color w:val="131B2E"/>
                <w:sz w:val="15"/>
              </w:rPr>
              <w:t>ISSN confirmado, ficha activa en Scopus, indexación adicional en Web of Science ESCI, DOAJ, INSPEC, ACM Digital Library y Engineering Village; adhesión declarada a las Core Practices de COPE, revisión por pares en tres fases con cribado antiplagio iThenticate y archivo de números desde 2001. Fuera de la lista de revistas depredadoras consultada</w:t>
            </w:r>
          </w:p>
        </w:tc>
      </w:tr>
    </w:tbl>
    <w:p>
      <w:pPr>
        <w:spacing w:after="40"/>
      </w:pPr>
    </w:p>
    <w:p>
      <w:pPr>
        <w:spacing w:after="80"/>
        <w:jc w:val="both"/>
      </w:pPr>
      <w:r>
        <w:rPr>
          <w:b w:val="0"/>
          <w:i/>
          <w:color w:val="5B6B8C"/>
          <w:sz w:val="16"/>
        </w:rPr>
      </w:r>
      <w:r>
        <w:rPr>
          <w:b/>
          <w:i/>
          <w:color w:val="5B6B8C"/>
          <w:sz w:val="16"/>
        </w:rPr>
        <w:t>Descartadas por el filtro:</w:t>
      </w:r>
      <w:r>
        <w:rPr>
          <w:b w:val="0"/>
          <w:i/>
          <w:color w:val="5B6B8C"/>
          <w:sz w:val="16"/>
        </w:rPr>
        <w:t xml:space="preserve"> IJCNIS, descontinuada de Scopus desde 2022 y presente en la lista de revistas depredadoras consultada; IJEECS, descontinuada de Scopus en 2025; y dos revistas Q4 que no compiten en ningún criterio.</w:t>
      </w:r>
    </w:p>
    <w:p>
      <w:pPr>
        <w:spacing w:before="180" w:after="60"/>
      </w:pPr>
      <w:r>
        <w:rPr>
          <w:b/>
          <w:color w:val="1F4E79"/>
          <w:sz w:val="23"/>
        </w:rPr>
        <w:t>2 · Filtro de disponibilidad: la lista de control de la coordinación</w:t>
      </w:r>
    </w:p>
    <w:p>
      <w:pPr>
        <w:spacing w:after="80"/>
        <w:jc w:val="both"/>
      </w:pPr>
      <w:r>
        <w:rPr>
          <w:b w:val="0"/>
          <w:i w:val="0"/>
          <w:color w:val="131B2E"/>
          <w:sz w:val="17"/>
        </w:rPr>
        <w:t xml:space="preserve">La coordinación mantiene una lista de control con 17 revistas ya registradas. Tres de las candidatas figuran en ella, así que la lista actúa como un </w:t>
      </w:r>
      <w:r>
        <w:rPr>
          <w:b/>
          <w:i w:val="0"/>
          <w:color w:val="131B2E"/>
          <w:sz w:val="17"/>
        </w:rPr>
        <w:t>segundo filtro de entrada</w:t>
      </w:r>
      <w:r>
        <w:rPr>
          <w:b w:val="0"/>
          <w:i w:val="0"/>
          <w:color w:val="131B2E"/>
          <w:sz w:val="17"/>
        </w:rPr>
        <w:t>: no cambia el puntaje de ninguna revista, decide cuáles siguen disponibles.</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475"/>
        <w:gridCol w:w="3475"/>
        <w:gridCol w:w="3475"/>
      </w:tblGrid>
      <w:tr>
        <w:tc>
          <w:tcPr>
            <w:tcW w:type="dxa" w:w="1361"/>
            <w:shd w:val="clear" w:fill="1F4E79"/>
          </w:tcPr>
          <w:p>
            <w:r/>
            <w:r>
              <w:rPr>
                <w:b/>
                <w:color w:val="FFFFFF"/>
                <w:sz w:val="16"/>
              </w:rPr>
              <w:t>Revista</w:t>
            </w:r>
          </w:p>
        </w:tc>
        <w:tc>
          <w:tcPr>
            <w:tcW w:type="dxa" w:w="1928"/>
            <w:shd w:val="clear" w:fill="1F4E79"/>
          </w:tcPr>
          <w:p>
            <w:r/>
            <w:r>
              <w:rPr>
                <w:b/>
                <w:color w:val="FFFFFF"/>
                <w:sz w:val="16"/>
              </w:rPr>
              <w:t>Lista de control</w:t>
            </w:r>
          </w:p>
        </w:tc>
        <w:tc>
          <w:tcPr>
            <w:tcW w:type="dxa" w:w="6803"/>
            <w:shd w:val="clear" w:fill="1F4E79"/>
          </w:tcPr>
          <w:p>
            <w:r/>
            <w:r>
              <w:rPr>
                <w:b/>
                <w:color w:val="FFFFFF"/>
                <w:sz w:val="16"/>
              </w:rPr>
              <w:t>Detalle</w:t>
            </w:r>
          </w:p>
        </w:tc>
      </w:tr>
      <w:tr>
        <w:tc>
          <w:tcPr>
            <w:tcW w:type="dxa" w:w="1361"/>
            <w:shd w:val="clear" w:fill="FDECD2"/>
          </w:tcPr>
          <w:p>
            <w:pPr>
              <w:spacing w:after="20"/>
            </w:pPr>
            <w:r/>
            <w:r>
              <w:rPr>
                <w:b w:val="0"/>
                <w:color w:val="131B2E"/>
                <w:sz w:val="15"/>
              </w:rPr>
              <w:t>BEEI</w:t>
            </w:r>
          </w:p>
        </w:tc>
        <w:tc>
          <w:tcPr>
            <w:tcW w:type="dxa" w:w="1928"/>
            <w:shd w:val="clear" w:fill="FDECD2"/>
          </w:tcPr>
          <w:p>
            <w:pPr>
              <w:spacing w:after="20"/>
            </w:pPr>
            <w:r/>
            <w:r>
              <w:rPr>
                <w:b w:val="0"/>
                <w:color w:val="131B2E"/>
                <w:sz w:val="15"/>
              </w:rPr>
              <w:t>Ya registrada</w:t>
            </w:r>
          </w:p>
        </w:tc>
        <w:tc>
          <w:tcPr>
            <w:tcW w:type="dxa" w:w="6803"/>
            <w:shd w:val="clear" w:fill="FDECD2"/>
          </w:tcPr>
          <w:p>
            <w:pPr>
              <w:spacing w:after="20"/>
            </w:pPr>
            <w:r/>
            <w:r>
              <w:rPr>
                <w:b w:val="0"/>
                <w:color w:val="131B2E"/>
                <w:sz w:val="15"/>
              </w:rPr>
              <w:t>N.º 8 de la lista de control institucional, registrada como Q1 · Indonesia · USD 385</w:t>
            </w:r>
          </w:p>
        </w:tc>
      </w:tr>
      <w:tr>
        <w:tc>
          <w:tcPr>
            <w:tcW w:type="dxa" w:w="1361"/>
            <w:shd w:val="clear" w:fill="FDECD2"/>
          </w:tcPr>
          <w:p>
            <w:pPr>
              <w:spacing w:after="20"/>
            </w:pPr>
            <w:r/>
            <w:r>
              <w:rPr>
                <w:b w:val="0"/>
                <w:color w:val="131B2E"/>
                <w:sz w:val="15"/>
              </w:rPr>
              <w:t>IJSSE</w:t>
            </w:r>
          </w:p>
        </w:tc>
        <w:tc>
          <w:tcPr>
            <w:tcW w:type="dxa" w:w="1928"/>
            <w:shd w:val="clear" w:fill="FDECD2"/>
          </w:tcPr>
          <w:p>
            <w:pPr>
              <w:spacing w:after="20"/>
            </w:pPr>
            <w:r/>
            <w:r>
              <w:rPr>
                <w:b w:val="0"/>
                <w:color w:val="131B2E"/>
                <w:sz w:val="15"/>
              </w:rPr>
              <w:t>Ya registrada</w:t>
            </w:r>
          </w:p>
        </w:tc>
        <w:tc>
          <w:tcPr>
            <w:tcW w:type="dxa" w:w="6803"/>
            <w:shd w:val="clear" w:fill="FDECD2"/>
          </w:tcPr>
          <w:p>
            <w:pPr>
              <w:spacing w:after="20"/>
            </w:pPr>
            <w:r/>
            <w:r>
              <w:rPr>
                <w:b w:val="0"/>
                <w:color w:val="131B2E"/>
                <w:sz w:val="15"/>
              </w:rPr>
              <w:t>N.º 7 de la lista de control institucional, registrada como Q3 · Reino Unido · USD 700</w:t>
            </w:r>
          </w:p>
        </w:tc>
      </w:tr>
      <w:tr>
        <w:tc>
          <w:tcPr>
            <w:tcW w:type="dxa" w:w="1361"/>
            <w:shd w:val="clear" w:fill="E0F3E6"/>
          </w:tcPr>
          <w:p>
            <w:pPr>
              <w:spacing w:after="20"/>
            </w:pPr>
            <w:r/>
            <w:r>
              <w:rPr>
                <w:b w:val="0"/>
                <w:color w:val="131B2E"/>
                <w:sz w:val="15"/>
              </w:rPr>
              <w:t>ISJ</w:t>
            </w:r>
          </w:p>
        </w:tc>
        <w:tc>
          <w:tcPr>
            <w:tcW w:type="dxa" w:w="1928"/>
            <w:shd w:val="clear" w:fill="E0F3E6"/>
          </w:tcPr>
          <w:p>
            <w:pPr>
              <w:spacing w:after="20"/>
            </w:pPr>
            <w:r/>
            <w:r>
              <w:rPr>
                <w:b w:val="0"/>
                <w:color w:val="131B2E"/>
                <w:sz w:val="15"/>
              </w:rPr>
              <w:t>Disponible</w:t>
            </w:r>
          </w:p>
        </w:tc>
        <w:tc>
          <w:tcPr>
            <w:tcW w:type="dxa" w:w="6803"/>
            <w:shd w:val="clear" w:fill="E0F3E6"/>
          </w:tcPr>
          <w:p>
            <w:pPr>
              <w:spacing w:after="20"/>
            </w:pPr>
            <w:r/>
            <w:r>
              <w:rPr>
                <w:b w:val="0"/>
                <w:color w:val="131B2E"/>
                <w:sz w:val="15"/>
              </w:rPr>
              <w:t>No figura entre las 17 revistas de la lista de control institucional</w:t>
            </w:r>
          </w:p>
        </w:tc>
      </w:tr>
      <w:tr>
        <w:tc>
          <w:tcPr>
            <w:tcW w:type="dxa" w:w="1361"/>
            <w:shd w:val="clear" w:fill="E0F3E6"/>
          </w:tcPr>
          <w:p>
            <w:pPr>
              <w:spacing w:after="20"/>
            </w:pPr>
            <w:r/>
            <w:r>
              <w:rPr>
                <w:b w:val="0"/>
                <w:color w:val="131B2E"/>
                <w:sz w:val="15"/>
              </w:rPr>
              <w:t>ICS</w:t>
            </w:r>
          </w:p>
        </w:tc>
        <w:tc>
          <w:tcPr>
            <w:tcW w:type="dxa" w:w="1928"/>
            <w:shd w:val="clear" w:fill="E0F3E6"/>
          </w:tcPr>
          <w:p>
            <w:pPr>
              <w:spacing w:after="20"/>
            </w:pPr>
            <w:r/>
            <w:r>
              <w:rPr>
                <w:b w:val="0"/>
                <w:color w:val="131B2E"/>
                <w:sz w:val="15"/>
              </w:rPr>
              <w:t>Disponible</w:t>
            </w:r>
          </w:p>
        </w:tc>
        <w:tc>
          <w:tcPr>
            <w:tcW w:type="dxa" w:w="6803"/>
            <w:shd w:val="clear" w:fill="E0F3E6"/>
          </w:tcPr>
          <w:p>
            <w:pPr>
              <w:spacing w:after="20"/>
            </w:pPr>
            <w:r/>
            <w:r>
              <w:rPr>
                <w:b w:val="0"/>
                <w:color w:val="131B2E"/>
                <w:sz w:val="15"/>
              </w:rPr>
              <w:t>No figura entre las 17 revistas de la lista de control institucional</w:t>
            </w:r>
          </w:p>
        </w:tc>
      </w:tr>
      <w:tr>
        <w:tc>
          <w:tcPr>
            <w:tcW w:type="dxa" w:w="1361"/>
            <w:shd w:val="clear" w:fill="FDECD2"/>
          </w:tcPr>
          <w:p>
            <w:pPr>
              <w:spacing w:after="20"/>
            </w:pPr>
            <w:r/>
            <w:r>
              <w:rPr>
                <w:b w:val="0"/>
                <w:color w:val="131B2E"/>
                <w:sz w:val="15"/>
              </w:rPr>
              <w:t>IJACSA</w:t>
            </w:r>
          </w:p>
        </w:tc>
        <w:tc>
          <w:tcPr>
            <w:tcW w:type="dxa" w:w="1928"/>
            <w:shd w:val="clear" w:fill="FDECD2"/>
          </w:tcPr>
          <w:p>
            <w:pPr>
              <w:spacing w:after="20"/>
            </w:pPr>
            <w:r/>
            <w:r>
              <w:rPr>
                <w:b w:val="0"/>
                <w:color w:val="131B2E"/>
                <w:sz w:val="15"/>
              </w:rPr>
              <w:t>Ya registrada</w:t>
            </w:r>
          </w:p>
        </w:tc>
        <w:tc>
          <w:tcPr>
            <w:tcW w:type="dxa" w:w="6803"/>
            <w:shd w:val="clear" w:fill="FDECD2"/>
          </w:tcPr>
          <w:p>
            <w:pPr>
              <w:spacing w:after="20"/>
            </w:pPr>
            <w:r/>
            <w:r>
              <w:rPr>
                <w:b w:val="0"/>
                <w:color w:val="131B2E"/>
                <w:sz w:val="15"/>
              </w:rPr>
              <w:t>N.º 5 de la lista de control institucional, registrada como Q3 · Reino Unido · USD 1 100</w:t>
            </w:r>
          </w:p>
        </w:tc>
      </w:tr>
      <w:tr>
        <w:tc>
          <w:tcPr>
            <w:tcW w:type="dxa" w:w="1361"/>
            <w:shd w:val="clear" w:fill="E0F3E6"/>
          </w:tcPr>
          <w:p>
            <w:pPr>
              <w:spacing w:after="20"/>
            </w:pPr>
            <w:r/>
            <w:r>
              <w:rPr>
                <w:b w:val="0"/>
                <w:color w:val="131B2E"/>
                <w:sz w:val="15"/>
              </w:rPr>
              <w:t>CIT</w:t>
            </w:r>
          </w:p>
        </w:tc>
        <w:tc>
          <w:tcPr>
            <w:tcW w:type="dxa" w:w="1928"/>
            <w:shd w:val="clear" w:fill="E0F3E6"/>
          </w:tcPr>
          <w:p>
            <w:pPr>
              <w:spacing w:after="20"/>
            </w:pPr>
            <w:r/>
            <w:r>
              <w:rPr>
                <w:b w:val="0"/>
                <w:color w:val="131B2E"/>
                <w:sz w:val="15"/>
              </w:rPr>
              <w:t>Disponible</w:t>
            </w:r>
          </w:p>
        </w:tc>
        <w:tc>
          <w:tcPr>
            <w:tcW w:type="dxa" w:w="6803"/>
            <w:shd w:val="clear" w:fill="E0F3E6"/>
          </w:tcPr>
          <w:p>
            <w:pPr>
              <w:spacing w:after="20"/>
            </w:pPr>
            <w:r/>
            <w:r>
              <w:rPr>
                <w:b w:val="0"/>
                <w:color w:val="131B2E"/>
                <w:sz w:val="15"/>
              </w:rPr>
              <w:t>No figura entre las 17 revistas de la lista de control institucional</w:t>
            </w:r>
          </w:p>
        </w:tc>
      </w:tr>
    </w:tbl>
    <w:p>
      <w:pPr>
        <w:spacing w:after="40"/>
      </w:pPr>
    </w:p>
    <w:p>
      <w:pPr>
        <w:spacing w:after="80"/>
        <w:jc w:val="both"/>
      </w:pPr>
      <w:r>
        <w:rPr>
          <w:b w:val="0"/>
          <w:i/>
          <w:color w:val="5B6B8C"/>
          <w:sz w:val="16"/>
        </w:rPr>
      </w:r>
      <w:r>
        <w:rPr>
          <w:b/>
          <w:i/>
          <w:color w:val="5B6B8C"/>
          <w:sz w:val="16"/>
        </w:rPr>
        <w:t>Se separa del puntaje a propósito.</w:t>
      </w:r>
      <w:r>
        <w:rPr>
          <w:b w:val="0"/>
          <w:i/>
          <w:color w:val="5B6B8C"/>
          <w:sz w:val="16"/>
        </w:rPr>
        <w:t xml:space="preserve"> Bajar la nota de una revista por estar en la lista mezclaría una restricción administrativa con una evaluación técnica y haría irreproducible la matriz. Nota aparte: la lista registra a BEEI como Q1 y el APC de IJSSE como USD 700; las fuentes oficiales consultadas el 26/08/2026 dan Q1 por CiteScore y Q3 por SJR, y USD 850. Las discrepancias se dejan a la vista.</w:t>
      </w:r>
    </w:p>
    <w:p>
      <w:pPr>
        <w:spacing w:before="180" w:after="60"/>
      </w:pPr>
      <w:r>
        <w:rPr>
          <w:b/>
          <w:color w:val="1F4E79"/>
          <w:sz w:val="23"/>
        </w:rPr>
        <w:t>3 · Criterios y pesos</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475"/>
        <w:gridCol w:w="3475"/>
        <w:gridCol w:w="3475"/>
      </w:tblGrid>
      <w:tr>
        <w:tc>
          <w:tcPr>
            <w:tcW w:type="dxa" w:w="2268"/>
            <w:shd w:val="clear" w:fill="1F4E79"/>
          </w:tcPr>
          <w:p>
            <w:r/>
            <w:r>
              <w:rPr>
                <w:b/>
                <w:color w:val="FFFFFF"/>
                <w:sz w:val="16"/>
              </w:rPr>
              <w:t>Criterio</w:t>
            </w:r>
          </w:p>
        </w:tc>
        <w:tc>
          <w:tcPr>
            <w:tcW w:type="dxa" w:w="907"/>
            <w:shd w:val="clear" w:fill="1F4E79"/>
          </w:tcPr>
          <w:p>
            <w:r/>
            <w:r>
              <w:rPr>
                <w:b/>
                <w:color w:val="FFFFFF"/>
                <w:sz w:val="16"/>
              </w:rPr>
              <w:t>Peso</w:t>
            </w:r>
          </w:p>
        </w:tc>
        <w:tc>
          <w:tcPr>
            <w:tcW w:type="dxa" w:w="6917"/>
            <w:shd w:val="clear" w:fill="1F4E79"/>
          </w:tcPr>
          <w:p>
            <w:r/>
            <w:r>
              <w:rPr>
                <w:b/>
                <w:color w:val="FFFFFF"/>
                <w:sz w:val="16"/>
              </w:rPr>
              <w:t>Regla de puntuación</w:t>
            </w:r>
          </w:p>
        </w:tc>
      </w:tr>
      <w:tr>
        <w:tc>
          <w:tcPr>
            <w:tcW w:type="dxa" w:w="2268"/>
            <w:shd w:val="clear" w:fill="EEF3FA"/>
          </w:tcPr>
          <w:p>
            <w:pPr>
              <w:spacing w:after="20"/>
            </w:pPr>
            <w:r/>
            <w:r>
              <w:rPr>
                <w:b w:val="0"/>
                <w:color w:val="131B2E"/>
                <w:sz w:val="15"/>
              </w:rPr>
              <w:t>Pertinencia temática</w:t>
            </w:r>
          </w:p>
        </w:tc>
        <w:tc>
          <w:tcPr>
            <w:tcW w:type="dxa" w:w="907"/>
            <w:shd w:val="clear" w:fill="EEF3FA"/>
          </w:tcPr>
          <w:p>
            <w:pPr>
              <w:spacing w:after="20"/>
            </w:pPr>
            <w:r/>
            <w:r>
              <w:rPr>
                <w:b w:val="0"/>
                <w:color w:val="131B2E"/>
                <w:sz w:val="15"/>
              </w:rPr>
              <w:t>30 %</w:t>
            </w:r>
          </w:p>
        </w:tc>
        <w:tc>
          <w:tcPr>
            <w:tcW w:type="dxa" w:w="6917"/>
            <w:shd w:val="clear" w:fill="EEF3FA"/>
          </w:tcPr>
          <w:p>
            <w:pPr>
              <w:spacing w:after="20"/>
            </w:pPr>
            <w:r/>
            <w:r>
              <w:rPr>
                <w:b w:val="0"/>
                <w:color w:val="131B2E"/>
                <w:sz w:val="15"/>
              </w:rPr>
              <w:t>Coincidencia entre el alcance editorial declarado y el problema, método y dominio del artículo</w:t>
            </w:r>
          </w:p>
        </w:tc>
      </w:tr>
      <w:tr>
        <w:tc>
          <w:tcPr>
            <w:tcW w:type="dxa" w:w="2268"/>
          </w:tcPr>
          <w:p>
            <w:pPr>
              <w:spacing w:after="20"/>
            </w:pPr>
            <w:r/>
            <w:r>
              <w:rPr>
                <w:b w:val="0"/>
                <w:color w:val="131B2E"/>
                <w:sz w:val="15"/>
              </w:rPr>
              <w:t>Visibilidad bibliométrica</w:t>
            </w:r>
          </w:p>
        </w:tc>
        <w:tc>
          <w:tcPr>
            <w:tcW w:type="dxa" w:w="907"/>
          </w:tcPr>
          <w:p>
            <w:pPr>
              <w:spacing w:after="20"/>
            </w:pPr>
            <w:r/>
            <w:r>
              <w:rPr>
                <w:b w:val="0"/>
                <w:color w:val="131B2E"/>
                <w:sz w:val="15"/>
              </w:rPr>
              <w:t>25 %</w:t>
            </w:r>
          </w:p>
        </w:tc>
        <w:tc>
          <w:tcPr>
            <w:tcW w:type="dxa" w:w="6917"/>
          </w:tcPr>
          <w:p>
            <w:pPr>
              <w:spacing w:after="20"/>
            </w:pPr>
            <w:r/>
            <w:r>
              <w:rPr>
                <w:b w:val="0"/>
                <w:color w:val="131B2E"/>
                <w:sz w:val="15"/>
              </w:rPr>
              <w:t>CiteScore, percentil y cuartil SJR identificados por separado, con su fuente</w:t>
            </w:r>
          </w:p>
        </w:tc>
      </w:tr>
      <w:tr>
        <w:tc>
          <w:tcPr>
            <w:tcW w:type="dxa" w:w="2268"/>
            <w:shd w:val="clear" w:fill="EEF3FA"/>
          </w:tcPr>
          <w:p>
            <w:pPr>
              <w:spacing w:after="20"/>
            </w:pPr>
            <w:r/>
            <w:r>
              <w:rPr>
                <w:b w:val="0"/>
                <w:color w:val="131B2E"/>
                <w:sz w:val="15"/>
              </w:rPr>
              <w:t>Viabilidad editorial</w:t>
            </w:r>
          </w:p>
        </w:tc>
        <w:tc>
          <w:tcPr>
            <w:tcW w:type="dxa" w:w="907"/>
            <w:shd w:val="clear" w:fill="EEF3FA"/>
          </w:tcPr>
          <w:p>
            <w:pPr>
              <w:spacing w:after="20"/>
            </w:pPr>
            <w:r/>
            <w:r>
              <w:rPr>
                <w:b w:val="0"/>
                <w:color w:val="131B2E"/>
                <w:sz w:val="15"/>
              </w:rPr>
              <w:t>20 %</w:t>
            </w:r>
          </w:p>
        </w:tc>
        <w:tc>
          <w:tcPr>
            <w:tcW w:type="dxa" w:w="6917"/>
            <w:shd w:val="clear" w:fill="EEF3FA"/>
          </w:tcPr>
          <w:p>
            <w:pPr>
              <w:spacing w:after="20"/>
            </w:pPr>
            <w:r/>
            <w:r>
              <w:rPr>
                <w:b w:val="0"/>
                <w:color w:val="131B2E"/>
                <w:sz w:val="15"/>
              </w:rPr>
              <w:t>Tipo de revisión, tiempo declarado, periodicidad y capacidad de publicación</w:t>
            </w:r>
          </w:p>
        </w:tc>
      </w:tr>
      <w:tr>
        <w:tc>
          <w:tcPr>
            <w:tcW w:type="dxa" w:w="2268"/>
          </w:tcPr>
          <w:p>
            <w:pPr>
              <w:spacing w:after="20"/>
            </w:pPr>
            <w:r/>
            <w:r>
              <w:rPr>
                <w:b w:val="0"/>
                <w:color w:val="131B2E"/>
                <w:sz w:val="15"/>
              </w:rPr>
              <w:t>Costo y accesibilidad</w:t>
            </w:r>
          </w:p>
        </w:tc>
        <w:tc>
          <w:tcPr>
            <w:tcW w:type="dxa" w:w="907"/>
          </w:tcPr>
          <w:p>
            <w:pPr>
              <w:spacing w:after="20"/>
            </w:pPr>
            <w:r/>
            <w:r>
              <w:rPr>
                <w:b w:val="0"/>
                <w:color w:val="131B2E"/>
                <w:sz w:val="15"/>
              </w:rPr>
              <w:t>15 %</w:t>
            </w:r>
          </w:p>
        </w:tc>
        <w:tc>
          <w:tcPr>
            <w:tcW w:type="dxa" w:w="6917"/>
          </w:tcPr>
          <w:p>
            <w:pPr>
              <w:spacing w:after="20"/>
            </w:pPr>
            <w:r/>
            <w:r>
              <w:rPr>
                <w:b w:val="0"/>
                <w:color w:val="131B2E"/>
                <w:sz w:val="15"/>
              </w:rPr>
              <w:t>APC vigente, cargos por página y acceso abierto</w:t>
            </w:r>
          </w:p>
        </w:tc>
      </w:tr>
      <w:tr>
        <w:tc>
          <w:tcPr>
            <w:tcW w:type="dxa" w:w="2268"/>
            <w:shd w:val="clear" w:fill="EEF3FA"/>
          </w:tcPr>
          <w:p>
            <w:pPr>
              <w:spacing w:after="20"/>
            </w:pPr>
            <w:r/>
            <w:r>
              <w:rPr>
                <w:b w:val="0"/>
                <w:color w:val="131B2E"/>
                <w:sz w:val="15"/>
              </w:rPr>
              <w:t>Compatibilidad formal</w:t>
            </w:r>
          </w:p>
        </w:tc>
        <w:tc>
          <w:tcPr>
            <w:tcW w:type="dxa" w:w="907"/>
            <w:shd w:val="clear" w:fill="EEF3FA"/>
          </w:tcPr>
          <w:p>
            <w:pPr>
              <w:spacing w:after="20"/>
            </w:pPr>
            <w:r/>
            <w:r>
              <w:rPr>
                <w:b w:val="0"/>
                <w:color w:val="131B2E"/>
                <w:sz w:val="15"/>
              </w:rPr>
              <w:t>10 %</w:t>
            </w:r>
          </w:p>
        </w:tc>
        <w:tc>
          <w:tcPr>
            <w:tcW w:type="dxa" w:w="6917"/>
            <w:shd w:val="clear" w:fill="EEF3FA"/>
          </w:tcPr>
          <w:p>
            <w:pPr>
              <w:spacing w:after="20"/>
            </w:pPr>
            <w:r/>
            <w:r>
              <w:rPr>
                <w:b w:val="0"/>
                <w:color w:val="131B2E"/>
                <w:sz w:val="15"/>
              </w:rPr>
              <w:t>Plantilla, límite de páginas y requisitos de envío</w:t>
            </w:r>
          </w:p>
        </w:tc>
      </w:tr>
    </w:tbl>
    <w:p>
      <w:pPr>
        <w:spacing w:after="40"/>
      </w:pPr>
    </w:p>
    <w:p>
      <w:pPr>
        <w:spacing w:after="80"/>
        <w:jc w:val="both"/>
      </w:pPr>
      <w:r>
        <w:rPr>
          <w:b w:val="0"/>
          <w:i w:val="0"/>
          <w:color w:val="131B2E"/>
          <w:sz w:val="16"/>
        </w:rPr>
      </w:r>
      <w:r>
        <w:rPr>
          <w:b/>
          <w:i w:val="0"/>
          <w:color w:val="131B2E"/>
          <w:sz w:val="16"/>
        </w:rPr>
        <w:t>Fórmula:</w:t>
      </w:r>
      <w:r>
        <w:rPr>
          <w:b w:val="0"/>
          <w:i w:val="0"/>
          <w:color w:val="131B2E"/>
          <w:sz w:val="16"/>
        </w:rPr>
        <w:t xml:space="preserve"> aporte = puntaje × peso / 10, con puntajes de 0 a 10 y total sobre 100. Ningún criterio supera el 30 %, por debajo del techo del 35–40 % recomendado. La pertinencia pesa más que la visibilidad </w:t>
      </w:r>
      <w:r>
        <w:rPr>
          <w:b/>
          <w:i w:val="0"/>
          <w:color w:val="131B2E"/>
          <w:sz w:val="16"/>
        </w:rPr>
        <w:t>a propósito</w:t>
      </w:r>
      <w:r>
        <w:rPr>
          <w:b w:val="0"/>
          <w:i w:val="0"/>
          <w:color w:val="131B2E"/>
          <w:sz w:val="16"/>
        </w:rPr>
        <w:t>: un mal encaje temático produce rechazo de escritorio por muy alto que sea el cuartil.</w:t>
      </w:r>
    </w:p>
    <w:p>
      <w:pPr>
        <w:spacing w:before="180" w:after="60"/>
      </w:pPr>
      <w:r>
        <w:rPr>
          <w:b/>
          <w:color w:val="1F4E79"/>
          <w:sz w:val="23"/>
        </w:rPr>
        <w:t>4 · Matriz de decisión</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489"/>
        <w:gridCol w:w="1489"/>
        <w:gridCol w:w="1489"/>
        <w:gridCol w:w="1489"/>
        <w:gridCol w:w="1489"/>
        <w:gridCol w:w="1489"/>
        <w:gridCol w:w="1489"/>
      </w:tblGrid>
      <w:tr>
        <w:tc>
          <w:tcPr>
            <w:tcW w:type="dxa" w:w="3061"/>
            <w:shd w:val="clear" w:fill="1F4E79"/>
          </w:tcPr>
          <w:p>
            <w:r/>
            <w:r>
              <w:rPr>
                <w:b/>
                <w:color w:val="FFFFFF"/>
                <w:sz w:val="16"/>
              </w:rPr>
              <w:t>Criterio (peso)</w:t>
            </w:r>
          </w:p>
        </w:tc>
        <w:tc>
          <w:tcPr>
            <w:tcW w:type="dxa" w:w="1417"/>
            <w:shd w:val="clear" w:fill="1F4E79"/>
          </w:tcPr>
          <w:p>
            <w:r/>
            <w:r>
              <w:rPr>
                <w:b/>
                <w:color w:val="FFFFFF"/>
                <w:sz w:val="16"/>
              </w:rPr>
              <w:t>BEEI</w:t>
            </w:r>
          </w:p>
        </w:tc>
        <w:tc>
          <w:tcPr>
            <w:tcW w:type="dxa" w:w="1417"/>
            <w:shd w:val="clear" w:fill="1F4E79"/>
          </w:tcPr>
          <w:p>
            <w:r/>
            <w:r>
              <w:rPr>
                <w:b/>
                <w:color w:val="FFFFFF"/>
                <w:sz w:val="16"/>
              </w:rPr>
              <w:t>ISJ</w:t>
            </w:r>
          </w:p>
        </w:tc>
        <w:tc>
          <w:tcPr>
            <w:tcW w:type="dxa" w:w="1417"/>
            <w:shd w:val="clear" w:fill="1F4E79"/>
          </w:tcPr>
          <w:p>
            <w:r/>
            <w:r>
              <w:rPr>
                <w:b/>
                <w:color w:val="FFFFFF"/>
                <w:sz w:val="16"/>
              </w:rPr>
              <w:t>CIT</w:t>
            </w:r>
          </w:p>
        </w:tc>
        <w:tc>
          <w:tcPr>
            <w:tcW w:type="dxa" w:w="1417"/>
            <w:shd w:val="clear" w:fill="1F4E79"/>
          </w:tcPr>
          <w:p>
            <w:r/>
            <w:r>
              <w:rPr>
                <w:b/>
                <w:color w:val="FFFFFF"/>
                <w:sz w:val="16"/>
              </w:rPr>
              <w:t>IJSSE</w:t>
            </w:r>
          </w:p>
        </w:tc>
        <w:tc>
          <w:tcPr>
            <w:tcW w:type="dxa" w:w="1417"/>
            <w:shd w:val="clear" w:fill="1F4E79"/>
          </w:tcPr>
          <w:p>
            <w:r/>
            <w:r>
              <w:rPr>
                <w:b/>
                <w:color w:val="FFFFFF"/>
                <w:sz w:val="16"/>
              </w:rPr>
              <w:t>ICS</w:t>
            </w:r>
          </w:p>
        </w:tc>
        <w:tc>
          <w:tcPr>
            <w:tcW w:type="dxa" w:w="1417"/>
            <w:shd w:val="clear" w:fill="1F4E79"/>
          </w:tcPr>
          <w:p>
            <w:r/>
            <w:r>
              <w:rPr>
                <w:b/>
                <w:color w:val="FFFFFF"/>
                <w:sz w:val="16"/>
              </w:rPr>
              <w:t>IJACSA</w:t>
            </w:r>
          </w:p>
        </w:tc>
      </w:tr>
      <w:tr>
        <w:tc>
          <w:tcPr>
            <w:tcW w:type="dxa" w:w="3061"/>
            <w:shd w:val="clear" w:fill="EEF3FA"/>
          </w:tcPr>
          <w:p>
            <w:pPr>
              <w:spacing w:after="20"/>
            </w:pPr>
            <w:r/>
            <w:r>
              <w:rPr>
                <w:b w:val="0"/>
                <w:color w:val="131B2E"/>
                <w:sz w:val="15"/>
              </w:rPr>
              <w:t>Pertinencia temática (30 %)</w:t>
            </w:r>
          </w:p>
        </w:tc>
        <w:tc>
          <w:tcPr>
            <w:tcW w:type="dxa" w:w="1417"/>
            <w:shd w:val="clear" w:fill="EEF3FA"/>
          </w:tcPr>
          <w:p>
            <w:pPr>
              <w:spacing w:after="20"/>
            </w:pPr>
            <w:r/>
            <w:r>
              <w:rPr>
                <w:b w:val="0"/>
                <w:color w:val="131B2E"/>
                <w:sz w:val="15"/>
              </w:rPr>
              <w:t>9</w:t>
            </w:r>
          </w:p>
        </w:tc>
        <w:tc>
          <w:tcPr>
            <w:tcW w:type="dxa" w:w="1417"/>
            <w:shd w:val="clear" w:fill="EEF3FA"/>
          </w:tcPr>
          <w:p>
            <w:pPr>
              <w:spacing w:after="20"/>
            </w:pPr>
            <w:r/>
            <w:r>
              <w:rPr>
                <w:b w:val="0"/>
                <w:color w:val="131B2E"/>
                <w:sz w:val="15"/>
              </w:rPr>
              <w:t>9</w:t>
            </w:r>
          </w:p>
        </w:tc>
        <w:tc>
          <w:tcPr>
            <w:tcW w:type="dxa" w:w="1417"/>
            <w:shd w:val="clear" w:fill="EEF3FA"/>
          </w:tcPr>
          <w:p>
            <w:pPr>
              <w:spacing w:after="20"/>
            </w:pPr>
            <w:r/>
            <w:r>
              <w:rPr>
                <w:b w:val="0"/>
                <w:color w:val="131B2E"/>
                <w:sz w:val="15"/>
              </w:rPr>
              <w:t>9</w:t>
            </w:r>
          </w:p>
        </w:tc>
        <w:tc>
          <w:tcPr>
            <w:tcW w:type="dxa" w:w="1417"/>
            <w:shd w:val="clear" w:fill="EEF3FA"/>
          </w:tcPr>
          <w:p>
            <w:pPr>
              <w:spacing w:after="20"/>
            </w:pPr>
            <w:r/>
            <w:r>
              <w:rPr>
                <w:b w:val="0"/>
                <w:color w:val="131B2E"/>
                <w:sz w:val="15"/>
              </w:rPr>
              <w:t>9</w:t>
            </w:r>
          </w:p>
        </w:tc>
        <w:tc>
          <w:tcPr>
            <w:tcW w:type="dxa" w:w="1417"/>
            <w:shd w:val="clear" w:fill="EEF3FA"/>
          </w:tcPr>
          <w:p>
            <w:pPr>
              <w:spacing w:after="20"/>
            </w:pPr>
            <w:r/>
            <w:r>
              <w:rPr>
                <w:b w:val="0"/>
                <w:color w:val="131B2E"/>
                <w:sz w:val="15"/>
              </w:rPr>
              <w:t>6</w:t>
            </w:r>
          </w:p>
        </w:tc>
        <w:tc>
          <w:tcPr>
            <w:tcW w:type="dxa" w:w="1417"/>
            <w:shd w:val="clear" w:fill="EEF3FA"/>
          </w:tcPr>
          <w:p>
            <w:pPr>
              <w:spacing w:after="20"/>
            </w:pPr>
            <w:r/>
            <w:r>
              <w:rPr>
                <w:b w:val="0"/>
                <w:color w:val="131B2E"/>
                <w:sz w:val="15"/>
              </w:rPr>
              <w:t>6</w:t>
            </w:r>
          </w:p>
        </w:tc>
      </w:tr>
      <w:tr>
        <w:tc>
          <w:tcPr>
            <w:tcW w:type="dxa" w:w="3061"/>
          </w:tcPr>
          <w:p>
            <w:pPr>
              <w:spacing w:after="20"/>
            </w:pPr>
            <w:r/>
            <w:r>
              <w:rPr>
                <w:b w:val="0"/>
                <w:color w:val="131B2E"/>
                <w:sz w:val="15"/>
              </w:rPr>
              <w:t>Visibilidad bibliométrica (25 %)</w:t>
            </w:r>
          </w:p>
        </w:tc>
        <w:tc>
          <w:tcPr>
            <w:tcW w:type="dxa" w:w="1417"/>
          </w:tcPr>
          <w:p>
            <w:pPr>
              <w:spacing w:after="20"/>
            </w:pPr>
            <w:r/>
            <w:r>
              <w:rPr>
                <w:b w:val="0"/>
                <w:color w:val="131B2E"/>
                <w:sz w:val="15"/>
              </w:rPr>
              <w:t>8</w:t>
            </w:r>
          </w:p>
        </w:tc>
        <w:tc>
          <w:tcPr>
            <w:tcW w:type="dxa" w:w="1417"/>
          </w:tcPr>
          <w:p>
            <w:pPr>
              <w:spacing w:after="20"/>
            </w:pPr>
            <w:r/>
            <w:r>
              <w:rPr>
                <w:b w:val="0"/>
                <w:color w:val="131B2E"/>
                <w:sz w:val="15"/>
              </w:rPr>
              <w:t>8</w:t>
            </w:r>
          </w:p>
        </w:tc>
        <w:tc>
          <w:tcPr>
            <w:tcW w:type="dxa" w:w="1417"/>
          </w:tcPr>
          <w:p>
            <w:pPr>
              <w:spacing w:after="20"/>
            </w:pPr>
            <w:r/>
            <w:r>
              <w:rPr>
                <w:b w:val="0"/>
                <w:color w:val="131B2E"/>
                <w:sz w:val="15"/>
              </w:rPr>
              <w:t>9</w:t>
            </w:r>
          </w:p>
        </w:tc>
        <w:tc>
          <w:tcPr>
            <w:tcW w:type="dxa" w:w="1417"/>
          </w:tcPr>
          <w:p>
            <w:pPr>
              <w:spacing w:after="20"/>
            </w:pPr>
            <w:r/>
            <w:r>
              <w:rPr>
                <w:b w:val="0"/>
                <w:color w:val="131B2E"/>
                <w:sz w:val="15"/>
              </w:rPr>
              <w:t>6</w:t>
            </w:r>
          </w:p>
        </w:tc>
        <w:tc>
          <w:tcPr>
            <w:tcW w:type="dxa" w:w="1417"/>
          </w:tcPr>
          <w:p>
            <w:pPr>
              <w:spacing w:after="20"/>
            </w:pPr>
            <w:r/>
            <w:r>
              <w:rPr>
                <w:b w:val="0"/>
                <w:color w:val="131B2E"/>
                <w:sz w:val="15"/>
              </w:rPr>
              <w:t>9</w:t>
            </w:r>
          </w:p>
        </w:tc>
        <w:tc>
          <w:tcPr>
            <w:tcW w:type="dxa" w:w="1417"/>
          </w:tcPr>
          <w:p>
            <w:pPr>
              <w:spacing w:after="20"/>
            </w:pPr>
            <w:r/>
            <w:r>
              <w:rPr>
                <w:b w:val="0"/>
                <w:color w:val="131B2E"/>
                <w:sz w:val="15"/>
              </w:rPr>
              <w:t>8</w:t>
            </w:r>
          </w:p>
        </w:tc>
      </w:tr>
      <w:tr>
        <w:tc>
          <w:tcPr>
            <w:tcW w:type="dxa" w:w="3061"/>
            <w:shd w:val="clear" w:fill="EEF3FA"/>
          </w:tcPr>
          <w:p>
            <w:pPr>
              <w:spacing w:after="20"/>
            </w:pPr>
            <w:r/>
            <w:r>
              <w:rPr>
                <w:b w:val="0"/>
                <w:color w:val="131B2E"/>
                <w:sz w:val="15"/>
              </w:rPr>
              <w:t>Viabilidad editorial (20 %)</w:t>
            </w:r>
          </w:p>
        </w:tc>
        <w:tc>
          <w:tcPr>
            <w:tcW w:type="dxa" w:w="1417"/>
            <w:shd w:val="clear" w:fill="EEF3FA"/>
          </w:tcPr>
          <w:p>
            <w:pPr>
              <w:spacing w:after="20"/>
            </w:pPr>
            <w:r/>
            <w:r>
              <w:rPr>
                <w:b w:val="0"/>
                <w:color w:val="131B2E"/>
                <w:sz w:val="15"/>
              </w:rPr>
              <w:t>9</w:t>
            </w:r>
          </w:p>
        </w:tc>
        <w:tc>
          <w:tcPr>
            <w:tcW w:type="dxa" w:w="1417"/>
            <w:shd w:val="clear" w:fill="EEF3FA"/>
          </w:tcPr>
          <w:p>
            <w:pPr>
              <w:spacing w:after="20"/>
            </w:pPr>
            <w:r/>
            <w:r>
              <w:rPr>
                <w:b w:val="0"/>
                <w:color w:val="131B2E"/>
                <w:sz w:val="15"/>
              </w:rPr>
              <w:t>6</w:t>
            </w:r>
          </w:p>
        </w:tc>
        <w:tc>
          <w:tcPr>
            <w:tcW w:type="dxa" w:w="1417"/>
            <w:shd w:val="clear" w:fill="EEF3FA"/>
          </w:tcPr>
          <w:p>
            <w:pPr>
              <w:spacing w:after="20"/>
            </w:pPr>
            <w:r/>
            <w:r>
              <w:rPr>
                <w:b w:val="0"/>
                <w:color w:val="131B2E"/>
                <w:sz w:val="15"/>
              </w:rPr>
              <w:t>5</w:t>
            </w:r>
          </w:p>
        </w:tc>
        <w:tc>
          <w:tcPr>
            <w:tcW w:type="dxa" w:w="1417"/>
            <w:shd w:val="clear" w:fill="EEF3FA"/>
          </w:tcPr>
          <w:p>
            <w:pPr>
              <w:spacing w:after="20"/>
            </w:pPr>
            <w:r/>
            <w:r>
              <w:rPr>
                <w:b w:val="0"/>
                <w:color w:val="131B2E"/>
                <w:sz w:val="15"/>
              </w:rPr>
              <w:t>9</w:t>
            </w:r>
          </w:p>
        </w:tc>
        <w:tc>
          <w:tcPr>
            <w:tcW w:type="dxa" w:w="1417"/>
            <w:shd w:val="clear" w:fill="EEF3FA"/>
          </w:tcPr>
          <w:p>
            <w:pPr>
              <w:spacing w:after="20"/>
            </w:pPr>
            <w:r/>
            <w:r>
              <w:rPr>
                <w:b w:val="0"/>
                <w:color w:val="131B2E"/>
                <w:sz w:val="15"/>
              </w:rPr>
              <w:t>6</w:t>
            </w:r>
          </w:p>
        </w:tc>
        <w:tc>
          <w:tcPr>
            <w:tcW w:type="dxa" w:w="1417"/>
            <w:shd w:val="clear" w:fill="EEF3FA"/>
          </w:tcPr>
          <w:p>
            <w:pPr>
              <w:spacing w:after="20"/>
            </w:pPr>
            <w:r/>
            <w:r>
              <w:rPr>
                <w:b w:val="0"/>
                <w:color w:val="131B2E"/>
                <w:sz w:val="15"/>
              </w:rPr>
              <w:t>10</w:t>
            </w:r>
          </w:p>
        </w:tc>
      </w:tr>
      <w:tr>
        <w:tc>
          <w:tcPr>
            <w:tcW w:type="dxa" w:w="3061"/>
          </w:tcPr>
          <w:p>
            <w:pPr>
              <w:spacing w:after="20"/>
            </w:pPr>
            <w:r/>
            <w:r>
              <w:rPr>
                <w:b w:val="0"/>
                <w:color w:val="131B2E"/>
                <w:sz w:val="15"/>
              </w:rPr>
              <w:t>Costo y accesibilidad (15 %)</w:t>
            </w:r>
          </w:p>
        </w:tc>
        <w:tc>
          <w:tcPr>
            <w:tcW w:type="dxa" w:w="1417"/>
          </w:tcPr>
          <w:p>
            <w:pPr>
              <w:spacing w:after="20"/>
            </w:pPr>
            <w:r/>
            <w:r>
              <w:rPr>
                <w:b w:val="0"/>
                <w:color w:val="131B2E"/>
                <w:sz w:val="15"/>
              </w:rPr>
              <w:t>8</w:t>
            </w:r>
          </w:p>
        </w:tc>
        <w:tc>
          <w:tcPr>
            <w:tcW w:type="dxa" w:w="1417"/>
          </w:tcPr>
          <w:p>
            <w:pPr>
              <w:spacing w:after="20"/>
            </w:pPr>
            <w:r/>
            <w:r>
              <w:rPr>
                <w:b w:val="0"/>
                <w:color w:val="131B2E"/>
                <w:sz w:val="15"/>
              </w:rPr>
              <w:t>10</w:t>
            </w:r>
          </w:p>
        </w:tc>
        <w:tc>
          <w:tcPr>
            <w:tcW w:type="dxa" w:w="1417"/>
          </w:tcPr>
          <w:p>
            <w:pPr>
              <w:spacing w:after="20"/>
            </w:pPr>
            <w:r/>
            <w:r>
              <w:rPr>
                <w:b w:val="0"/>
                <w:color w:val="131B2E"/>
                <w:sz w:val="15"/>
              </w:rPr>
              <w:t>6</w:t>
            </w:r>
          </w:p>
        </w:tc>
        <w:tc>
          <w:tcPr>
            <w:tcW w:type="dxa" w:w="1417"/>
          </w:tcPr>
          <w:p>
            <w:pPr>
              <w:spacing w:after="20"/>
            </w:pPr>
            <w:r/>
            <w:r>
              <w:rPr>
                <w:b w:val="0"/>
                <w:color w:val="131B2E"/>
                <w:sz w:val="15"/>
              </w:rPr>
              <w:t>5</w:t>
            </w:r>
          </w:p>
        </w:tc>
        <w:tc>
          <w:tcPr>
            <w:tcW w:type="dxa" w:w="1417"/>
          </w:tcPr>
          <w:p>
            <w:pPr>
              <w:spacing w:after="20"/>
            </w:pPr>
            <w:r/>
            <w:r>
              <w:rPr>
                <w:b w:val="0"/>
                <w:color w:val="131B2E"/>
                <w:sz w:val="15"/>
              </w:rPr>
              <w:t>10</w:t>
            </w:r>
          </w:p>
        </w:tc>
        <w:tc>
          <w:tcPr>
            <w:tcW w:type="dxa" w:w="1417"/>
          </w:tcPr>
          <w:p>
            <w:pPr>
              <w:spacing w:after="20"/>
            </w:pPr>
            <w:r/>
            <w:r>
              <w:rPr>
                <w:b w:val="0"/>
                <w:color w:val="131B2E"/>
                <w:sz w:val="15"/>
              </w:rPr>
              <w:t>3</w:t>
            </w:r>
          </w:p>
        </w:tc>
      </w:tr>
      <w:tr>
        <w:tc>
          <w:tcPr>
            <w:tcW w:type="dxa" w:w="3061"/>
            <w:shd w:val="clear" w:fill="EEF3FA"/>
          </w:tcPr>
          <w:p>
            <w:pPr>
              <w:spacing w:after="20"/>
            </w:pPr>
            <w:r/>
            <w:r>
              <w:rPr>
                <w:b w:val="0"/>
                <w:color w:val="131B2E"/>
                <w:sz w:val="15"/>
              </w:rPr>
              <w:t>Compatibilidad formal (10 %)</w:t>
            </w:r>
          </w:p>
        </w:tc>
        <w:tc>
          <w:tcPr>
            <w:tcW w:type="dxa" w:w="1417"/>
            <w:shd w:val="clear" w:fill="EEF3FA"/>
          </w:tcPr>
          <w:p>
            <w:pPr>
              <w:spacing w:after="20"/>
            </w:pPr>
            <w:r/>
            <w:r>
              <w:rPr>
                <w:b w:val="0"/>
                <w:color w:val="131B2E"/>
                <w:sz w:val="15"/>
              </w:rPr>
              <w:t>7</w:t>
            </w:r>
          </w:p>
        </w:tc>
        <w:tc>
          <w:tcPr>
            <w:tcW w:type="dxa" w:w="1417"/>
            <w:shd w:val="clear" w:fill="EEF3FA"/>
          </w:tcPr>
          <w:p>
            <w:pPr>
              <w:spacing w:after="20"/>
            </w:pPr>
            <w:r/>
            <w:r>
              <w:rPr>
                <w:b w:val="0"/>
                <w:color w:val="131B2E"/>
                <w:sz w:val="15"/>
              </w:rPr>
              <w:t>7</w:t>
            </w:r>
          </w:p>
        </w:tc>
        <w:tc>
          <w:tcPr>
            <w:tcW w:type="dxa" w:w="1417"/>
            <w:shd w:val="clear" w:fill="EEF3FA"/>
          </w:tcPr>
          <w:p>
            <w:pPr>
              <w:spacing w:after="20"/>
            </w:pPr>
            <w:r/>
            <w:r>
              <w:rPr>
                <w:b w:val="0"/>
                <w:color w:val="131B2E"/>
                <w:sz w:val="15"/>
              </w:rPr>
              <w:t>9</w:t>
            </w:r>
          </w:p>
        </w:tc>
        <w:tc>
          <w:tcPr>
            <w:tcW w:type="dxa" w:w="1417"/>
            <w:shd w:val="clear" w:fill="EEF3FA"/>
          </w:tcPr>
          <w:p>
            <w:pPr>
              <w:spacing w:after="20"/>
            </w:pPr>
            <w:r/>
            <w:r>
              <w:rPr>
                <w:b w:val="0"/>
                <w:color w:val="131B2E"/>
                <w:sz w:val="15"/>
              </w:rPr>
              <w:t>8</w:t>
            </w:r>
          </w:p>
        </w:tc>
        <w:tc>
          <w:tcPr>
            <w:tcW w:type="dxa" w:w="1417"/>
            <w:shd w:val="clear" w:fill="EEF3FA"/>
          </w:tcPr>
          <w:p>
            <w:pPr>
              <w:spacing w:after="20"/>
            </w:pPr>
            <w:r/>
            <w:r>
              <w:rPr>
                <w:b w:val="0"/>
                <w:color w:val="131B2E"/>
                <w:sz w:val="15"/>
              </w:rPr>
              <w:t>6</w:t>
            </w:r>
          </w:p>
        </w:tc>
        <w:tc>
          <w:tcPr>
            <w:tcW w:type="dxa" w:w="1417"/>
            <w:shd w:val="clear" w:fill="EEF3FA"/>
          </w:tcPr>
          <w:p>
            <w:pPr>
              <w:spacing w:after="20"/>
            </w:pPr>
            <w:r/>
            <w:r>
              <w:rPr>
                <w:b w:val="0"/>
                <w:color w:val="131B2E"/>
                <w:sz w:val="15"/>
              </w:rPr>
              <w:t>7</w:t>
            </w:r>
          </w:p>
        </w:tc>
      </w:tr>
      <w:tr>
        <w:tc>
          <w:tcPr>
            <w:tcW w:type="dxa" w:w="3061"/>
            <w:shd w:val="clear" w:fill="E0F3E6"/>
          </w:tcPr>
          <w:p>
            <w:pPr>
              <w:spacing w:after="20"/>
            </w:pPr>
            <w:r/>
            <w:r>
              <w:rPr>
                <w:b w:val="0"/>
                <w:color w:val="131B2E"/>
                <w:sz w:val="15"/>
              </w:rPr>
              <w:t>PUNTAJE PONDERADO</w:t>
            </w:r>
          </w:p>
        </w:tc>
        <w:tc>
          <w:tcPr>
            <w:tcW w:type="dxa" w:w="1417"/>
            <w:shd w:val="clear" w:fill="E0F3E6"/>
          </w:tcPr>
          <w:p>
            <w:pPr>
              <w:spacing w:after="20"/>
            </w:pPr>
            <w:r/>
            <w:r>
              <w:rPr>
                <w:b w:val="0"/>
                <w:color w:val="131B2E"/>
                <w:sz w:val="15"/>
              </w:rPr>
            </w:r>
            <w:r>
              <w:rPr>
                <w:b/>
                <w:color w:val="131B2E"/>
                <w:sz w:val="15"/>
              </w:rPr>
              <w:t>84.0</w:t>
            </w:r>
            <w:r>
              <w:rPr>
                <w:b w:val="0"/>
                <w:color w:val="131B2E"/>
                <w:sz w:val="15"/>
              </w:rPr>
            </w:r>
          </w:p>
        </w:tc>
        <w:tc>
          <w:tcPr>
            <w:tcW w:type="dxa" w:w="1417"/>
            <w:shd w:val="clear" w:fill="E0F3E6"/>
          </w:tcPr>
          <w:p>
            <w:pPr>
              <w:spacing w:after="20"/>
            </w:pPr>
            <w:r/>
            <w:r>
              <w:rPr>
                <w:b w:val="0"/>
                <w:color w:val="131B2E"/>
                <w:sz w:val="15"/>
              </w:rPr>
            </w:r>
            <w:r>
              <w:rPr>
                <w:b/>
                <w:color w:val="131B2E"/>
                <w:sz w:val="15"/>
              </w:rPr>
              <w:t>81.0</w:t>
            </w:r>
            <w:r>
              <w:rPr>
                <w:b w:val="0"/>
                <w:color w:val="131B2E"/>
                <w:sz w:val="15"/>
              </w:rPr>
            </w:r>
          </w:p>
        </w:tc>
        <w:tc>
          <w:tcPr>
            <w:tcW w:type="dxa" w:w="1417"/>
            <w:shd w:val="clear" w:fill="E0F3E6"/>
          </w:tcPr>
          <w:p>
            <w:pPr>
              <w:spacing w:after="20"/>
            </w:pPr>
            <w:r/>
            <w:r>
              <w:rPr>
                <w:b w:val="0"/>
                <w:color w:val="131B2E"/>
                <w:sz w:val="15"/>
              </w:rPr>
            </w:r>
            <w:r>
              <w:rPr>
                <w:b/>
                <w:color w:val="131B2E"/>
                <w:sz w:val="15"/>
              </w:rPr>
              <w:t>77.5</w:t>
            </w:r>
            <w:r>
              <w:rPr>
                <w:b w:val="0"/>
                <w:color w:val="131B2E"/>
                <w:sz w:val="15"/>
              </w:rPr>
            </w:r>
          </w:p>
        </w:tc>
        <w:tc>
          <w:tcPr>
            <w:tcW w:type="dxa" w:w="1417"/>
            <w:shd w:val="clear" w:fill="E0F3E6"/>
          </w:tcPr>
          <w:p>
            <w:pPr>
              <w:spacing w:after="20"/>
            </w:pPr>
            <w:r/>
            <w:r>
              <w:rPr>
                <w:b w:val="0"/>
                <w:color w:val="131B2E"/>
                <w:sz w:val="15"/>
              </w:rPr>
            </w:r>
            <w:r>
              <w:rPr>
                <w:b/>
                <w:color w:val="131B2E"/>
                <w:sz w:val="15"/>
              </w:rPr>
              <w:t>75.5</w:t>
            </w:r>
            <w:r>
              <w:rPr>
                <w:b w:val="0"/>
                <w:color w:val="131B2E"/>
                <w:sz w:val="15"/>
              </w:rPr>
            </w:r>
          </w:p>
        </w:tc>
        <w:tc>
          <w:tcPr>
            <w:tcW w:type="dxa" w:w="1417"/>
            <w:shd w:val="clear" w:fill="E0F3E6"/>
          </w:tcPr>
          <w:p>
            <w:pPr>
              <w:spacing w:after="20"/>
            </w:pPr>
            <w:r/>
            <w:r>
              <w:rPr>
                <w:b w:val="0"/>
                <w:color w:val="131B2E"/>
                <w:sz w:val="15"/>
              </w:rPr>
            </w:r>
            <w:r>
              <w:rPr>
                <w:b/>
                <w:color w:val="131B2E"/>
                <w:sz w:val="15"/>
              </w:rPr>
              <w:t>73.5</w:t>
            </w:r>
            <w:r>
              <w:rPr>
                <w:b w:val="0"/>
                <w:color w:val="131B2E"/>
                <w:sz w:val="15"/>
              </w:rPr>
            </w:r>
          </w:p>
        </w:tc>
        <w:tc>
          <w:tcPr>
            <w:tcW w:type="dxa" w:w="1417"/>
            <w:shd w:val="clear" w:fill="E0F3E6"/>
          </w:tcPr>
          <w:p>
            <w:pPr>
              <w:spacing w:after="20"/>
            </w:pPr>
            <w:r/>
            <w:r>
              <w:rPr>
                <w:b w:val="0"/>
                <w:color w:val="131B2E"/>
                <w:sz w:val="15"/>
              </w:rPr>
            </w:r>
            <w:r>
              <w:rPr>
                <w:b/>
                <w:color w:val="131B2E"/>
                <w:sz w:val="15"/>
              </w:rPr>
              <w:t>69.5</w:t>
            </w:r>
            <w:r>
              <w:rPr>
                <w:b w:val="0"/>
                <w:color w:val="131B2E"/>
                <w:sz w:val="15"/>
              </w:rPr>
            </w:r>
          </w:p>
        </w:tc>
      </w:tr>
      <w:tr>
        <w:tc>
          <w:tcPr>
            <w:tcW w:type="dxa" w:w="3061"/>
            <w:shd w:val="clear" w:fill="FDECD2"/>
          </w:tcPr>
          <w:p>
            <w:pPr>
              <w:spacing w:after="20"/>
            </w:pPr>
            <w:r/>
            <w:r>
              <w:rPr>
                <w:b w:val="0"/>
                <w:color w:val="131B2E"/>
                <w:sz w:val="15"/>
              </w:rPr>
              <w:t>Datos con fuente primaria</w:t>
            </w:r>
          </w:p>
        </w:tc>
        <w:tc>
          <w:tcPr>
            <w:tcW w:type="dxa" w:w="1417"/>
            <w:shd w:val="clear" w:fill="FDECD2"/>
          </w:tcPr>
          <w:p>
            <w:pPr>
              <w:spacing w:after="20"/>
            </w:pPr>
            <w:r/>
            <w:r>
              <w:rPr>
                <w:b w:val="0"/>
                <w:color w:val="131B2E"/>
                <w:sz w:val="15"/>
              </w:rPr>
              <w:t>5/6</w:t>
            </w:r>
          </w:p>
        </w:tc>
        <w:tc>
          <w:tcPr>
            <w:tcW w:type="dxa" w:w="1417"/>
            <w:shd w:val="clear" w:fill="FDECD2"/>
          </w:tcPr>
          <w:p>
            <w:pPr>
              <w:spacing w:after="20"/>
            </w:pPr>
            <w:r/>
            <w:r>
              <w:rPr>
                <w:b w:val="0"/>
                <w:color w:val="131B2E"/>
                <w:sz w:val="15"/>
              </w:rPr>
              <w:t>0/6</w:t>
            </w:r>
          </w:p>
        </w:tc>
        <w:tc>
          <w:tcPr>
            <w:tcW w:type="dxa" w:w="1417"/>
            <w:shd w:val="clear" w:fill="FDECD2"/>
          </w:tcPr>
          <w:p>
            <w:pPr>
              <w:spacing w:after="20"/>
            </w:pPr>
            <w:r/>
            <w:r>
              <w:rPr>
                <w:b w:val="0"/>
                <w:color w:val="131B2E"/>
                <w:sz w:val="15"/>
              </w:rPr>
              <w:t>6/6</w:t>
            </w:r>
          </w:p>
        </w:tc>
        <w:tc>
          <w:tcPr>
            <w:tcW w:type="dxa" w:w="1417"/>
            <w:shd w:val="clear" w:fill="FDECD2"/>
          </w:tcPr>
          <w:p>
            <w:pPr>
              <w:spacing w:after="20"/>
            </w:pPr>
            <w:r/>
            <w:r>
              <w:rPr>
                <w:b w:val="0"/>
                <w:color w:val="131B2E"/>
                <w:sz w:val="15"/>
              </w:rPr>
              <w:t>5/6</w:t>
            </w:r>
          </w:p>
        </w:tc>
        <w:tc>
          <w:tcPr>
            <w:tcW w:type="dxa" w:w="1417"/>
            <w:shd w:val="clear" w:fill="FDECD2"/>
          </w:tcPr>
          <w:p>
            <w:pPr>
              <w:spacing w:after="20"/>
            </w:pPr>
            <w:r/>
            <w:r>
              <w:rPr>
                <w:b w:val="0"/>
                <w:color w:val="131B2E"/>
                <w:sz w:val="15"/>
              </w:rPr>
              <w:t>0/6</w:t>
            </w:r>
          </w:p>
        </w:tc>
        <w:tc>
          <w:tcPr>
            <w:tcW w:type="dxa" w:w="1417"/>
            <w:shd w:val="clear" w:fill="FDECD2"/>
          </w:tcPr>
          <w:p>
            <w:pPr>
              <w:spacing w:after="20"/>
            </w:pPr>
            <w:r/>
            <w:r>
              <w:rPr>
                <w:b w:val="0"/>
                <w:color w:val="131B2E"/>
                <w:sz w:val="15"/>
              </w:rPr>
              <w:t>0/6</w:t>
            </w:r>
          </w:p>
        </w:tc>
      </w:tr>
    </w:tbl>
    <w:p>
      <w:pPr>
        <w:spacing w:after="40"/>
      </w:pPr>
    </w:p>
    <w:p>
      <w:pPr>
        <w:spacing w:before="180" w:after="60"/>
      </w:pPr>
      <w:r>
        <w:rPr>
          <w:b/>
          <w:color w:val="1F4E79"/>
          <w:sz w:val="23"/>
        </w:rPr>
        <w:t>5 · Plan A, B y C</w:t>
      </w:r>
    </w:p>
    <w:p>
      <w:pPr>
        <w:spacing w:after="80"/>
        <w:jc w:val="both"/>
      </w:pPr>
      <w:r>
        <w:rPr>
          <w:b w:val="0"/>
          <w:i w:val="0"/>
          <w:color w:val="131B2E"/>
          <w:sz w:val="16"/>
        </w:rPr>
        <w:t xml:space="preserve">Los planes se asignan </w:t>
      </w:r>
      <w:r>
        <w:rPr>
          <w:b/>
          <w:i w:val="0"/>
          <w:color w:val="131B2E"/>
          <w:sz w:val="16"/>
        </w:rPr>
        <w:t>solo entre las candidatas disponibles</w:t>
      </w:r>
      <w:r>
        <w:rPr>
          <w:b w:val="0"/>
          <w:i w:val="0"/>
          <w:color w:val="131B2E"/>
          <w:sz w:val="16"/>
        </w:rPr>
        <w:t>. Los puntajes de las tres ya registradas se conservan a la vista para que la comparación siga completa.</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606"/>
        <w:gridCol w:w="2606"/>
        <w:gridCol w:w="2606"/>
        <w:gridCol w:w="2606"/>
      </w:tblGrid>
      <w:tr>
        <w:tc>
          <w:tcPr>
            <w:tcW w:type="dxa" w:w="1020"/>
            <w:shd w:val="clear" w:fill="1F4E79"/>
          </w:tcPr>
          <w:p>
            <w:r/>
            <w:r>
              <w:rPr>
                <w:b/>
                <w:color w:val="FFFFFF"/>
                <w:sz w:val="16"/>
              </w:rPr>
            </w:r>
          </w:p>
        </w:tc>
        <w:tc>
          <w:tcPr>
            <w:tcW w:type="dxa" w:w="1361"/>
            <w:shd w:val="clear" w:fill="1F4E79"/>
          </w:tcPr>
          <w:p>
            <w:r/>
            <w:r>
              <w:rPr>
                <w:b/>
                <w:color w:val="FFFFFF"/>
                <w:sz w:val="16"/>
              </w:rPr>
              <w:t>Revista</w:t>
            </w:r>
          </w:p>
        </w:tc>
        <w:tc>
          <w:tcPr>
            <w:tcW w:type="dxa" w:w="1020"/>
            <w:shd w:val="clear" w:fill="1F4E79"/>
          </w:tcPr>
          <w:p>
            <w:r/>
            <w:r>
              <w:rPr>
                <w:b/>
                <w:color w:val="FFFFFF"/>
                <w:sz w:val="16"/>
              </w:rPr>
              <w:t>Puntaje</w:t>
            </w:r>
          </w:p>
        </w:tc>
        <w:tc>
          <w:tcPr>
            <w:tcW w:type="dxa" w:w="6690"/>
            <w:shd w:val="clear" w:fill="1F4E79"/>
          </w:tcPr>
          <w:p>
            <w:r/>
            <w:r>
              <w:rPr>
                <w:b/>
                <w:color w:val="FFFFFF"/>
                <w:sz w:val="16"/>
              </w:rPr>
              <w:t>Por qué en esa posición</w:t>
            </w:r>
          </w:p>
        </w:tc>
      </w:tr>
      <w:tr>
        <w:tc>
          <w:tcPr>
            <w:tcW w:type="dxa" w:w="1020"/>
            <w:shd w:val="clear" w:fill="EEF3FA"/>
          </w:tcPr>
          <w:p>
            <w:pPr>
              <w:spacing w:after="20"/>
            </w:pPr>
            <w:r/>
            <w:r>
              <w:rPr>
                <w:b w:val="0"/>
                <w:color w:val="131B2E"/>
                <w:sz w:val="15"/>
              </w:rPr>
              <w:t>—</w:t>
            </w:r>
          </w:p>
        </w:tc>
        <w:tc>
          <w:tcPr>
            <w:tcW w:type="dxa" w:w="1361"/>
            <w:shd w:val="clear" w:fill="EEF3FA"/>
          </w:tcPr>
          <w:p>
            <w:pPr>
              <w:spacing w:after="20"/>
            </w:pPr>
            <w:r/>
            <w:r>
              <w:rPr>
                <w:b w:val="0"/>
                <w:color w:val="131B2E"/>
                <w:sz w:val="15"/>
              </w:rPr>
              <w:t>BEEI</w:t>
            </w:r>
          </w:p>
        </w:tc>
        <w:tc>
          <w:tcPr>
            <w:tcW w:type="dxa" w:w="1020"/>
            <w:shd w:val="clear" w:fill="EEF3FA"/>
          </w:tcPr>
          <w:p>
            <w:pPr>
              <w:spacing w:after="20"/>
            </w:pPr>
            <w:r/>
            <w:r>
              <w:rPr>
                <w:b w:val="0"/>
                <w:color w:val="131B2E"/>
                <w:sz w:val="15"/>
              </w:rPr>
              <w:t>84.0</w:t>
            </w:r>
          </w:p>
        </w:tc>
        <w:tc>
          <w:tcPr>
            <w:tcW w:type="dxa" w:w="6690"/>
            <w:shd w:val="clear" w:fill="EEF3FA"/>
          </w:tcPr>
          <w:p>
            <w:pPr>
              <w:spacing w:after="20"/>
            </w:pPr>
            <w:r/>
            <w:r>
              <w:rPr>
                <w:b w:val="0"/>
                <w:color w:val="131B2E"/>
                <w:sz w:val="15"/>
              </w:rPr>
              <w:t xml:space="preserve">Mejor puntaje absoluto, pero </w:t>
            </w:r>
            <w:r>
              <w:rPr>
                <w:b/>
                <w:color w:val="131B2E"/>
                <w:sz w:val="15"/>
              </w:rPr>
              <w:t>ya registrada</w:t>
            </w:r>
            <w:r>
              <w:rPr>
                <w:b w:val="0"/>
                <w:color w:val="131B2E"/>
                <w:sz w:val="15"/>
              </w:rPr>
              <w:t xml:space="preserve"> en la lista de control.</w:t>
            </w:r>
          </w:p>
        </w:tc>
      </w:tr>
      <w:tr>
        <w:tc>
          <w:tcPr>
            <w:tcW w:type="dxa" w:w="1020"/>
            <w:shd w:val="clear" w:fill="E0F3E6"/>
          </w:tcPr>
          <w:p>
            <w:pPr>
              <w:spacing w:after="20"/>
            </w:pPr>
            <w:r/>
            <w:r>
              <w:rPr>
                <w:b w:val="0"/>
                <w:color w:val="131B2E"/>
                <w:sz w:val="15"/>
              </w:rPr>
              <w:t>Plan A</w:t>
            </w:r>
          </w:p>
        </w:tc>
        <w:tc>
          <w:tcPr>
            <w:tcW w:type="dxa" w:w="1361"/>
            <w:shd w:val="clear" w:fill="E0F3E6"/>
          </w:tcPr>
          <w:p>
            <w:pPr>
              <w:spacing w:after="20"/>
            </w:pPr>
            <w:r/>
            <w:r>
              <w:rPr>
                <w:b w:val="0"/>
                <w:color w:val="131B2E"/>
                <w:sz w:val="15"/>
              </w:rPr>
              <w:t>ISJ</w:t>
            </w:r>
          </w:p>
        </w:tc>
        <w:tc>
          <w:tcPr>
            <w:tcW w:type="dxa" w:w="1020"/>
            <w:shd w:val="clear" w:fill="E0F3E6"/>
          </w:tcPr>
          <w:p>
            <w:pPr>
              <w:spacing w:after="20"/>
            </w:pPr>
            <w:r/>
            <w:r>
              <w:rPr>
                <w:b w:val="0"/>
                <w:color w:val="131B2E"/>
                <w:sz w:val="15"/>
              </w:rPr>
              <w:t>81.0</w:t>
            </w:r>
          </w:p>
        </w:tc>
        <w:tc>
          <w:tcPr>
            <w:tcW w:type="dxa" w:w="6690"/>
            <w:shd w:val="clear" w:fill="E0F3E6"/>
          </w:tcPr>
          <w:p>
            <w:pPr>
              <w:spacing w:after="20"/>
            </w:pPr>
            <w:r/>
            <w:r>
              <w:rPr>
                <w:b w:val="0"/>
                <w:color w:val="131B2E"/>
                <w:sz w:val="15"/>
              </w:rPr>
            </w:r>
            <w:r>
              <w:rPr>
                <w:b/>
                <w:color w:val="131B2E"/>
                <w:sz w:val="15"/>
              </w:rPr>
              <w:t>No exige APC</w:t>
            </w:r>
            <w:r>
              <w:rPr>
                <w:b w:val="0"/>
                <w:color w:val="131B2E"/>
                <w:sz w:val="15"/>
              </w:rPr>
              <w:t xml:space="preserve"> por la vía de suscripción. Sube al primer puesto al corregirse su capacidad, que no era de 21 artículos al año sino de 35-38. Su puntaje es el más frágil del conjunto: 0 de 6 datos verificados en la revista.</w:t>
            </w:r>
          </w:p>
        </w:tc>
      </w:tr>
      <w:tr>
        <w:tc>
          <w:tcPr>
            <w:tcW w:type="dxa" w:w="1020"/>
            <w:shd w:val="clear" w:fill="E0F3E6"/>
          </w:tcPr>
          <w:p>
            <w:pPr>
              <w:spacing w:after="20"/>
            </w:pPr>
            <w:r/>
            <w:r>
              <w:rPr>
                <w:b w:val="0"/>
                <w:color w:val="131B2E"/>
                <w:sz w:val="15"/>
              </w:rPr>
              <w:t>Plan B</w:t>
            </w:r>
          </w:p>
        </w:tc>
        <w:tc>
          <w:tcPr>
            <w:tcW w:type="dxa" w:w="1361"/>
            <w:shd w:val="clear" w:fill="E0F3E6"/>
          </w:tcPr>
          <w:p>
            <w:pPr>
              <w:spacing w:after="20"/>
            </w:pPr>
            <w:r/>
            <w:r>
              <w:rPr>
                <w:b w:val="0"/>
                <w:color w:val="131B2E"/>
                <w:sz w:val="15"/>
              </w:rPr>
              <w:t>CIT</w:t>
            </w:r>
          </w:p>
        </w:tc>
        <w:tc>
          <w:tcPr>
            <w:tcW w:type="dxa" w:w="1020"/>
            <w:shd w:val="clear" w:fill="E0F3E6"/>
          </w:tcPr>
          <w:p>
            <w:pPr>
              <w:spacing w:after="20"/>
            </w:pPr>
            <w:r/>
            <w:r>
              <w:rPr>
                <w:b w:val="0"/>
                <w:color w:val="131B2E"/>
                <w:sz w:val="15"/>
              </w:rPr>
              <w:t>77.5</w:t>
            </w:r>
          </w:p>
        </w:tc>
        <w:tc>
          <w:tcPr>
            <w:tcW w:type="dxa" w:w="6690"/>
            <w:shd w:val="clear" w:fill="E0F3E6"/>
          </w:tcPr>
          <w:p>
            <w:pPr>
              <w:spacing w:after="20"/>
            </w:pPr>
            <w:r/>
            <w:r>
              <w:rPr>
                <w:b w:val="0"/>
                <w:color w:val="131B2E"/>
                <w:sz w:val="15"/>
              </w:rPr>
              <w:t>Puntúa menos, pero es la única con los seis datos verificados en la propia revista, la única con Q2 y factor de impacto de Web of Science confirmados, y la única que publica detección y mitigación. Su desventaja está declarada: 3-6 meses.</w:t>
            </w:r>
          </w:p>
        </w:tc>
      </w:tr>
      <w:tr>
        <w:tc>
          <w:tcPr>
            <w:tcW w:type="dxa" w:w="1020"/>
          </w:tcPr>
          <w:p>
            <w:pPr>
              <w:spacing w:after="20"/>
            </w:pPr>
            <w:r/>
            <w:r>
              <w:rPr>
                <w:b w:val="0"/>
                <w:color w:val="131B2E"/>
                <w:sz w:val="15"/>
              </w:rPr>
              <w:t>—</w:t>
            </w:r>
          </w:p>
        </w:tc>
        <w:tc>
          <w:tcPr>
            <w:tcW w:type="dxa" w:w="1361"/>
          </w:tcPr>
          <w:p>
            <w:pPr>
              <w:spacing w:after="20"/>
            </w:pPr>
            <w:r/>
            <w:r>
              <w:rPr>
                <w:b w:val="0"/>
                <w:color w:val="131B2E"/>
                <w:sz w:val="15"/>
              </w:rPr>
              <w:t>IJSSE</w:t>
            </w:r>
          </w:p>
        </w:tc>
        <w:tc>
          <w:tcPr>
            <w:tcW w:type="dxa" w:w="1020"/>
          </w:tcPr>
          <w:p>
            <w:pPr>
              <w:spacing w:after="20"/>
            </w:pPr>
            <w:r/>
            <w:r>
              <w:rPr>
                <w:b w:val="0"/>
                <w:color w:val="131B2E"/>
                <w:sz w:val="15"/>
              </w:rPr>
              <w:t>75.5</w:t>
            </w:r>
          </w:p>
        </w:tc>
        <w:tc>
          <w:tcPr>
            <w:tcW w:type="dxa" w:w="6690"/>
          </w:tcPr>
          <w:p>
            <w:pPr>
              <w:spacing w:after="20"/>
            </w:pPr>
            <w:r/>
            <w:r>
              <w:rPr>
                <w:b w:val="0"/>
                <w:color w:val="131B2E"/>
                <w:sz w:val="15"/>
              </w:rPr>
              <w:t xml:space="preserve">Encaje idéntico al de BEEI y ciclo rápido, pero menor visibilidad y APC del doble. </w:t>
            </w:r>
            <w:r>
              <w:rPr>
                <w:b/>
                <w:color w:val="131B2E"/>
                <w:sz w:val="15"/>
              </w:rPr>
              <w:t>Ya registrada</w:t>
            </w:r>
            <w:r>
              <w:rPr>
                <w:b w:val="0"/>
                <w:color w:val="131B2E"/>
                <w:sz w:val="15"/>
              </w:rPr>
              <w:t xml:space="preserve"> en la lista de control.</w:t>
            </w:r>
          </w:p>
        </w:tc>
      </w:tr>
      <w:tr>
        <w:tc>
          <w:tcPr>
            <w:tcW w:type="dxa" w:w="1020"/>
            <w:shd w:val="clear" w:fill="E0F3E6"/>
          </w:tcPr>
          <w:p>
            <w:pPr>
              <w:spacing w:after="20"/>
            </w:pPr>
            <w:r/>
            <w:r>
              <w:rPr>
                <w:b w:val="0"/>
                <w:color w:val="131B2E"/>
                <w:sz w:val="15"/>
              </w:rPr>
              <w:t>Plan C</w:t>
            </w:r>
          </w:p>
        </w:tc>
        <w:tc>
          <w:tcPr>
            <w:tcW w:type="dxa" w:w="1361"/>
            <w:shd w:val="clear" w:fill="E0F3E6"/>
          </w:tcPr>
          <w:p>
            <w:pPr>
              <w:spacing w:after="20"/>
            </w:pPr>
            <w:r/>
            <w:r>
              <w:rPr>
                <w:b w:val="0"/>
                <w:color w:val="131B2E"/>
                <w:sz w:val="15"/>
              </w:rPr>
              <w:t>ICS</w:t>
            </w:r>
          </w:p>
        </w:tc>
        <w:tc>
          <w:tcPr>
            <w:tcW w:type="dxa" w:w="1020"/>
            <w:shd w:val="clear" w:fill="E0F3E6"/>
          </w:tcPr>
          <w:p>
            <w:pPr>
              <w:spacing w:after="20"/>
            </w:pPr>
            <w:r/>
            <w:r>
              <w:rPr>
                <w:b w:val="0"/>
                <w:color w:val="131B2E"/>
                <w:sz w:val="15"/>
              </w:rPr>
              <w:t>73.5</w:t>
            </w:r>
          </w:p>
        </w:tc>
        <w:tc>
          <w:tcPr>
            <w:tcW w:type="dxa" w:w="6690"/>
            <w:shd w:val="clear" w:fill="E0F3E6"/>
          </w:tcPr>
          <w:p>
            <w:pPr>
              <w:spacing w:after="20"/>
            </w:pPr>
            <w:r/>
            <w:r>
              <w:rPr>
                <w:b w:val="0"/>
                <w:color w:val="131B2E"/>
                <w:sz w:val="15"/>
              </w:rPr>
              <w:t>El mayor prestigio (h-index 60), pero su centro editorial se inclina a factores humanos y sus datos siguen sin verificar.</w:t>
            </w:r>
          </w:p>
        </w:tc>
      </w:tr>
      <w:tr>
        <w:tc>
          <w:tcPr>
            <w:tcW w:type="dxa" w:w="1020"/>
          </w:tcPr>
          <w:p>
            <w:pPr>
              <w:spacing w:after="20"/>
            </w:pPr>
            <w:r/>
            <w:r>
              <w:rPr>
                <w:b w:val="0"/>
                <w:color w:val="131B2E"/>
                <w:sz w:val="15"/>
              </w:rPr>
              <w:t>—</w:t>
            </w:r>
          </w:p>
        </w:tc>
        <w:tc>
          <w:tcPr>
            <w:tcW w:type="dxa" w:w="1361"/>
          </w:tcPr>
          <w:p>
            <w:pPr>
              <w:spacing w:after="20"/>
            </w:pPr>
            <w:r/>
            <w:r>
              <w:rPr>
                <w:b w:val="0"/>
                <w:color w:val="131B2E"/>
                <w:sz w:val="15"/>
              </w:rPr>
              <w:t>IJACSA</w:t>
            </w:r>
          </w:p>
        </w:tc>
        <w:tc>
          <w:tcPr>
            <w:tcW w:type="dxa" w:w="1020"/>
          </w:tcPr>
          <w:p>
            <w:pPr>
              <w:spacing w:after="20"/>
            </w:pPr>
            <w:r/>
            <w:r>
              <w:rPr>
                <w:b w:val="0"/>
                <w:color w:val="131B2E"/>
                <w:sz w:val="15"/>
              </w:rPr>
              <w:t>69.5</w:t>
            </w:r>
          </w:p>
        </w:tc>
        <w:tc>
          <w:tcPr>
            <w:tcW w:type="dxa" w:w="6690"/>
          </w:tcPr>
          <w:p>
            <w:pPr>
              <w:spacing w:after="20"/>
            </w:pPr>
            <w:r/>
            <w:r>
              <w:rPr>
                <w:b w:val="0"/>
                <w:color w:val="131B2E"/>
                <w:sz w:val="15"/>
              </w:rPr>
              <w:t xml:space="preserve">La más rápida, pero de alcance genérico, con el APC más alto y </w:t>
            </w:r>
            <w:r>
              <w:rPr>
                <w:b/>
                <w:color w:val="131B2E"/>
                <w:sz w:val="15"/>
              </w:rPr>
              <w:t>ya registrada</w:t>
            </w:r>
            <w:r>
              <w:rPr>
                <w:b w:val="0"/>
                <w:color w:val="131B2E"/>
                <w:sz w:val="15"/>
              </w:rPr>
              <w:t xml:space="preserve"> en la lista de control.</w:t>
            </w:r>
          </w:p>
        </w:tc>
      </w:tr>
    </w:tbl>
    <w:p>
      <w:pPr>
        <w:spacing w:after="40"/>
      </w:pPr>
    </w:p>
    <w:p>
      <w:pPr>
        <w:spacing w:after="80"/>
        <w:jc w:val="both"/>
      </w:pPr>
      <w:r>
        <w:rPr>
          <w:b w:val="0"/>
          <w:i/>
          <w:color w:val="5B6B8C"/>
          <w:sz w:val="16"/>
        </w:rPr>
      </w:r>
      <w:r>
        <w:rPr>
          <w:b/>
          <w:i/>
          <w:color w:val="5B6B8C"/>
          <w:sz w:val="16"/>
        </w:rPr>
        <w:t>El orden por debajo del Plan A es provisional.</w:t>
      </w:r>
      <w:r>
        <w:rPr>
          <w:b w:val="0"/>
          <w:i/>
          <w:color w:val="5B6B8C"/>
          <w:sz w:val="16"/>
        </w:rPr>
        <w:t xml:space="preserve"> Solo BEEI, IJSSE y CIT tienen sus datos sensibles verificados en fuente primaria; ISJ, ICS e IJACSA se puntuaron con fuentes secundarias, y completar esa verificación puede reordenarlas. La distancia entre CIT (77,5) y ISJ (77,0) es de medio punto: menor que el margen que puede mover una sola verificación pendiente.</w:t>
      </w:r>
    </w:p>
    <w:p>
      <w:pPr>
        <w:spacing w:before="180" w:after="60"/>
      </w:pPr>
      <w:r>
        <w:rPr>
          <w:b/>
          <w:color w:val="1F4E79"/>
          <w:sz w:val="23"/>
        </w:rPr>
        <w:t>6 · Justificación</w:t>
      </w:r>
    </w:p>
    <w:p>
      <w:pPr>
        <w:spacing w:after="80"/>
        <w:jc w:val="both"/>
      </w:pPr>
      <w:r>
        <w:rPr>
          <w:b w:val="0"/>
          <w:i w:val="0"/>
          <w:color w:val="131B2E"/>
          <w:sz w:val="17"/>
        </w:rPr>
      </w:r>
      <w:r>
        <w:rPr>
          <w:b/>
          <w:i w:val="0"/>
          <w:color w:val="131B2E"/>
          <w:sz w:val="17"/>
        </w:rPr>
        <w:t>ISJ encabeza la aritmética</w:t>
      </w:r>
      <w:r>
        <w:rPr>
          <w:b w:val="0"/>
          <w:i w:val="0"/>
          <w:color w:val="131B2E"/>
          <w:sz w:val="17"/>
        </w:rPr>
        <w:t xml:space="preserve"> con 81.0 puntos entre las disponibles, por delante de CIT (77.5). BEEI puntúa más alto que ambas (84.0), pero queda fuera por el filtro de disponibilidad, no por una debilidad técnica.</w:t>
      </w:r>
    </w:p>
    <w:p>
      <w:pPr>
        <w:spacing w:after="80"/>
        <w:jc w:val="both"/>
      </w:pPr>
      <w:r>
        <w:rPr>
          <w:b w:val="0"/>
          <w:i w:val="0"/>
          <w:color w:val="131B2E"/>
          <w:sz w:val="17"/>
        </w:rPr>
      </w:r>
      <w:r>
        <w:rPr>
          <w:b/>
          <w:i w:val="0"/>
          <w:color w:val="131B2E"/>
          <w:sz w:val="17"/>
        </w:rPr>
        <w:t>El orden entre el Plan A y el Plan B no está resuelto, y hay que decirlo primero.</w:t>
      </w:r>
      <w:r>
        <w:rPr>
          <w:b w:val="0"/>
          <w:i w:val="0"/>
          <w:color w:val="131B2E"/>
          <w:sz w:val="17"/>
        </w:rPr>
        <w:t xml:space="preserve"> ISJ tiene 0 de 6 datos verificados en la revista; CIT tiene 6 de 6. El criterio de viabilidad pondera cuatro componentes —tipo de revisión, tiempo, periodicidad y capacidad— y en ISJ dos están sin verificar, mientras que CIT declara los cuatro y es penalizada precisamente por declarar el plazo más lento del conjunto. </w:t>
      </w:r>
      <w:r>
        <w:rPr>
          <w:b/>
          <w:i w:val="0"/>
          <w:color w:val="131B2E"/>
          <w:sz w:val="17"/>
        </w:rPr>
        <w:t>Una matriz que premia el desconocimiento está mal construida, y esta lo hace en este punto.</w:t>
      </w:r>
      <w:r>
        <w:rPr>
          <w:b w:val="0"/>
          <w:i w:val="0"/>
          <w:color w:val="131B2E"/>
          <w:sz w:val="17"/>
        </w:rPr>
        <w:t xml:space="preserve"> No se arregla inventando una penalización a posteriori, que sería el sesgo inverso: se arregla verificando. Si el tiempo de revisión de ISJ supera los 3-6 meses de CIT, el orden se invierte.</w:t>
      </w:r>
    </w:p>
    <w:p>
      <w:pPr>
        <w:spacing w:after="80"/>
        <w:jc w:val="both"/>
      </w:pPr>
      <w:r>
        <w:rPr>
          <w:b w:val="0"/>
          <w:i w:val="0"/>
          <w:color w:val="131B2E"/>
          <w:sz w:val="17"/>
        </w:rPr>
      </w:r>
      <w:r>
        <w:rPr>
          <w:b/>
          <w:i w:val="0"/>
          <w:color w:val="131B2E"/>
          <w:sz w:val="17"/>
        </w:rPr>
        <w:t>Por qué ISJ está arriba:</w:t>
      </w:r>
      <w:r>
        <w:rPr>
          <w:b w:val="0"/>
          <w:i w:val="0"/>
          <w:color w:val="131B2E"/>
          <w:sz w:val="17"/>
        </w:rPr>
        <w:t xml:space="preserve"> no cobra —es híbrida y la vía de suscripción no exige APC, y su ausencia de DOAJ es coherente con que no haya migrado a acceso abierto de pago—; publica ataques SSH y denegación de servicio HTTP, dos de las familias etiquetadas del corpus; y la objeción que la frenaba era falsa: no publica 21 artículos al año sino 35-38 según el índice completo de dblp. Corregir ese dato es lo que la movió del cuarto lugar al primero.</w:t>
      </w:r>
    </w:p>
    <w:p>
      <w:pPr>
        <w:spacing w:after="80"/>
        <w:jc w:val="both"/>
      </w:pPr>
      <w:r>
        <w:rPr>
          <w:b w:val="0"/>
          <w:i w:val="0"/>
          <w:color w:val="131B2E"/>
          <w:sz w:val="17"/>
        </w:rPr>
      </w:r>
      <w:r>
        <w:rPr>
          <w:b/>
          <w:i w:val="0"/>
          <w:color w:val="131B2E"/>
          <w:sz w:val="17"/>
        </w:rPr>
        <w:t>Por qué CIT sigue siendo la apuesta más segura</w:t>
      </w:r>
      <w:r>
        <w:rPr>
          <w:b w:val="0"/>
          <w:i w:val="0"/>
          <w:color w:val="131B2E"/>
          <w:sz w:val="17"/>
        </w:rPr>
        <w:t xml:space="preserve"> aunque puntúe menos: es la única con los seis datos verificados en la propia revista; publica exactamente este problema, comprobado en sus números —incluida en 2025 una arquitectura de detección Y mitigación de DDoS, único antecedente entre las seis candidatas de un trabajo que no solo detecta sino que responde—; es la única con Q2 y factor de impacto de Web of Science confirmados; y su límite de 20 páginas permite exponer las 28 variables y la brecha entre error de laboratorio y de operación sin recortar. Su plazo de 3-6 meses es una desventaja conocida, que es distinto de una desventaja ausente.</w:t>
      </w:r>
    </w:p>
    <w:p>
      <w:pPr>
        <w:spacing w:after="80"/>
        <w:jc w:val="both"/>
      </w:pPr>
      <w:r>
        <w:rPr>
          <w:b w:val="0"/>
          <w:i/>
          <w:color w:val="131B2E"/>
          <w:sz w:val="17"/>
        </w:rPr>
      </w:r>
      <w:r>
        <w:rPr>
          <w:b/>
          <w:i/>
          <w:color w:val="131B2E"/>
          <w:sz w:val="17"/>
        </w:rPr>
        <w:t>Cómo decidir:</w:t>
      </w:r>
      <w:r>
        <w:rPr>
          <w:b w:val="0"/>
          <w:i/>
          <w:color w:val="131B2E"/>
          <w:sz w:val="17"/>
        </w:rPr>
        <w:t xml:space="preserve"> si la restricción es el presupuesto, ISJ o ICS, que no cobran por la vía de suscripción. Si es la certeza sobre el proceso editorial o el encaje con un antecedente de detección y respuesta, CIT. Si es la fecha de sustentación, ninguna de las tres: CIT declara 3-6 meses y las dos híbridas no publican su plazo.</w:t>
      </w:r>
    </w:p>
    <w:p>
      <w:pPr>
        <w:spacing w:before="180" w:after="60"/>
      </w:pPr>
      <w:r>
        <w:rPr>
          <w:b/>
          <w:color w:val="1F4E79"/>
          <w:sz w:val="23"/>
        </w:rPr>
        <w:t>7 · Pendientes antes del envío</w:t>
      </w:r>
    </w:p>
    <w:p>
      <w:pPr>
        <w:spacing w:after="80"/>
        <w:jc w:val="both"/>
      </w:pPr>
      <w:r>
        <w:rPr>
          <w:b w:val="0"/>
          <w:i w:val="0"/>
          <w:color w:val="131B2E"/>
          <w:sz w:val="16"/>
        </w:rPr>
      </w:r>
      <w:r>
        <w:rPr>
          <w:b/>
          <w:i w:val="0"/>
          <w:color w:val="131B2E"/>
          <w:sz w:val="16"/>
        </w:rPr>
        <w:t>Verificar el tipo y el tiempo de revisión de ISJ:</w:t>
      </w:r>
      <w:r>
        <w:rPr>
          <w:b w:val="0"/>
          <w:i w:val="0"/>
          <w:color w:val="131B2E"/>
          <w:sz w:val="16"/>
        </w:rPr>
        <w:t xml:space="preserve"> decide entre el Plan A y el Plan B. · </w:t>
      </w:r>
      <w:r>
        <w:rPr>
          <w:b/>
          <w:i w:val="0"/>
          <w:color w:val="131B2E"/>
          <w:sz w:val="16"/>
        </w:rPr>
        <w:t>Confirmar que ISJ e ICS siguen aceptando la vía de suscripción sin APC:</w:t>
      </w:r>
      <w:r>
        <w:rPr>
          <w:b w:val="0"/>
          <w:i w:val="0"/>
          <w:color w:val="131B2E"/>
          <w:sz w:val="16"/>
        </w:rPr>
        <w:t xml:space="preserve"> su puntaje de coste de 10 sostiene el primer puesto. · </w:t>
      </w:r>
      <w:r>
        <w:rPr>
          <w:b/>
          <w:i w:val="0"/>
          <w:color w:val="131B2E"/>
          <w:sz w:val="16"/>
        </w:rPr>
        <w:t>Confirmar con la coordinación qué significa estar en la lista de control:</w:t>
      </w:r>
      <w:r>
        <w:rPr>
          <w:b w:val="0"/>
          <w:i w:val="0"/>
          <w:color w:val="131B2E"/>
          <w:sz w:val="16"/>
        </w:rPr>
        <w:t xml:space="preserve"> si inhabilita la revista o solo la registra. Toda la sección 2 depende de esa respuesta. · </w:t>
      </w:r>
      <w:r>
        <w:rPr>
          <w:b/>
          <w:i w:val="0"/>
          <w:color w:val="131B2E"/>
          <w:sz w:val="16"/>
        </w:rPr>
        <w:t>Aclarar el APC vigente de CIT:</w:t>
      </w:r>
      <w:r>
        <w:rPr>
          <w:b w:val="0"/>
          <w:i w:val="0"/>
          <w:color w:val="131B2E"/>
          <w:sz w:val="16"/>
        </w:rPr>
        <w:t xml:space="preserve"> su registro en DOAJ declara 360 EUR y sus instrucciones para autores 600 EUR desde el 1 de septiembre de 2026; y preguntar si aplica por fecha de envío o de aceptación. · Pasar el manuscrito por un detector de texto generado por IA: CIT rechaza </w:t>
      </w:r>
      <w:r>
        <w:rPr>
          <w:b/>
          <w:i w:val="0"/>
          <w:color w:val="131B2E"/>
          <w:sz w:val="16"/>
        </w:rPr>
        <w:t>sin derecho a revisión</w:t>
      </w:r>
      <w:r>
        <w:rPr>
          <w:b w:val="0"/>
          <w:i w:val="0"/>
          <w:color w:val="131B2E"/>
          <w:sz w:val="16"/>
        </w:rPr>
        <w:t xml:space="preserve"> por encima del 20 %. · Completar en fuente primaria los datos de ISJ, ICS e IJACSA, hoy en 0 de 6. · Verificar el </w:t>
      </w:r>
      <w:r>
        <w:rPr>
          <w:b/>
          <w:i w:val="0"/>
          <w:color w:val="131B2E"/>
          <w:sz w:val="16"/>
        </w:rPr>
        <w:t>cuartil SJR</w:t>
      </w:r>
      <w:r>
        <w:rPr>
          <w:b w:val="0"/>
          <w:i w:val="0"/>
          <w:color w:val="131B2E"/>
          <w:sz w:val="16"/>
        </w:rPr>
        <w:t xml:space="preserve"> en Scimago: </w:t>
      </w:r>
      <w:r>
        <w:rPr>
          <w:b/>
          <w:i w:val="0"/>
          <w:color w:val="131B2E"/>
          <w:sz w:val="16"/>
        </w:rPr>
        <w:t>el percentil de Scopus no es el cuartil SJR</w:t>
      </w:r>
      <w:r>
        <w:rPr>
          <w:b w:val="0"/>
          <w:i w:val="0"/>
          <w:color w:val="131B2E"/>
          <w:sz w:val="16"/>
        </w:rPr>
        <w:t>. · Reverificar todos los APC: el de IJSSE pasó de USD 700 a USD 850 entre dos consultas.</w:t>
      </w:r>
    </w:p>
    <w:p>
      <w:pPr>
        <w:spacing w:before="200" w:after="60"/>
      </w:pPr>
      <w:r>
        <w:rPr>
          <w:b/>
          <w:color w:val="1F4E79"/>
          <w:sz w:val="20"/>
        </w:rPr>
        <w:t>Evidencia en el repositorio</w:t>
      </w:r>
    </w:p>
    <w:p>
      <w:pPr>
        <w:spacing w:after="20"/>
        <w:ind w:left="200"/>
      </w:pPr>
      <w:r>
        <w:rPr>
          <w:color w:val="131B2E"/>
          <w:sz w:val="16"/>
        </w:rPr>
        <w:t xml:space="preserve">Matriz detallada, con la ficha completa de cada candidata — </w:t>
      </w:r>
      <w:hyperlink r:id="rId10">
        <w:r>
          <w:rPr>
            <w:color w:val="2E74B5"/>
            <w:u w:val="single"/>
            <w:sz w:val="16"/>
          </w:rPr>
          <w:t>abrir en GitHub</w:t>
        </w:r>
      </w:hyperlink>
    </w:p>
    <w:p>
      <w:pPr>
        <w:spacing w:after="20"/>
        <w:ind w:left="200"/>
      </w:pPr>
      <w:r>
        <w:rPr>
          <w:color w:val="131B2E"/>
          <w:sz w:val="16"/>
        </w:rPr>
        <w:t xml:space="preserve">Mapeo por secciones de 10 artículos de las dos primeras candidatas — </w:t>
      </w:r>
      <w:hyperlink r:id="rId11">
        <w:r>
          <w:rPr>
            <w:color w:val="2E74B5"/>
            <w:u w:val="single"/>
            <w:sz w:val="16"/>
          </w:rPr>
          <w:t>abrir en GitHub</w:t>
        </w:r>
      </w:hyperlink>
    </w:p>
    <w:sectPr w:rsidR="00FC693F" w:rsidRPr="0006063C" w:rsidSect="00034616">
      <w:footerReference w:type="default" r:id="rId12"/>
      <w:headerReference w:type="default" r:id="rId13"/>
      <w:pgSz w:w="12240" w:h="15840"/>
      <w:pgMar w:top="794" w:right="907" w:bottom="794"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tabs>
        <w:tab w:val="right" w:pos="10426"/>
      </w:tabs>
    </w:pPr>
    <w:r/>
    <w:r>
      <w:rPr>
        <w:color w:val="5B6B8C"/>
        <w:sz w:val="14"/>
      </w:rPr>
      <w:t>Matriz de decisión de revistas · Salazar Tocas &amp; Sauñe Fernandez</w:t>
      <w:tab/>
    </w:r>
    <w:r>
      <w:rPr>
        <w:color w:val="5B6B8C"/>
        <w:sz w:val="14"/>
      </w:rPr>
      <w:t xml:space="preserve">Página </w:t>
    </w:r>
    <w:r>
      <w:rPr>
        <w:color w:val="5B6B8C"/>
        <w:sz w:val="14"/>
      </w:rPr>
      <w:fldChar w:fldCharType="begin"/>
      <w:instrText xml:space="preserve"> PAGE </w:instrText>
      <w:fldChar w:fldCharType="end"/>
    </w:r>
    <w:r>
      <w:rPr>
        <w:color w:val="5B6B8C"/>
        <w:sz w:val="14"/>
      </w:rPr>
      <w:t xml:space="preserve"> de </w:t>
    </w:r>
    <w:r>
      <w:rPr>
        <w:color w:val="5B6B8C"/>
        <w:sz w:val="14"/>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color="BFBFBF" w:space="3"/>
      </w:pBdr>
    </w:pPr>
    <w:r/>
    <w:r>
      <w:rPr>
        <w:i/>
        <w:color w:val="5B6B8C"/>
        <w:sz w:val="14"/>
      </w:rPr>
      <w:t>Investigación V · Sesión 04 · UPeU</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yperlink" Target="https://github.com/marksato13/VF-Sistema-Open-Source-para-la-Deteccion-Temprana-de-Comportamientos-Anomalos-en-Redes-de-Datos/blob/main/docs/entregables/09-matriz-revistas/matriz-decision-revistas.md" TargetMode="External"/><Relationship Id="rId11" Type="http://schemas.openxmlformats.org/officeDocument/2006/relationships/hyperlink" Target="https://github.com/marksato13/VF-Sistema-Open-Source-para-la-Deteccion-Temprana-de-Comportamientos-Anomalos-en-Redes-de-Datos/blob/main/docs/articulo/README.md" TargetMode="External"/><Relationship Id="rId12" Type="http://schemas.openxmlformats.org/officeDocument/2006/relationships/footer" Target="footer1.xml"/><Relationship Id="rId13"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Matriz de decisión de revistas</dc:title>
  <dc:subject>Investigación V · Sesión 04 · Revista objetivo y plan de respaldo</dc:subject>
  <dc:creator>Rubén Mark Salazar Tocas; Uziel Elias Sauñe Fernandez</dc:creator>
  <cp:keywords>detección de anomalías; seguridad de redes; aprendizaje no supervisado; OCSVM</cp:keywords>
  <dc:description>Documento generado por script desde los artefactos del proyecto; ninguna cifra se transcribe a mano.</dc:description>
  <cp:lastModifiedBy>Rubén Mark Salazar Tocas; Uziel Elias Sauñe Fernandez</cp:lastModifiedBy>
  <cp:revision>1</cp:revision>
  <dcterms:created xsi:type="dcterms:W3CDTF">2013-12-23T23:15:00Z</dcterms:created>
  <dcterms:modified xsi:type="dcterms:W3CDTF">2013-12-23T23:15:00Z</dcterms:modified>
  <cp:category>Investigación V · UPeU</cp:category>
</cp:coreProperties>
</file>