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584000" cy="381559"/>
            <wp:docPr id="1" name="Picture 1"/>
            <wp:cNvGraphicFramePr>
              <a:graphicFrameLocks noChangeAspect="1"/>
            </wp:cNvGraphicFramePr>
            <a:graphic>
              <a:graphicData uri="http://schemas.openxmlformats.org/drawingml/2006/picture">
                <pic:pic>
                  <pic:nvPicPr>
                    <pic:cNvPr id="0" name="logo-upeu.png"/>
                    <pic:cNvPicPr/>
                  </pic:nvPicPr>
                  <pic:blipFill>
                    <a:blip r:embed="rId9"/>
                    <a:stretch>
                      <a:fillRect/>
                    </a:stretch>
                  </pic:blipFill>
                  <pic:spPr>
                    <a:xfrm>
                      <a:off x="0" y="0"/>
                      <a:ext cx="1584000" cy="381559"/>
                    </a:xfrm>
                    <a:prstGeom prst="rect"/>
                  </pic:spPr>
                </pic:pic>
              </a:graphicData>
            </a:graphic>
          </wp:inline>
        </w:drawing>
      </w:r>
    </w:p>
    <w:p>
      <w:pPr>
        <w:spacing w:after="20"/>
        <w:jc w:val="center"/>
      </w:pPr>
      <w:r>
        <w:rPr>
          <w:b/>
          <w:color w:val="131B2E"/>
          <w:sz w:val="20"/>
        </w:rPr>
        <w:t>Universidad Peruana Unión</w:t>
      </w:r>
    </w:p>
    <w:p>
      <w:pPr>
        <w:spacing w:after="20"/>
        <w:jc w:val="center"/>
      </w:pPr>
      <w:r>
        <w:rPr>
          <w:b w:val="0"/>
          <w:color w:val="5B6B8C"/>
          <w:sz w:val="16"/>
        </w:rPr>
        <w:t>E.P. de Ingeniería de Sistemas · Investigación V · Sesión 04</w:t>
      </w:r>
    </w:p>
    <w:p>
      <w:pPr>
        <w:spacing w:before="120" w:after="40"/>
        <w:jc w:val="center"/>
      </w:pPr>
      <w:r>
        <w:rPr>
          <w:b/>
          <w:color w:val="1F4E79"/>
          <w:sz w:val="27"/>
        </w:rPr>
        <w:t>MI DECISIÓN FINAL: REVISTA OBJETIVO Y PLAN DE RESPALDO</w:t>
      </w:r>
    </w:p>
    <w:p>
      <w:pPr>
        <w:spacing w:after="160"/>
        <w:jc w:val="center"/>
      </w:pPr>
      <w:r>
        <w:rPr>
          <w:b w:val="0"/>
          <w:i w:val="0"/>
          <w:color w:val="5B6B8C"/>
          <w:sz w:val="16"/>
        </w:rPr>
        <w:t>Rubén Mark Salazar Tocas · Uziel Elias Sauñe Fernandez  ·  Datos consultados el 26 de agosto de 2026</w:t>
      </w:r>
    </w:p>
    <w:p>
      <w:pPr>
        <w:spacing w:before="180" w:after="60"/>
      </w:pPr>
      <w:r>
        <w:rPr>
          <w:b/>
          <w:color w:val="1F4E79"/>
          <w:sz w:val="23"/>
        </w:rPr>
        <w:t>1 · Filtro de legitimidad, aplicado antes de puntuar</w:t>
      </w:r>
    </w:p>
    <w:p>
      <w:pPr>
        <w:spacing w:after="80"/>
        <w:jc w:val="both"/>
      </w:pPr>
      <w:r>
        <w:rPr>
          <w:b w:val="0"/>
          <w:i w:val="0"/>
          <w:color w:val="131B2E"/>
          <w:sz w:val="17"/>
        </w:rPr>
        <w:t xml:space="preserve">La legitimidad </w:t>
      </w:r>
      <w:r>
        <w:rPr>
          <w:b/>
          <w:i w:val="0"/>
          <w:color w:val="131B2E"/>
          <w:sz w:val="17"/>
        </w:rPr>
        <w:t>no se pondera: es un filtro de entrada</w:t>
      </w:r>
      <w:r>
        <w:rPr>
          <w:b w:val="0"/>
          <w:i w:val="0"/>
          <w:color w:val="131B2E"/>
          <w:sz w:val="17"/>
        </w:rPr>
        <w:t>. Una candidata que no lo supera sale de la matriz por completo, sin importar cuánto puntúe en lo demás.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75"/>
        <w:gridCol w:w="3475"/>
        <w:gridCol w:w="3475"/>
      </w:tblGrid>
      <w:tr>
        <w:tc>
          <w:tcPr>
            <w:tcW w:type="dxa" w:w="1361"/>
            <w:shd w:val="clear" w:fill="1F4E79"/>
          </w:tcPr>
          <w:p>
            <w:r/>
            <w:r>
              <w:rPr>
                <w:b/>
                <w:color w:val="FFFFFF"/>
                <w:sz w:val="16"/>
              </w:rPr>
              <w:t>Revista</w:t>
            </w:r>
          </w:p>
        </w:tc>
        <w:tc>
          <w:tcPr>
            <w:tcW w:type="dxa" w:w="1701"/>
            <w:shd w:val="clear" w:fill="1F4E79"/>
          </w:tcPr>
          <w:p>
            <w:r/>
            <w:r>
              <w:rPr>
                <w:b/>
                <w:color w:val="FFFFFF"/>
                <w:sz w:val="16"/>
              </w:rPr>
              <w:t>Resultado</w:t>
            </w:r>
          </w:p>
        </w:tc>
        <w:tc>
          <w:tcPr>
            <w:tcW w:type="dxa" w:w="7030"/>
            <w:shd w:val="clear" w:fill="1F4E79"/>
          </w:tcPr>
          <w:p>
            <w:r/>
            <w:r>
              <w:rPr>
                <w:b/>
                <w:color w:val="FFFFFF"/>
                <w:sz w:val="16"/>
              </w:rPr>
              <w:t>Evidencia documental</w:t>
            </w:r>
          </w:p>
        </w:tc>
      </w:tr>
      <w:tr>
        <w:tc>
          <w:tcPr>
            <w:tcW w:type="dxa" w:w="1361"/>
            <w:shd w:val="clear" w:fill="EEF3FA"/>
          </w:tcPr>
          <w:p>
            <w:pPr>
              <w:spacing w:after="20"/>
            </w:pPr>
            <w:r/>
            <w:r>
              <w:rPr>
                <w:b w:val="0"/>
                <w:color w:val="131B2E"/>
                <w:sz w:val="15"/>
              </w:rPr>
              <w:t>BEEI</w:t>
            </w:r>
          </w:p>
        </w:tc>
        <w:tc>
          <w:tcPr>
            <w:tcW w:type="dxa" w:w="1701"/>
            <w:shd w:val="clear" w:fill="EEF3FA"/>
          </w:tcPr>
          <w:p>
            <w:pPr>
              <w:spacing w:after="20"/>
            </w:pPr>
            <w:r/>
            <w:r>
              <w:rPr>
                <w:b w:val="0"/>
                <w:color w:val="131B2E"/>
                <w:sz w:val="15"/>
              </w:rPr>
              <w:t>Supera</w:t>
            </w:r>
          </w:p>
        </w:tc>
        <w:tc>
          <w:tcPr>
            <w:tcW w:type="dxa" w:w="7030"/>
            <w:shd w:val="clear" w:fill="EEF3FA"/>
          </w:tcPr>
          <w:p>
            <w:pPr>
              <w:spacing w:after="20"/>
            </w:pPr>
            <w:r/>
            <w:r>
              <w:rPr>
                <w:b w:val="0"/>
                <w:color w:val="131B2E"/>
                <w:sz w:val="15"/>
              </w:rPr>
              <w:t>ISSN confirmado, ficha activa en Scopus, política de revisión por pares publicada, archivo de números con DOI, APC transparente y editor identificable. Fuera de la lista de revistas depredadoras consultada</w:t>
            </w:r>
          </w:p>
        </w:tc>
      </w:tr>
      <w:tr>
        <w:tc>
          <w:tcPr>
            <w:tcW w:type="dxa" w:w="1361"/>
          </w:tcPr>
          <w:p>
            <w:pPr>
              <w:spacing w:after="20"/>
            </w:pPr>
            <w:r/>
            <w:r>
              <w:rPr>
                <w:b w:val="0"/>
                <w:color w:val="131B2E"/>
                <w:sz w:val="15"/>
              </w:rPr>
              <w:t>IJSSE</w:t>
            </w:r>
          </w:p>
        </w:tc>
        <w:tc>
          <w:tcPr>
            <w:tcW w:type="dxa" w:w="1701"/>
          </w:tcPr>
          <w:p>
            <w:pPr>
              <w:spacing w:after="20"/>
            </w:pPr>
            <w:r/>
            <w:r>
              <w:rPr>
                <w:b w:val="0"/>
                <w:color w:val="131B2E"/>
                <w:sz w:val="15"/>
              </w:rPr>
              <w:t>Supera</w:t>
            </w:r>
          </w:p>
        </w:tc>
        <w:tc>
          <w:tcPr>
            <w:tcW w:type="dxa" w:w="7030"/>
          </w:tcPr>
          <w:p>
            <w:pPr>
              <w:spacing w:after="20"/>
            </w:pPr>
            <w:r/>
            <w:r>
              <w:rPr>
                <w:b w:val="0"/>
                <w:color w:val="131B2E"/>
                <w:sz w:val="15"/>
              </w:rPr>
              <w:t>ISSN confirmado, ficha activa en Scopus, revisión double-blind declarada, archivo de números con DOI y página oficial de APC. Fuera de la lista de revistas depredadoras consultada</w:t>
            </w:r>
          </w:p>
        </w:tc>
      </w:tr>
      <w:tr>
        <w:tc>
          <w:tcPr>
            <w:tcW w:type="dxa" w:w="1361"/>
            <w:shd w:val="clear" w:fill="EEF3FA"/>
          </w:tcPr>
          <w:p>
            <w:pPr>
              <w:spacing w:after="20"/>
            </w:pPr>
            <w:r/>
            <w:r>
              <w:rPr>
                <w:b w:val="0"/>
                <w:color w:val="131B2E"/>
                <w:sz w:val="15"/>
              </w:rPr>
              <w:t>ISJ</w:t>
            </w:r>
          </w:p>
        </w:tc>
        <w:tc>
          <w:tcPr>
            <w:tcW w:type="dxa" w:w="1701"/>
            <w:shd w:val="clear" w:fill="EEF3FA"/>
          </w:tcPr>
          <w:p>
            <w:pPr>
              <w:spacing w:after="20"/>
            </w:pPr>
            <w:r/>
            <w:r>
              <w:rPr>
                <w:b w:val="0"/>
                <w:color w:val="131B2E"/>
                <w:sz w:val="15"/>
              </w:rPr>
              <w:t>Supera</w:t>
            </w:r>
          </w:p>
        </w:tc>
        <w:tc>
          <w:tcPr>
            <w:tcW w:type="dxa" w:w="7030"/>
            <w:shd w:val="clear" w:fill="EEF3FA"/>
          </w:tcPr>
          <w:p>
            <w:pPr>
              <w:spacing w:after="20"/>
            </w:pPr>
            <w:r/>
            <w:r>
              <w:rPr>
                <w:b w:val="0"/>
                <w:color w:val="131B2E"/>
                <w:sz w:val="15"/>
              </w:rPr>
              <w:t>Editorial de trayectoria reconocida, ficha activa en Scopus e indexación adicional en ESCI. Fuera de la lista de revistas depredadoras consultada</w:t>
            </w:r>
          </w:p>
        </w:tc>
      </w:tr>
      <w:tr>
        <w:tc>
          <w:tcPr>
            <w:tcW w:type="dxa" w:w="1361"/>
          </w:tcPr>
          <w:p>
            <w:pPr>
              <w:spacing w:after="20"/>
            </w:pPr>
            <w:r/>
            <w:r>
              <w:rPr>
                <w:b w:val="0"/>
                <w:color w:val="131B2E"/>
                <w:sz w:val="15"/>
              </w:rPr>
              <w:t>ICS</w:t>
            </w:r>
          </w:p>
        </w:tc>
        <w:tc>
          <w:tcPr>
            <w:tcW w:type="dxa" w:w="1701"/>
          </w:tcPr>
          <w:p>
            <w:pPr>
              <w:spacing w:after="20"/>
            </w:pPr>
            <w:r/>
            <w:r>
              <w:rPr>
                <w:b w:val="0"/>
                <w:color w:val="131B2E"/>
                <w:sz w:val="15"/>
              </w:rPr>
              <w:t>Supera</w:t>
            </w:r>
          </w:p>
        </w:tc>
        <w:tc>
          <w:tcPr>
            <w:tcW w:type="dxa" w:w="7030"/>
          </w:tcPr>
          <w:p>
            <w:pPr>
              <w:spacing w:after="20"/>
            </w:pPr>
            <w:r/>
            <w:r>
              <w:rPr>
                <w:b w:val="0"/>
                <w:color w:val="131B2E"/>
                <w:sz w:val="15"/>
              </w:rPr>
              <w:t>Editorial de trayectoria reconocida y ficha activa en Scopus. Fuera de la lista de revistas depredadoras consultada</w:t>
            </w:r>
          </w:p>
        </w:tc>
      </w:tr>
      <w:tr>
        <w:tc>
          <w:tcPr>
            <w:tcW w:type="dxa" w:w="1361"/>
            <w:shd w:val="clear" w:fill="EEF3FA"/>
          </w:tcPr>
          <w:p>
            <w:pPr>
              <w:spacing w:after="20"/>
            </w:pPr>
            <w:r/>
            <w:r>
              <w:rPr>
                <w:b w:val="0"/>
                <w:color w:val="131B2E"/>
                <w:sz w:val="15"/>
              </w:rPr>
              <w:t>IJACSA</w:t>
            </w:r>
          </w:p>
        </w:tc>
        <w:tc>
          <w:tcPr>
            <w:tcW w:type="dxa" w:w="1701"/>
            <w:shd w:val="clear" w:fill="EEF3FA"/>
          </w:tcPr>
          <w:p>
            <w:pPr>
              <w:spacing w:after="20"/>
            </w:pPr>
            <w:r/>
            <w:r>
              <w:rPr>
                <w:b w:val="0"/>
                <w:color w:val="131B2E"/>
                <w:sz w:val="15"/>
              </w:rPr>
              <w:t>Supera con reserva</w:t>
            </w:r>
          </w:p>
        </w:tc>
        <w:tc>
          <w:tcPr>
            <w:tcW w:type="dxa" w:w="7030"/>
            <w:shd w:val="clear" w:fill="EEF3FA"/>
          </w:tcPr>
          <w:p>
            <w:pPr>
              <w:spacing w:after="20"/>
            </w:pPr>
            <w:r/>
            <w:r>
              <w:rPr>
                <w:b w:val="0"/>
                <w:color w:val="131B2E"/>
                <w:sz w:val="15"/>
              </w:rPr>
              <w:t>Ficha activa en Scopus e indexación en WoS ESCI, y fuera de la lista de depredadoras consultada. Se registra que su reputación editorial es más discutida que la de las demás candidatas</w:t>
            </w:r>
          </w:p>
        </w:tc>
      </w:tr>
    </w:tbl>
    <w:p>
      <w:pPr>
        <w:spacing w:after="40"/>
      </w:pPr>
    </w:p>
    <w:p>
      <w:pPr>
        <w:spacing w:after="80"/>
        <w:jc w:val="both"/>
      </w:pPr>
      <w:r>
        <w:rPr>
          <w:b w:val="0"/>
          <w:i/>
          <w:color w:val="5B6B8C"/>
          <w:sz w:val="16"/>
        </w:rPr>
      </w:r>
      <w:r>
        <w:rPr>
          <w:b/>
          <w:i/>
          <w:color w:val="5B6B8C"/>
          <w:sz w:val="16"/>
        </w:rPr>
        <w:t>Descartadas por el filtro:</w:t>
      </w:r>
      <w:r>
        <w:rPr>
          <w:b w:val="0"/>
          <w:i/>
          <w:color w:val="5B6B8C"/>
          <w:sz w:val="16"/>
        </w:rPr>
        <w:t xml:space="preserve"> IJCNIS, descontinuada de Scopus desde 2022 y presente en la lista de revistas depredadoras consultada; IJEECS, descontinuada de Scopus en 2025; y dos revistas Q4 que no compiten en ningún criterio.</w:t>
      </w:r>
    </w:p>
    <w:p>
      <w:pPr>
        <w:spacing w:before="180" w:after="60"/>
      </w:pPr>
      <w:r>
        <w:rPr>
          <w:b/>
          <w:color w:val="1F4E79"/>
          <w:sz w:val="23"/>
        </w:rPr>
        <w:t>2 · Criterios y pesos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475"/>
        <w:gridCol w:w="3475"/>
        <w:gridCol w:w="3475"/>
      </w:tblGrid>
      <w:tr>
        <w:tc>
          <w:tcPr>
            <w:tcW w:type="dxa" w:w="2268"/>
            <w:shd w:val="clear" w:fill="1F4E79"/>
          </w:tcPr>
          <w:p>
            <w:r/>
            <w:r>
              <w:rPr>
                <w:b/>
                <w:color w:val="FFFFFF"/>
                <w:sz w:val="16"/>
              </w:rPr>
              <w:t>Criterio</w:t>
            </w:r>
          </w:p>
        </w:tc>
        <w:tc>
          <w:tcPr>
            <w:tcW w:type="dxa" w:w="907"/>
            <w:shd w:val="clear" w:fill="1F4E79"/>
          </w:tcPr>
          <w:p>
            <w:r/>
            <w:r>
              <w:rPr>
                <w:b/>
                <w:color w:val="FFFFFF"/>
                <w:sz w:val="16"/>
              </w:rPr>
              <w:t>Peso</w:t>
            </w:r>
          </w:p>
        </w:tc>
        <w:tc>
          <w:tcPr>
            <w:tcW w:type="dxa" w:w="6917"/>
            <w:shd w:val="clear" w:fill="1F4E79"/>
          </w:tcPr>
          <w:p>
            <w:r/>
            <w:r>
              <w:rPr>
                <w:b/>
                <w:color w:val="FFFFFF"/>
                <w:sz w:val="16"/>
              </w:rPr>
              <w:t>Regla de puntuación</w:t>
            </w:r>
          </w:p>
        </w:tc>
      </w:tr>
      <w:tr>
        <w:tc>
          <w:tcPr>
            <w:tcW w:type="dxa" w:w="2268"/>
            <w:shd w:val="clear" w:fill="EEF3FA"/>
          </w:tcPr>
          <w:p>
            <w:pPr>
              <w:spacing w:after="20"/>
            </w:pPr>
            <w:r/>
            <w:r>
              <w:rPr>
                <w:b w:val="0"/>
                <w:color w:val="131B2E"/>
                <w:sz w:val="15"/>
              </w:rPr>
              <w:t>Pertinencia temática</w:t>
            </w:r>
          </w:p>
        </w:tc>
        <w:tc>
          <w:tcPr>
            <w:tcW w:type="dxa" w:w="907"/>
            <w:shd w:val="clear" w:fill="EEF3FA"/>
          </w:tcPr>
          <w:p>
            <w:pPr>
              <w:spacing w:after="20"/>
            </w:pPr>
            <w:r/>
            <w:r>
              <w:rPr>
                <w:b w:val="0"/>
                <w:color w:val="131B2E"/>
                <w:sz w:val="15"/>
              </w:rPr>
              <w:t>30 %</w:t>
            </w:r>
          </w:p>
        </w:tc>
        <w:tc>
          <w:tcPr>
            <w:tcW w:type="dxa" w:w="6917"/>
            <w:shd w:val="clear" w:fill="EEF3FA"/>
          </w:tcPr>
          <w:p>
            <w:pPr>
              <w:spacing w:after="20"/>
            </w:pPr>
            <w:r/>
            <w:r>
              <w:rPr>
                <w:b w:val="0"/>
                <w:color w:val="131B2E"/>
                <w:sz w:val="15"/>
              </w:rPr>
              <w:t>Coincidencia entre el alcance editorial declarado y el problema, método y dominio del artículo</w:t>
            </w:r>
          </w:p>
        </w:tc>
      </w:tr>
      <w:tr>
        <w:tc>
          <w:tcPr>
            <w:tcW w:type="dxa" w:w="2268"/>
          </w:tcPr>
          <w:p>
            <w:pPr>
              <w:spacing w:after="20"/>
            </w:pPr>
            <w:r/>
            <w:r>
              <w:rPr>
                <w:b w:val="0"/>
                <w:color w:val="131B2E"/>
                <w:sz w:val="15"/>
              </w:rPr>
              <w:t>Visibilidad bibliométrica</w:t>
            </w:r>
          </w:p>
        </w:tc>
        <w:tc>
          <w:tcPr>
            <w:tcW w:type="dxa" w:w="907"/>
          </w:tcPr>
          <w:p>
            <w:pPr>
              <w:spacing w:after="20"/>
            </w:pPr>
            <w:r/>
            <w:r>
              <w:rPr>
                <w:b w:val="0"/>
                <w:color w:val="131B2E"/>
                <w:sz w:val="15"/>
              </w:rPr>
              <w:t>25 %</w:t>
            </w:r>
          </w:p>
        </w:tc>
        <w:tc>
          <w:tcPr>
            <w:tcW w:type="dxa" w:w="6917"/>
          </w:tcPr>
          <w:p>
            <w:pPr>
              <w:spacing w:after="20"/>
            </w:pPr>
            <w:r/>
            <w:r>
              <w:rPr>
                <w:b w:val="0"/>
                <w:color w:val="131B2E"/>
                <w:sz w:val="15"/>
              </w:rPr>
              <w:t>CiteScore, percentil y cuartil SJR identificados por separado, con su fuente</w:t>
            </w:r>
          </w:p>
        </w:tc>
      </w:tr>
      <w:tr>
        <w:tc>
          <w:tcPr>
            <w:tcW w:type="dxa" w:w="2268"/>
            <w:shd w:val="clear" w:fill="EEF3FA"/>
          </w:tcPr>
          <w:p>
            <w:pPr>
              <w:spacing w:after="20"/>
            </w:pPr>
            <w:r/>
            <w:r>
              <w:rPr>
                <w:b w:val="0"/>
                <w:color w:val="131B2E"/>
                <w:sz w:val="15"/>
              </w:rPr>
              <w:t>Viabilidad editorial</w:t>
            </w:r>
          </w:p>
        </w:tc>
        <w:tc>
          <w:tcPr>
            <w:tcW w:type="dxa" w:w="907"/>
            <w:shd w:val="clear" w:fill="EEF3FA"/>
          </w:tcPr>
          <w:p>
            <w:pPr>
              <w:spacing w:after="20"/>
            </w:pPr>
            <w:r/>
            <w:r>
              <w:rPr>
                <w:b w:val="0"/>
                <w:color w:val="131B2E"/>
                <w:sz w:val="15"/>
              </w:rPr>
              <w:t>20 %</w:t>
            </w:r>
          </w:p>
        </w:tc>
        <w:tc>
          <w:tcPr>
            <w:tcW w:type="dxa" w:w="6917"/>
            <w:shd w:val="clear" w:fill="EEF3FA"/>
          </w:tcPr>
          <w:p>
            <w:pPr>
              <w:spacing w:after="20"/>
            </w:pPr>
            <w:r/>
            <w:r>
              <w:rPr>
                <w:b w:val="0"/>
                <w:color w:val="131B2E"/>
                <w:sz w:val="15"/>
              </w:rPr>
              <w:t>Tipo de revisión, tiempo declarado, periodicidad y capacidad de publicación</w:t>
            </w:r>
          </w:p>
        </w:tc>
      </w:tr>
      <w:tr>
        <w:tc>
          <w:tcPr>
            <w:tcW w:type="dxa" w:w="2268"/>
          </w:tcPr>
          <w:p>
            <w:pPr>
              <w:spacing w:after="20"/>
            </w:pPr>
            <w:r/>
            <w:r>
              <w:rPr>
                <w:b w:val="0"/>
                <w:color w:val="131B2E"/>
                <w:sz w:val="15"/>
              </w:rPr>
              <w:t>Costo y accesibilidad</w:t>
            </w:r>
          </w:p>
        </w:tc>
        <w:tc>
          <w:tcPr>
            <w:tcW w:type="dxa" w:w="907"/>
          </w:tcPr>
          <w:p>
            <w:pPr>
              <w:spacing w:after="20"/>
            </w:pPr>
            <w:r/>
            <w:r>
              <w:rPr>
                <w:b w:val="0"/>
                <w:color w:val="131B2E"/>
                <w:sz w:val="15"/>
              </w:rPr>
              <w:t>15 %</w:t>
            </w:r>
          </w:p>
        </w:tc>
        <w:tc>
          <w:tcPr>
            <w:tcW w:type="dxa" w:w="6917"/>
          </w:tcPr>
          <w:p>
            <w:pPr>
              <w:spacing w:after="20"/>
            </w:pPr>
            <w:r/>
            <w:r>
              <w:rPr>
                <w:b w:val="0"/>
                <w:color w:val="131B2E"/>
                <w:sz w:val="15"/>
              </w:rPr>
              <w:t>APC vigente, cargos por página y acceso abierto</w:t>
            </w:r>
          </w:p>
        </w:tc>
      </w:tr>
      <w:tr>
        <w:tc>
          <w:tcPr>
            <w:tcW w:type="dxa" w:w="2268"/>
            <w:shd w:val="clear" w:fill="EEF3FA"/>
          </w:tcPr>
          <w:p>
            <w:pPr>
              <w:spacing w:after="20"/>
            </w:pPr>
            <w:r/>
            <w:r>
              <w:rPr>
                <w:b w:val="0"/>
                <w:color w:val="131B2E"/>
                <w:sz w:val="15"/>
              </w:rPr>
              <w:t>Compatibilidad formal</w:t>
            </w:r>
          </w:p>
        </w:tc>
        <w:tc>
          <w:tcPr>
            <w:tcW w:type="dxa" w:w="907"/>
            <w:shd w:val="clear" w:fill="EEF3FA"/>
          </w:tcPr>
          <w:p>
            <w:pPr>
              <w:spacing w:after="20"/>
            </w:pPr>
            <w:r/>
            <w:r>
              <w:rPr>
                <w:b w:val="0"/>
                <w:color w:val="131B2E"/>
                <w:sz w:val="15"/>
              </w:rPr>
              <w:t>10 %</w:t>
            </w:r>
          </w:p>
        </w:tc>
        <w:tc>
          <w:tcPr>
            <w:tcW w:type="dxa" w:w="6917"/>
            <w:shd w:val="clear" w:fill="EEF3FA"/>
          </w:tcPr>
          <w:p>
            <w:pPr>
              <w:spacing w:after="20"/>
            </w:pPr>
            <w:r/>
            <w:r>
              <w:rPr>
                <w:b w:val="0"/>
                <w:color w:val="131B2E"/>
                <w:sz w:val="15"/>
              </w:rPr>
              <w:t>Plantilla, límite de páginas y requisitos de envío</w:t>
            </w:r>
          </w:p>
        </w:tc>
      </w:tr>
    </w:tbl>
    <w:p>
      <w:pPr>
        <w:spacing w:after="40"/>
      </w:pPr>
    </w:p>
    <w:p>
      <w:pPr>
        <w:spacing w:after="80"/>
        <w:jc w:val="both"/>
      </w:pPr>
      <w:r>
        <w:rPr>
          <w:b w:val="0"/>
          <w:i w:val="0"/>
          <w:color w:val="131B2E"/>
          <w:sz w:val="16"/>
        </w:rPr>
      </w:r>
      <w:r>
        <w:rPr>
          <w:b/>
          <w:i w:val="0"/>
          <w:color w:val="131B2E"/>
          <w:sz w:val="16"/>
        </w:rPr>
        <w:t>Fórmula:</w:t>
      </w:r>
      <w:r>
        <w:rPr>
          <w:b w:val="0"/>
          <w:i w:val="0"/>
          <w:color w:val="131B2E"/>
          <w:sz w:val="16"/>
        </w:rPr>
        <w:t xml:space="preserve"> aporte = puntaje × peso / 10, con puntajes de 0 a 10 y total sobre 100. Ningún criterio supera el 30 %, por debajo del techo del 35–40 % recomendado. La pertinencia pesa más que la visibilidad </w:t>
      </w:r>
      <w:r>
        <w:rPr>
          <w:b/>
          <w:i w:val="0"/>
          <w:color w:val="131B2E"/>
          <w:sz w:val="16"/>
        </w:rPr>
        <w:t>a propósito</w:t>
      </w:r>
      <w:r>
        <w:rPr>
          <w:b w:val="0"/>
          <w:i w:val="0"/>
          <w:color w:val="131B2E"/>
          <w:sz w:val="16"/>
        </w:rPr>
        <w:t>: un mal encaje temático produce rechazo de escritorio por muy alto que sea el cuartil.</w:t>
      </w:r>
    </w:p>
    <w:p>
      <w:pPr>
        <w:spacing w:before="180" w:after="60"/>
      </w:pPr>
      <w:r>
        <w:rPr>
          <w:b/>
          <w:color w:val="1F4E79"/>
          <w:sz w:val="23"/>
        </w:rPr>
        <w:t>3 · Matriz de decisión</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738"/>
        <w:gridCol w:w="1738"/>
        <w:gridCol w:w="1738"/>
        <w:gridCol w:w="1738"/>
        <w:gridCol w:w="1738"/>
        <w:gridCol w:w="1738"/>
      </w:tblGrid>
      <w:tr>
        <w:tc>
          <w:tcPr>
            <w:tcW w:type="dxa" w:w="3061"/>
            <w:shd w:val="clear" w:fill="1F4E79"/>
          </w:tcPr>
          <w:p>
            <w:r/>
            <w:r>
              <w:rPr>
                <w:b/>
                <w:color w:val="FFFFFF"/>
                <w:sz w:val="16"/>
              </w:rPr>
              <w:t>Criterio (peso)</w:t>
            </w:r>
          </w:p>
        </w:tc>
        <w:tc>
          <w:tcPr>
            <w:tcW w:type="dxa" w:w="1417"/>
            <w:shd w:val="clear" w:fill="1F4E79"/>
          </w:tcPr>
          <w:p>
            <w:r/>
            <w:r>
              <w:rPr>
                <w:b/>
                <w:color w:val="FFFFFF"/>
                <w:sz w:val="16"/>
              </w:rPr>
              <w:t>BEEI</w:t>
            </w:r>
          </w:p>
        </w:tc>
        <w:tc>
          <w:tcPr>
            <w:tcW w:type="dxa" w:w="1417"/>
            <w:shd w:val="clear" w:fill="1F4E79"/>
          </w:tcPr>
          <w:p>
            <w:r/>
            <w:r>
              <w:rPr>
                <w:b/>
                <w:color w:val="FFFFFF"/>
                <w:sz w:val="16"/>
              </w:rPr>
              <w:t>ISJ</w:t>
            </w:r>
          </w:p>
        </w:tc>
        <w:tc>
          <w:tcPr>
            <w:tcW w:type="dxa" w:w="1417"/>
            <w:shd w:val="clear" w:fill="1F4E79"/>
          </w:tcPr>
          <w:p>
            <w:r/>
            <w:r>
              <w:rPr>
                <w:b/>
                <w:color w:val="FFFFFF"/>
                <w:sz w:val="16"/>
              </w:rPr>
              <w:t>IJSSE</w:t>
            </w:r>
          </w:p>
        </w:tc>
        <w:tc>
          <w:tcPr>
            <w:tcW w:type="dxa" w:w="1417"/>
            <w:shd w:val="clear" w:fill="1F4E79"/>
          </w:tcPr>
          <w:p>
            <w:r/>
            <w:r>
              <w:rPr>
                <w:b/>
                <w:color w:val="FFFFFF"/>
                <w:sz w:val="16"/>
              </w:rPr>
              <w:t>ICS</w:t>
            </w:r>
          </w:p>
        </w:tc>
        <w:tc>
          <w:tcPr>
            <w:tcW w:type="dxa" w:w="1417"/>
            <w:shd w:val="clear" w:fill="1F4E79"/>
          </w:tcPr>
          <w:p>
            <w:r/>
            <w:r>
              <w:rPr>
                <w:b/>
                <w:color w:val="FFFFFF"/>
                <w:sz w:val="16"/>
              </w:rPr>
              <w:t>IJACSA</w:t>
            </w:r>
          </w:p>
        </w:tc>
      </w:tr>
      <w:tr>
        <w:tc>
          <w:tcPr>
            <w:tcW w:type="dxa" w:w="3061"/>
            <w:shd w:val="clear" w:fill="EEF3FA"/>
          </w:tcPr>
          <w:p>
            <w:pPr>
              <w:spacing w:after="20"/>
            </w:pPr>
            <w:r/>
            <w:r>
              <w:rPr>
                <w:b w:val="0"/>
                <w:color w:val="131B2E"/>
                <w:sz w:val="15"/>
              </w:rPr>
              <w:t>Pertinencia temática (30 %)</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6</w:t>
            </w:r>
          </w:p>
        </w:tc>
        <w:tc>
          <w:tcPr>
            <w:tcW w:type="dxa" w:w="1417"/>
            <w:shd w:val="clear" w:fill="EEF3FA"/>
          </w:tcPr>
          <w:p>
            <w:pPr>
              <w:spacing w:after="20"/>
            </w:pPr>
            <w:r/>
            <w:r>
              <w:rPr>
                <w:b w:val="0"/>
                <w:color w:val="131B2E"/>
                <w:sz w:val="15"/>
              </w:rPr>
              <w:t>6</w:t>
            </w:r>
          </w:p>
        </w:tc>
      </w:tr>
      <w:tr>
        <w:tc>
          <w:tcPr>
            <w:tcW w:type="dxa" w:w="3061"/>
          </w:tcPr>
          <w:p>
            <w:pPr>
              <w:spacing w:after="20"/>
            </w:pPr>
            <w:r/>
            <w:r>
              <w:rPr>
                <w:b w:val="0"/>
                <w:color w:val="131B2E"/>
                <w:sz w:val="15"/>
              </w:rPr>
              <w:t>Visibilidad bibliométrica (25 %)</w:t>
            </w:r>
          </w:p>
        </w:tc>
        <w:tc>
          <w:tcPr>
            <w:tcW w:type="dxa" w:w="1417"/>
          </w:tcPr>
          <w:p>
            <w:pPr>
              <w:spacing w:after="20"/>
            </w:pPr>
            <w:r/>
            <w:r>
              <w:rPr>
                <w:b w:val="0"/>
                <w:color w:val="131B2E"/>
                <w:sz w:val="15"/>
              </w:rPr>
              <w:t>8</w:t>
            </w:r>
          </w:p>
        </w:tc>
        <w:tc>
          <w:tcPr>
            <w:tcW w:type="dxa" w:w="1417"/>
          </w:tcPr>
          <w:p>
            <w:pPr>
              <w:spacing w:after="20"/>
            </w:pPr>
            <w:r/>
            <w:r>
              <w:rPr>
                <w:b w:val="0"/>
                <w:color w:val="131B2E"/>
                <w:sz w:val="15"/>
              </w:rPr>
              <w:t>8</w:t>
            </w:r>
          </w:p>
        </w:tc>
        <w:tc>
          <w:tcPr>
            <w:tcW w:type="dxa" w:w="1417"/>
          </w:tcPr>
          <w:p>
            <w:pPr>
              <w:spacing w:after="20"/>
            </w:pPr>
            <w:r/>
            <w:r>
              <w:rPr>
                <w:b w:val="0"/>
                <w:color w:val="131B2E"/>
                <w:sz w:val="15"/>
              </w:rPr>
              <w:t>6</w:t>
            </w:r>
          </w:p>
        </w:tc>
        <w:tc>
          <w:tcPr>
            <w:tcW w:type="dxa" w:w="1417"/>
          </w:tcPr>
          <w:p>
            <w:pPr>
              <w:spacing w:after="20"/>
            </w:pPr>
            <w:r/>
            <w:r>
              <w:rPr>
                <w:b w:val="0"/>
                <w:color w:val="131B2E"/>
                <w:sz w:val="15"/>
              </w:rPr>
              <w:t>9</w:t>
            </w:r>
          </w:p>
        </w:tc>
        <w:tc>
          <w:tcPr>
            <w:tcW w:type="dxa" w:w="1417"/>
          </w:tcPr>
          <w:p>
            <w:pPr>
              <w:spacing w:after="20"/>
            </w:pPr>
            <w:r/>
            <w:r>
              <w:rPr>
                <w:b w:val="0"/>
                <w:color w:val="131B2E"/>
                <w:sz w:val="15"/>
              </w:rPr>
              <w:t>8</w:t>
            </w:r>
          </w:p>
        </w:tc>
      </w:tr>
      <w:tr>
        <w:tc>
          <w:tcPr>
            <w:tcW w:type="dxa" w:w="3061"/>
            <w:shd w:val="clear" w:fill="EEF3FA"/>
          </w:tcPr>
          <w:p>
            <w:pPr>
              <w:spacing w:after="20"/>
            </w:pPr>
            <w:r/>
            <w:r>
              <w:rPr>
                <w:b w:val="0"/>
                <w:color w:val="131B2E"/>
                <w:sz w:val="15"/>
              </w:rPr>
              <w:t>Viabilidad editorial (20 %)</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4</w:t>
            </w:r>
          </w:p>
        </w:tc>
        <w:tc>
          <w:tcPr>
            <w:tcW w:type="dxa" w:w="1417"/>
            <w:shd w:val="clear" w:fill="EEF3FA"/>
          </w:tcPr>
          <w:p>
            <w:pPr>
              <w:spacing w:after="20"/>
            </w:pPr>
            <w:r/>
            <w:r>
              <w:rPr>
                <w:b w:val="0"/>
                <w:color w:val="131B2E"/>
                <w:sz w:val="15"/>
              </w:rPr>
              <w:t>9</w:t>
            </w:r>
          </w:p>
        </w:tc>
        <w:tc>
          <w:tcPr>
            <w:tcW w:type="dxa" w:w="1417"/>
            <w:shd w:val="clear" w:fill="EEF3FA"/>
          </w:tcPr>
          <w:p>
            <w:pPr>
              <w:spacing w:after="20"/>
            </w:pPr>
            <w:r/>
            <w:r>
              <w:rPr>
                <w:b w:val="0"/>
                <w:color w:val="131B2E"/>
                <w:sz w:val="15"/>
              </w:rPr>
              <w:t>5</w:t>
            </w:r>
          </w:p>
        </w:tc>
        <w:tc>
          <w:tcPr>
            <w:tcW w:type="dxa" w:w="1417"/>
            <w:shd w:val="clear" w:fill="EEF3FA"/>
          </w:tcPr>
          <w:p>
            <w:pPr>
              <w:spacing w:after="20"/>
            </w:pPr>
            <w:r/>
            <w:r>
              <w:rPr>
                <w:b w:val="0"/>
                <w:color w:val="131B2E"/>
                <w:sz w:val="15"/>
              </w:rPr>
              <w:t>10</w:t>
            </w:r>
          </w:p>
        </w:tc>
      </w:tr>
      <w:tr>
        <w:tc>
          <w:tcPr>
            <w:tcW w:type="dxa" w:w="3061"/>
          </w:tcPr>
          <w:p>
            <w:pPr>
              <w:spacing w:after="20"/>
            </w:pPr>
            <w:r/>
            <w:r>
              <w:rPr>
                <w:b w:val="0"/>
                <w:color w:val="131B2E"/>
                <w:sz w:val="15"/>
              </w:rPr>
              <w:t>Costo y accesibilidad (15 %)</w:t>
            </w:r>
          </w:p>
        </w:tc>
        <w:tc>
          <w:tcPr>
            <w:tcW w:type="dxa" w:w="1417"/>
          </w:tcPr>
          <w:p>
            <w:pPr>
              <w:spacing w:after="20"/>
            </w:pPr>
            <w:r/>
            <w:r>
              <w:rPr>
                <w:b w:val="0"/>
                <w:color w:val="131B2E"/>
                <w:sz w:val="15"/>
              </w:rPr>
              <w:t>8</w:t>
            </w:r>
          </w:p>
        </w:tc>
        <w:tc>
          <w:tcPr>
            <w:tcW w:type="dxa" w:w="1417"/>
          </w:tcPr>
          <w:p>
            <w:pPr>
              <w:spacing w:after="20"/>
            </w:pPr>
            <w:r/>
            <w:r>
              <w:rPr>
                <w:b w:val="0"/>
                <w:color w:val="131B2E"/>
                <w:sz w:val="15"/>
              </w:rPr>
              <w:t>10</w:t>
            </w:r>
          </w:p>
        </w:tc>
        <w:tc>
          <w:tcPr>
            <w:tcW w:type="dxa" w:w="1417"/>
          </w:tcPr>
          <w:p>
            <w:pPr>
              <w:spacing w:after="20"/>
            </w:pPr>
            <w:r/>
            <w:r>
              <w:rPr>
                <w:b w:val="0"/>
                <w:color w:val="131B2E"/>
                <w:sz w:val="15"/>
              </w:rPr>
              <w:t>5</w:t>
            </w:r>
          </w:p>
        </w:tc>
        <w:tc>
          <w:tcPr>
            <w:tcW w:type="dxa" w:w="1417"/>
          </w:tcPr>
          <w:p>
            <w:pPr>
              <w:spacing w:after="20"/>
            </w:pPr>
            <w:r/>
            <w:r>
              <w:rPr>
                <w:b w:val="0"/>
                <w:color w:val="131B2E"/>
                <w:sz w:val="15"/>
              </w:rPr>
              <w:t>10</w:t>
            </w:r>
          </w:p>
        </w:tc>
        <w:tc>
          <w:tcPr>
            <w:tcW w:type="dxa" w:w="1417"/>
          </w:tcPr>
          <w:p>
            <w:pPr>
              <w:spacing w:after="20"/>
            </w:pPr>
            <w:r/>
            <w:r>
              <w:rPr>
                <w:b w:val="0"/>
                <w:color w:val="131B2E"/>
                <w:sz w:val="15"/>
              </w:rPr>
              <w:t>3</w:t>
            </w:r>
          </w:p>
        </w:tc>
      </w:tr>
      <w:tr>
        <w:tc>
          <w:tcPr>
            <w:tcW w:type="dxa" w:w="3061"/>
            <w:shd w:val="clear" w:fill="EEF3FA"/>
          </w:tcPr>
          <w:p>
            <w:pPr>
              <w:spacing w:after="20"/>
            </w:pPr>
            <w:r/>
            <w:r>
              <w:rPr>
                <w:b w:val="0"/>
                <w:color w:val="131B2E"/>
                <w:sz w:val="15"/>
              </w:rPr>
              <w:t>Compatibilidad formal (10 %)</w:t>
            </w:r>
          </w:p>
        </w:tc>
        <w:tc>
          <w:tcPr>
            <w:tcW w:type="dxa" w:w="1417"/>
            <w:shd w:val="clear" w:fill="EEF3FA"/>
          </w:tcPr>
          <w:p>
            <w:pPr>
              <w:spacing w:after="20"/>
            </w:pPr>
            <w:r/>
            <w:r>
              <w:rPr>
                <w:b w:val="0"/>
                <w:color w:val="131B2E"/>
                <w:sz w:val="15"/>
              </w:rPr>
              <w:t>7</w:t>
            </w:r>
          </w:p>
        </w:tc>
        <w:tc>
          <w:tcPr>
            <w:tcW w:type="dxa" w:w="1417"/>
            <w:shd w:val="clear" w:fill="EEF3FA"/>
          </w:tcPr>
          <w:p>
            <w:pPr>
              <w:spacing w:after="20"/>
            </w:pPr>
            <w:r/>
            <w:r>
              <w:rPr>
                <w:b w:val="0"/>
                <w:color w:val="131B2E"/>
                <w:sz w:val="15"/>
              </w:rPr>
              <w:t>7</w:t>
            </w:r>
          </w:p>
        </w:tc>
        <w:tc>
          <w:tcPr>
            <w:tcW w:type="dxa" w:w="1417"/>
            <w:shd w:val="clear" w:fill="EEF3FA"/>
          </w:tcPr>
          <w:p>
            <w:pPr>
              <w:spacing w:after="20"/>
            </w:pPr>
            <w:r/>
            <w:r>
              <w:rPr>
                <w:b w:val="0"/>
                <w:color w:val="131B2E"/>
                <w:sz w:val="15"/>
              </w:rPr>
              <w:t>8</w:t>
            </w:r>
          </w:p>
        </w:tc>
        <w:tc>
          <w:tcPr>
            <w:tcW w:type="dxa" w:w="1417"/>
            <w:shd w:val="clear" w:fill="EEF3FA"/>
          </w:tcPr>
          <w:p>
            <w:pPr>
              <w:spacing w:after="20"/>
            </w:pPr>
            <w:r/>
            <w:r>
              <w:rPr>
                <w:b w:val="0"/>
                <w:color w:val="131B2E"/>
                <w:sz w:val="15"/>
              </w:rPr>
              <w:t>6</w:t>
            </w:r>
          </w:p>
        </w:tc>
        <w:tc>
          <w:tcPr>
            <w:tcW w:type="dxa" w:w="1417"/>
            <w:shd w:val="clear" w:fill="EEF3FA"/>
          </w:tcPr>
          <w:p>
            <w:pPr>
              <w:spacing w:after="20"/>
            </w:pPr>
            <w:r/>
            <w:r>
              <w:rPr>
                <w:b w:val="0"/>
                <w:color w:val="131B2E"/>
                <w:sz w:val="15"/>
              </w:rPr>
              <w:t>7</w:t>
            </w:r>
          </w:p>
        </w:tc>
      </w:tr>
      <w:tr>
        <w:tc>
          <w:tcPr>
            <w:tcW w:type="dxa" w:w="3061"/>
            <w:shd w:val="clear" w:fill="E0F3E6"/>
          </w:tcPr>
          <w:p>
            <w:pPr>
              <w:spacing w:after="20"/>
            </w:pPr>
            <w:r/>
            <w:r>
              <w:rPr>
                <w:b w:val="0"/>
                <w:color w:val="131B2E"/>
                <w:sz w:val="15"/>
              </w:rPr>
              <w:t>PUNTAJE PONDERADO</w:t>
            </w:r>
          </w:p>
        </w:tc>
        <w:tc>
          <w:tcPr>
            <w:tcW w:type="dxa" w:w="1417"/>
            <w:shd w:val="clear" w:fill="E0F3E6"/>
          </w:tcPr>
          <w:p>
            <w:pPr>
              <w:spacing w:after="20"/>
            </w:pPr>
            <w:r/>
            <w:r>
              <w:rPr>
                <w:b w:val="0"/>
                <w:color w:val="131B2E"/>
                <w:sz w:val="15"/>
              </w:rPr>
            </w:r>
            <w:r>
              <w:rPr>
                <w:b/>
                <w:color w:val="131B2E"/>
                <w:sz w:val="15"/>
              </w:rPr>
              <w:t>84.0</w:t>
            </w:r>
            <w:r>
              <w:rPr>
                <w:b w:val="0"/>
                <w:color w:val="131B2E"/>
                <w:sz w:val="15"/>
              </w:rPr>
            </w:r>
          </w:p>
        </w:tc>
        <w:tc>
          <w:tcPr>
            <w:tcW w:type="dxa" w:w="1417"/>
            <w:shd w:val="clear" w:fill="E0F3E6"/>
          </w:tcPr>
          <w:p>
            <w:pPr>
              <w:spacing w:after="20"/>
            </w:pPr>
            <w:r/>
            <w:r>
              <w:rPr>
                <w:b w:val="0"/>
                <w:color w:val="131B2E"/>
                <w:sz w:val="15"/>
              </w:rPr>
            </w:r>
            <w:r>
              <w:rPr>
                <w:b/>
                <w:color w:val="131B2E"/>
                <w:sz w:val="15"/>
              </w:rPr>
              <w:t>77.0</w:t>
            </w:r>
            <w:r>
              <w:rPr>
                <w:b w:val="0"/>
                <w:color w:val="131B2E"/>
                <w:sz w:val="15"/>
              </w:rPr>
            </w:r>
          </w:p>
        </w:tc>
        <w:tc>
          <w:tcPr>
            <w:tcW w:type="dxa" w:w="1417"/>
            <w:shd w:val="clear" w:fill="E0F3E6"/>
          </w:tcPr>
          <w:p>
            <w:pPr>
              <w:spacing w:after="20"/>
            </w:pPr>
            <w:r/>
            <w:r>
              <w:rPr>
                <w:b w:val="0"/>
                <w:color w:val="131B2E"/>
                <w:sz w:val="15"/>
              </w:rPr>
            </w:r>
            <w:r>
              <w:rPr>
                <w:b/>
                <w:color w:val="131B2E"/>
                <w:sz w:val="15"/>
              </w:rPr>
              <w:t>75.5</w:t>
            </w:r>
            <w:r>
              <w:rPr>
                <w:b w:val="0"/>
                <w:color w:val="131B2E"/>
                <w:sz w:val="15"/>
              </w:rPr>
            </w:r>
          </w:p>
        </w:tc>
        <w:tc>
          <w:tcPr>
            <w:tcW w:type="dxa" w:w="1417"/>
            <w:shd w:val="clear" w:fill="E0F3E6"/>
          </w:tcPr>
          <w:p>
            <w:pPr>
              <w:spacing w:after="20"/>
            </w:pPr>
            <w:r/>
            <w:r>
              <w:rPr>
                <w:b w:val="0"/>
                <w:color w:val="131B2E"/>
                <w:sz w:val="15"/>
              </w:rPr>
            </w:r>
            <w:r>
              <w:rPr>
                <w:b/>
                <w:color w:val="131B2E"/>
                <w:sz w:val="15"/>
              </w:rPr>
              <w:t>71.5</w:t>
            </w:r>
            <w:r>
              <w:rPr>
                <w:b w:val="0"/>
                <w:color w:val="131B2E"/>
                <w:sz w:val="15"/>
              </w:rPr>
            </w:r>
          </w:p>
        </w:tc>
        <w:tc>
          <w:tcPr>
            <w:tcW w:type="dxa" w:w="1417"/>
            <w:shd w:val="clear" w:fill="E0F3E6"/>
          </w:tcPr>
          <w:p>
            <w:pPr>
              <w:spacing w:after="20"/>
            </w:pPr>
            <w:r/>
            <w:r>
              <w:rPr>
                <w:b w:val="0"/>
                <w:color w:val="131B2E"/>
                <w:sz w:val="15"/>
              </w:rPr>
            </w:r>
            <w:r>
              <w:rPr>
                <w:b/>
                <w:color w:val="131B2E"/>
                <w:sz w:val="15"/>
              </w:rPr>
              <w:t>69.5</w:t>
            </w:r>
            <w:r>
              <w:rPr>
                <w:b w:val="0"/>
                <w:color w:val="131B2E"/>
                <w:sz w:val="15"/>
              </w:rPr>
            </w:r>
          </w:p>
        </w:tc>
      </w:tr>
      <w:tr>
        <w:tc>
          <w:tcPr>
            <w:tcW w:type="dxa" w:w="3061"/>
            <w:shd w:val="clear" w:fill="FDECD2"/>
          </w:tcPr>
          <w:p>
            <w:pPr>
              <w:spacing w:after="20"/>
            </w:pPr>
            <w:r/>
            <w:r>
              <w:rPr>
                <w:b w:val="0"/>
                <w:color w:val="131B2E"/>
                <w:sz w:val="15"/>
              </w:rPr>
              <w:t>Datos con fuente primaria</w:t>
            </w:r>
          </w:p>
        </w:tc>
        <w:tc>
          <w:tcPr>
            <w:tcW w:type="dxa" w:w="1417"/>
            <w:shd w:val="clear" w:fill="FDECD2"/>
          </w:tcPr>
          <w:p>
            <w:pPr>
              <w:spacing w:after="20"/>
            </w:pPr>
            <w:r/>
            <w:r>
              <w:rPr>
                <w:b w:val="0"/>
                <w:color w:val="131B2E"/>
                <w:sz w:val="15"/>
              </w:rPr>
              <w:t>5/6</w:t>
            </w:r>
          </w:p>
        </w:tc>
        <w:tc>
          <w:tcPr>
            <w:tcW w:type="dxa" w:w="1417"/>
            <w:shd w:val="clear" w:fill="FDECD2"/>
          </w:tcPr>
          <w:p>
            <w:pPr>
              <w:spacing w:after="20"/>
            </w:pPr>
            <w:r/>
            <w:r>
              <w:rPr>
                <w:b w:val="0"/>
                <w:color w:val="131B2E"/>
                <w:sz w:val="15"/>
              </w:rPr>
              <w:t>0/6</w:t>
            </w:r>
          </w:p>
        </w:tc>
        <w:tc>
          <w:tcPr>
            <w:tcW w:type="dxa" w:w="1417"/>
            <w:shd w:val="clear" w:fill="FDECD2"/>
          </w:tcPr>
          <w:p>
            <w:pPr>
              <w:spacing w:after="20"/>
            </w:pPr>
            <w:r/>
            <w:r>
              <w:rPr>
                <w:b w:val="0"/>
                <w:color w:val="131B2E"/>
                <w:sz w:val="15"/>
              </w:rPr>
              <w:t>5/6</w:t>
            </w:r>
          </w:p>
        </w:tc>
        <w:tc>
          <w:tcPr>
            <w:tcW w:type="dxa" w:w="1417"/>
            <w:shd w:val="clear" w:fill="FDECD2"/>
          </w:tcPr>
          <w:p>
            <w:pPr>
              <w:spacing w:after="20"/>
            </w:pPr>
            <w:r/>
            <w:r>
              <w:rPr>
                <w:b w:val="0"/>
                <w:color w:val="131B2E"/>
                <w:sz w:val="15"/>
              </w:rPr>
              <w:t>0/6</w:t>
            </w:r>
          </w:p>
        </w:tc>
        <w:tc>
          <w:tcPr>
            <w:tcW w:type="dxa" w:w="1417"/>
            <w:shd w:val="clear" w:fill="FDECD2"/>
          </w:tcPr>
          <w:p>
            <w:pPr>
              <w:spacing w:after="20"/>
            </w:pPr>
            <w:r/>
            <w:r>
              <w:rPr>
                <w:b w:val="0"/>
                <w:color w:val="131B2E"/>
                <w:sz w:val="15"/>
              </w:rPr>
              <w:t>0/6</w:t>
            </w:r>
          </w:p>
        </w:tc>
      </w:tr>
    </w:tbl>
    <w:p>
      <w:pPr>
        <w:spacing w:after="40"/>
      </w:pPr>
    </w:p>
    <w:p>
      <w:pPr>
        <w:spacing w:before="180" w:after="60"/>
      </w:pPr>
      <w:r>
        <w:rPr>
          <w:b/>
          <w:color w:val="1F4E79"/>
          <w:sz w:val="23"/>
        </w:rPr>
        <w:t>4 · Plan A, B y C</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606"/>
        <w:gridCol w:w="2606"/>
        <w:gridCol w:w="2606"/>
        <w:gridCol w:w="2606"/>
      </w:tblGrid>
      <w:tr>
        <w:tc>
          <w:tcPr>
            <w:tcW w:type="dxa" w:w="1020"/>
            <w:shd w:val="clear" w:fill="1F4E79"/>
          </w:tcPr>
          <w:p>
            <w:r/>
            <w:r>
              <w:rPr>
                <w:b/>
                <w:color w:val="FFFFFF"/>
                <w:sz w:val="16"/>
              </w:rPr>
            </w:r>
          </w:p>
        </w:tc>
        <w:tc>
          <w:tcPr>
            <w:tcW w:type="dxa" w:w="1361"/>
            <w:shd w:val="clear" w:fill="1F4E79"/>
          </w:tcPr>
          <w:p>
            <w:r/>
            <w:r>
              <w:rPr>
                <w:b/>
                <w:color w:val="FFFFFF"/>
                <w:sz w:val="16"/>
              </w:rPr>
              <w:t>Revista</w:t>
            </w:r>
          </w:p>
        </w:tc>
        <w:tc>
          <w:tcPr>
            <w:tcW w:type="dxa" w:w="1020"/>
            <w:shd w:val="clear" w:fill="1F4E79"/>
          </w:tcPr>
          <w:p>
            <w:r/>
            <w:r>
              <w:rPr>
                <w:b/>
                <w:color w:val="FFFFFF"/>
                <w:sz w:val="16"/>
              </w:rPr>
              <w:t>Puntaje</w:t>
            </w:r>
          </w:p>
        </w:tc>
        <w:tc>
          <w:tcPr>
            <w:tcW w:type="dxa" w:w="6690"/>
            <w:shd w:val="clear" w:fill="1F4E79"/>
          </w:tcPr>
          <w:p>
            <w:r/>
            <w:r>
              <w:rPr>
                <w:b/>
                <w:color w:val="FFFFFF"/>
                <w:sz w:val="16"/>
              </w:rPr>
              <w:t>Por qué en esa posición</w:t>
            </w:r>
          </w:p>
        </w:tc>
      </w:tr>
      <w:tr>
        <w:tc>
          <w:tcPr>
            <w:tcW w:type="dxa" w:w="1020"/>
            <w:shd w:val="clear" w:fill="E0F3E6"/>
          </w:tcPr>
          <w:p>
            <w:pPr>
              <w:spacing w:after="20"/>
            </w:pPr>
            <w:r/>
            <w:r>
              <w:rPr>
                <w:b w:val="0"/>
                <w:color w:val="131B2E"/>
                <w:sz w:val="15"/>
              </w:rPr>
              <w:t>Plan A</w:t>
            </w:r>
          </w:p>
        </w:tc>
        <w:tc>
          <w:tcPr>
            <w:tcW w:type="dxa" w:w="1361"/>
            <w:shd w:val="clear" w:fill="E0F3E6"/>
          </w:tcPr>
          <w:p>
            <w:pPr>
              <w:spacing w:after="20"/>
            </w:pPr>
            <w:r/>
            <w:r>
              <w:rPr>
                <w:b w:val="0"/>
                <w:color w:val="131B2E"/>
                <w:sz w:val="15"/>
              </w:rPr>
              <w:t>BEEI</w:t>
            </w:r>
          </w:p>
        </w:tc>
        <w:tc>
          <w:tcPr>
            <w:tcW w:type="dxa" w:w="1020"/>
            <w:shd w:val="clear" w:fill="E0F3E6"/>
          </w:tcPr>
          <w:p>
            <w:pPr>
              <w:spacing w:after="20"/>
            </w:pPr>
            <w:r/>
            <w:r>
              <w:rPr>
                <w:b w:val="0"/>
                <w:color w:val="131B2E"/>
                <w:sz w:val="15"/>
              </w:rPr>
              <w:t>84.0</w:t>
            </w:r>
          </w:p>
        </w:tc>
        <w:tc>
          <w:tcPr>
            <w:tcW w:type="dxa" w:w="6690"/>
            <w:shd w:val="clear" w:fill="E0F3E6"/>
          </w:tcPr>
          <w:p>
            <w:pPr>
              <w:spacing w:after="20"/>
            </w:pPr>
            <w:r/>
            <w:r>
              <w:rPr>
                <w:b w:val="0"/>
                <w:color w:val="131B2E"/>
                <w:sz w:val="15"/>
              </w:rPr>
              <w:t>Gana en tres de los cinco criterios y es la que más datos tiene verificados en fuente primaria. Mejor combinación de encaje, visibilidad y coste.</w:t>
            </w:r>
          </w:p>
        </w:tc>
      </w:tr>
      <w:tr>
        <w:tc>
          <w:tcPr>
            <w:tcW w:type="dxa" w:w="1020"/>
          </w:tcPr>
          <w:p>
            <w:pPr>
              <w:spacing w:after="20"/>
            </w:pPr>
            <w:r/>
            <w:r>
              <w:rPr>
                <w:b w:val="0"/>
                <w:color w:val="131B2E"/>
                <w:sz w:val="15"/>
              </w:rPr>
              <w:t>Plan B</w:t>
            </w:r>
          </w:p>
        </w:tc>
        <w:tc>
          <w:tcPr>
            <w:tcW w:type="dxa" w:w="1361"/>
          </w:tcPr>
          <w:p>
            <w:pPr>
              <w:spacing w:after="20"/>
            </w:pPr>
            <w:r/>
            <w:r>
              <w:rPr>
                <w:b w:val="0"/>
                <w:color w:val="131B2E"/>
                <w:sz w:val="15"/>
              </w:rPr>
              <w:t>ISJ</w:t>
            </w:r>
          </w:p>
        </w:tc>
        <w:tc>
          <w:tcPr>
            <w:tcW w:type="dxa" w:w="1020"/>
          </w:tcPr>
          <w:p>
            <w:pPr>
              <w:spacing w:after="20"/>
            </w:pPr>
            <w:r/>
            <w:r>
              <w:rPr>
                <w:b w:val="0"/>
                <w:color w:val="131B2E"/>
                <w:sz w:val="15"/>
              </w:rPr>
              <w:t>77.0</w:t>
            </w:r>
          </w:p>
        </w:tc>
        <w:tc>
          <w:tcPr>
            <w:tcW w:type="dxa" w:w="6690"/>
          </w:tcPr>
          <w:p>
            <w:pPr>
              <w:spacing w:after="20"/>
            </w:pPr>
            <w:r/>
            <w:r>
              <w:rPr>
                <w:b w:val="0"/>
                <w:color w:val="131B2E"/>
                <w:sz w:val="15"/>
              </w:rPr>
              <w:t xml:space="preserve">Empata en pertinencia y </w:t>
            </w:r>
            <w:r>
              <w:rPr>
                <w:b/>
                <w:color w:val="131B2E"/>
                <w:sz w:val="15"/>
              </w:rPr>
              <w:t>no exige APC</w:t>
            </w:r>
            <w:r>
              <w:rPr>
                <w:b w:val="0"/>
                <w:color w:val="131B2E"/>
                <w:sz w:val="15"/>
              </w:rPr>
              <w:t>, pero publica solo 21 artículos al año: capacidad y probabilidad de aceptación mucho menores.</w:t>
            </w:r>
          </w:p>
        </w:tc>
      </w:tr>
      <w:tr>
        <w:tc>
          <w:tcPr>
            <w:tcW w:type="dxa" w:w="1020"/>
            <w:shd w:val="clear" w:fill="EEF3FA"/>
          </w:tcPr>
          <w:p>
            <w:pPr>
              <w:spacing w:after="20"/>
            </w:pPr>
            <w:r/>
            <w:r>
              <w:rPr>
                <w:b w:val="0"/>
                <w:color w:val="131B2E"/>
                <w:sz w:val="15"/>
              </w:rPr>
              <w:t>Plan C</w:t>
            </w:r>
          </w:p>
        </w:tc>
        <w:tc>
          <w:tcPr>
            <w:tcW w:type="dxa" w:w="1361"/>
            <w:shd w:val="clear" w:fill="EEF3FA"/>
          </w:tcPr>
          <w:p>
            <w:pPr>
              <w:spacing w:after="20"/>
            </w:pPr>
            <w:r/>
            <w:r>
              <w:rPr>
                <w:b w:val="0"/>
                <w:color w:val="131B2E"/>
                <w:sz w:val="15"/>
              </w:rPr>
              <w:t>IJSSE</w:t>
            </w:r>
          </w:p>
        </w:tc>
        <w:tc>
          <w:tcPr>
            <w:tcW w:type="dxa" w:w="1020"/>
            <w:shd w:val="clear" w:fill="EEF3FA"/>
          </w:tcPr>
          <w:p>
            <w:pPr>
              <w:spacing w:after="20"/>
            </w:pPr>
            <w:r/>
            <w:r>
              <w:rPr>
                <w:b w:val="0"/>
                <w:color w:val="131B2E"/>
                <w:sz w:val="15"/>
              </w:rPr>
              <w:t>75.5</w:t>
            </w:r>
          </w:p>
        </w:tc>
        <w:tc>
          <w:tcPr>
            <w:tcW w:type="dxa" w:w="6690"/>
            <w:shd w:val="clear" w:fill="EEF3FA"/>
          </w:tcPr>
          <w:p>
            <w:pPr>
              <w:spacing w:after="20"/>
            </w:pPr>
            <w:r/>
            <w:r>
              <w:rPr>
                <w:b w:val="0"/>
                <w:color w:val="131B2E"/>
                <w:sz w:val="15"/>
              </w:rPr>
              <w:t>Encaje idéntico al de BEEI y ciclo rápido, pero menor visibilidad (CiteScore 2,8 frente a 4,2) y APC del doble.</w:t>
            </w:r>
          </w:p>
        </w:tc>
      </w:tr>
      <w:tr>
        <w:tc>
          <w:tcPr>
            <w:tcW w:type="dxa" w:w="1020"/>
          </w:tcPr>
          <w:p>
            <w:pPr>
              <w:spacing w:after="20"/>
            </w:pPr>
            <w:r/>
            <w:r>
              <w:rPr>
                <w:b w:val="0"/>
                <w:color w:val="131B2E"/>
                <w:sz w:val="15"/>
              </w:rPr>
              <w:t>4.º</w:t>
            </w:r>
          </w:p>
        </w:tc>
        <w:tc>
          <w:tcPr>
            <w:tcW w:type="dxa" w:w="1361"/>
          </w:tcPr>
          <w:p>
            <w:pPr>
              <w:spacing w:after="20"/>
            </w:pPr>
            <w:r/>
            <w:r>
              <w:rPr>
                <w:b w:val="0"/>
                <w:color w:val="131B2E"/>
                <w:sz w:val="15"/>
              </w:rPr>
              <w:t>ICS</w:t>
            </w:r>
          </w:p>
        </w:tc>
        <w:tc>
          <w:tcPr>
            <w:tcW w:type="dxa" w:w="1020"/>
          </w:tcPr>
          <w:p>
            <w:pPr>
              <w:spacing w:after="20"/>
            </w:pPr>
            <w:r/>
            <w:r>
              <w:rPr>
                <w:b w:val="0"/>
                <w:color w:val="131B2E"/>
                <w:sz w:val="15"/>
              </w:rPr>
              <w:t>71.5</w:t>
            </w:r>
          </w:p>
        </w:tc>
        <w:tc>
          <w:tcPr>
            <w:tcW w:type="dxa" w:w="6690"/>
          </w:tcPr>
          <w:p>
            <w:pPr>
              <w:spacing w:after="20"/>
            </w:pPr>
            <w:r/>
            <w:r>
              <w:rPr>
                <w:b w:val="0"/>
                <w:color w:val="131B2E"/>
                <w:sz w:val="15"/>
              </w:rPr>
              <w:t>El mayor prestigio (h-index 60), pero su centro editorial se inclina a factores humanos y sus datos siguen sin verificar.</w:t>
            </w:r>
          </w:p>
        </w:tc>
      </w:tr>
      <w:tr>
        <w:tc>
          <w:tcPr>
            <w:tcW w:type="dxa" w:w="1020"/>
            <w:shd w:val="clear" w:fill="EEF3FA"/>
          </w:tcPr>
          <w:p>
            <w:pPr>
              <w:spacing w:after="20"/>
            </w:pPr>
            <w:r/>
            <w:r>
              <w:rPr>
                <w:b w:val="0"/>
                <w:color w:val="131B2E"/>
                <w:sz w:val="15"/>
              </w:rPr>
              <w:t>5.º</w:t>
            </w:r>
          </w:p>
        </w:tc>
        <w:tc>
          <w:tcPr>
            <w:tcW w:type="dxa" w:w="1361"/>
            <w:shd w:val="clear" w:fill="EEF3FA"/>
          </w:tcPr>
          <w:p>
            <w:pPr>
              <w:spacing w:after="20"/>
            </w:pPr>
            <w:r/>
            <w:r>
              <w:rPr>
                <w:b w:val="0"/>
                <w:color w:val="131B2E"/>
                <w:sz w:val="15"/>
              </w:rPr>
              <w:t>IJACSA</w:t>
            </w:r>
          </w:p>
        </w:tc>
        <w:tc>
          <w:tcPr>
            <w:tcW w:type="dxa" w:w="1020"/>
            <w:shd w:val="clear" w:fill="EEF3FA"/>
          </w:tcPr>
          <w:p>
            <w:pPr>
              <w:spacing w:after="20"/>
            </w:pPr>
            <w:r/>
            <w:r>
              <w:rPr>
                <w:b w:val="0"/>
                <w:color w:val="131B2E"/>
                <w:sz w:val="15"/>
              </w:rPr>
              <w:t>69.5</w:t>
            </w:r>
          </w:p>
        </w:tc>
        <w:tc>
          <w:tcPr>
            <w:tcW w:type="dxa" w:w="6690"/>
            <w:shd w:val="clear" w:fill="EEF3FA"/>
          </w:tcPr>
          <w:p>
            <w:pPr>
              <w:spacing w:after="20"/>
            </w:pPr>
            <w:r/>
            <w:r>
              <w:rPr>
                <w:b w:val="0"/>
                <w:color w:val="131B2E"/>
                <w:sz w:val="15"/>
              </w:rPr>
              <w:t>La más rápida, pero de alcance genérico y con el APC más alto.</w:t>
            </w:r>
          </w:p>
        </w:tc>
      </w:tr>
    </w:tbl>
    <w:p>
      <w:pPr>
        <w:spacing w:after="40"/>
      </w:pPr>
    </w:p>
    <w:p>
      <w:pPr>
        <w:spacing w:after="80"/>
        <w:jc w:val="both"/>
      </w:pPr>
      <w:r>
        <w:rPr>
          <w:b w:val="0"/>
          <w:i/>
          <w:color w:val="5B6B8C"/>
          <w:sz w:val="16"/>
        </w:rPr>
      </w:r>
      <w:r>
        <w:rPr>
          <w:b/>
          <w:i/>
          <w:color w:val="5B6B8C"/>
          <w:sz w:val="16"/>
        </w:rPr>
        <w:t>El orden por debajo del Plan A es provisional.</w:t>
      </w:r>
      <w:r>
        <w:rPr>
          <w:b w:val="0"/>
          <w:i/>
          <w:color w:val="5B6B8C"/>
          <w:sz w:val="16"/>
        </w:rPr>
        <w:t xml:space="preserve"> Solo BEEI e IJSSE tienen sus datos sensibles verificados en fuente primaria; las otras tres se puntuaron con fuentes secundarias, y una verificación completa puede reordenar las posiciones 2 a 5.</w:t>
      </w:r>
    </w:p>
    <w:p>
      <w:pPr>
        <w:spacing w:before="180" w:after="60"/>
      </w:pPr>
      <w:r>
        <w:rPr>
          <w:b/>
          <w:color w:val="1F4E79"/>
          <w:sz w:val="23"/>
        </w:rPr>
        <w:t>5 · Justificación</w:t>
      </w:r>
    </w:p>
    <w:p>
      <w:pPr>
        <w:spacing w:after="80"/>
        <w:jc w:val="both"/>
      </w:pPr>
      <w:r>
        <w:rPr>
          <w:b w:val="0"/>
          <w:i w:val="0"/>
          <w:color w:val="131B2E"/>
          <w:sz w:val="17"/>
        </w:rPr>
      </w:r>
      <w:r>
        <w:rPr>
          <w:b/>
          <w:i w:val="0"/>
          <w:color w:val="131B2E"/>
          <w:sz w:val="17"/>
        </w:rPr>
        <w:t>BEEI es el Plan A</w:t>
      </w:r>
      <w:r>
        <w:rPr>
          <w:b w:val="0"/>
          <w:i w:val="0"/>
          <w:color w:val="131B2E"/>
          <w:sz w:val="17"/>
        </w:rPr>
        <w:t xml:space="preserve"> porque obtiene el puntaje ponderado más alto (84.0 sobre 100) y porque es la candidata con más datos verificados en fuente primaria (5 de 6). Su alcance editorial nombra de forma explícita los cuatro ejes del artículo —redes de comunicaciones, seguridad de redes, aprendizaje automático y ciberseguridad—, presenta el CiteScore y el percentil más altos del conjunto (4,2 y 65) y su APC de USD 415 con coautoría es el más bajo entre las revistas que cobran.</w:t>
      </w:r>
    </w:p>
    <w:p>
      <w:pPr>
        <w:spacing w:after="80"/>
        <w:jc w:val="both"/>
      </w:pPr>
      <w:r>
        <w:rPr>
          <w:b w:val="0"/>
          <w:i w:val="0"/>
          <w:color w:val="131B2E"/>
          <w:sz w:val="17"/>
        </w:rPr>
      </w:r>
      <w:r>
        <w:rPr>
          <w:b/>
          <w:i w:val="0"/>
          <w:color w:val="131B2E"/>
          <w:sz w:val="17"/>
        </w:rPr>
        <w:t>No se eligió ISJ</w:t>
      </w:r>
      <w:r>
        <w:rPr>
          <w:b w:val="0"/>
          <w:i w:val="0"/>
          <w:color w:val="131B2E"/>
          <w:sz w:val="17"/>
        </w:rPr>
        <w:t xml:space="preserve"> pese a no exigir APC: publica solo 21 artículos al año, de modo que su probabilidad de aceptación es sustancialmente menor. Se conserva como Plan B porque su coste nulo la vuelve la mejor alternativa si desaparece el presupuesto. </w:t>
      </w:r>
      <w:r>
        <w:rPr>
          <w:b/>
          <w:i w:val="0"/>
          <w:color w:val="131B2E"/>
          <w:sz w:val="17"/>
        </w:rPr>
        <w:t>No se eligió IJSSE</w:t>
      </w:r>
      <w:r>
        <w:rPr>
          <w:b w:val="0"/>
          <w:i w:val="0"/>
          <w:color w:val="131B2E"/>
          <w:sz w:val="17"/>
        </w:rPr>
        <w:t xml:space="preserve"> aunque su encaje temático es equivalente: pierde en visibilidad y su APC duplica al del Plan A, sin una ventaja editorial que lo compense.</w:t>
      </w:r>
    </w:p>
    <w:p>
      <w:pPr>
        <w:spacing w:after="80"/>
        <w:jc w:val="both"/>
      </w:pPr>
      <w:r>
        <w:rPr>
          <w:b w:val="0"/>
          <w:i/>
          <w:color w:val="131B2E"/>
          <w:sz w:val="17"/>
        </w:rPr>
        <w:t xml:space="preserve">La decisión </w:t>
      </w:r>
      <w:r>
        <w:rPr>
          <w:b/>
          <w:i/>
          <w:color w:val="131B2E"/>
          <w:sz w:val="17"/>
        </w:rPr>
        <w:t>no se tomó por cuartil</w:t>
      </w:r>
      <w:r>
        <w:rPr>
          <w:b w:val="0"/>
          <w:i/>
          <w:color w:val="131B2E"/>
          <w:sz w:val="17"/>
        </w:rPr>
        <w:t>. Si la visibilidad hubiera pesado el 70 %, como es habitual, el orden habría sido otro y se habría perseguido prestigio a costa del encaje y del plazo.</w:t>
      </w:r>
    </w:p>
    <w:p>
      <w:pPr>
        <w:spacing w:before="180" w:after="60"/>
      </w:pPr>
      <w:r>
        <w:rPr>
          <w:b/>
          <w:color w:val="1F4E79"/>
          <w:sz w:val="23"/>
        </w:rPr>
        <w:t>6 · Pendientes antes del envío</w:t>
      </w:r>
    </w:p>
    <w:p>
      <w:pPr>
        <w:spacing w:after="80"/>
        <w:jc w:val="both"/>
      </w:pPr>
      <w:r>
        <w:rPr>
          <w:b w:val="0"/>
          <w:i w:val="0"/>
          <w:color w:val="131B2E"/>
          <w:sz w:val="16"/>
        </w:rPr>
        <w:t xml:space="preserve">Verificar el </w:t>
      </w:r>
      <w:r>
        <w:rPr>
          <w:b/>
          <w:i w:val="0"/>
          <w:color w:val="131B2E"/>
          <w:sz w:val="16"/>
        </w:rPr>
        <w:t>cuartil SJR</w:t>
      </w:r>
      <w:r>
        <w:rPr>
          <w:b w:val="0"/>
          <w:i w:val="0"/>
          <w:color w:val="131B2E"/>
          <w:sz w:val="16"/>
        </w:rPr>
        <w:t xml:space="preserve"> de las cinco en Scimago: aquí figura como fuente secundaria, y </w:t>
      </w:r>
      <w:r>
        <w:rPr>
          <w:b/>
          <w:i w:val="0"/>
          <w:color w:val="131B2E"/>
          <w:sz w:val="16"/>
        </w:rPr>
        <w:t>el percentil de Scopus no es el cuartil SJR</w:t>
      </w:r>
      <w:r>
        <w:rPr>
          <w:b w:val="0"/>
          <w:i w:val="0"/>
          <w:color w:val="131B2E"/>
          <w:sz w:val="16"/>
        </w:rPr>
        <w:t xml:space="preserve">. · Completar en fuente primaria los datos de ISJ, ICS e IJACSA. · Reverificar el APC de las cinco: el de IJSSE pasó de USD 700 a USD 850 entre dos consultas. · Confirmar por escrito con la coordinación académica el requisito de cuartil del programa, que es un </w:t>
      </w:r>
      <w:r>
        <w:rPr>
          <w:b/>
          <w:i w:val="0"/>
          <w:color w:val="131B2E"/>
          <w:sz w:val="16"/>
        </w:rPr>
        <w:t>filtro</w:t>
      </w:r>
      <w:r>
        <w:rPr>
          <w:b w:val="0"/>
          <w:i w:val="0"/>
          <w:color w:val="131B2E"/>
          <w:sz w:val="16"/>
        </w:rPr>
        <w:t xml:space="preserve"> y no un criterio ponderado. · Comprobar que el artículo cabe en el límite base de 8 páginas de BEEI.</w:t>
      </w:r>
    </w:p>
    <w:p>
      <w:pPr>
        <w:spacing w:before="200" w:after="60"/>
      </w:pPr>
      <w:r>
        <w:rPr>
          <w:b/>
          <w:color w:val="1F4E79"/>
          <w:sz w:val="20"/>
        </w:rPr>
        <w:t>Evidencia en el repositorio</w:t>
      </w:r>
    </w:p>
    <w:p>
      <w:pPr>
        <w:spacing w:after="20"/>
        <w:ind w:left="200"/>
      </w:pPr>
      <w:r>
        <w:rPr>
          <w:color w:val="131B2E"/>
          <w:sz w:val="16"/>
        </w:rPr>
        <w:t xml:space="preserve">Matriz detallada, con la ficha completa de cada candidata — </w:t>
      </w:r>
      <w:hyperlink r:id="rId10">
        <w:r>
          <w:rPr>
            <w:color w:val="2E74B5"/>
            <w:u w:val="single"/>
            <w:sz w:val="16"/>
          </w:rPr>
          <w:t>abrir en GitHub</w:t>
        </w:r>
      </w:hyperlink>
    </w:p>
    <w:p>
      <w:pPr>
        <w:spacing w:after="20"/>
        <w:ind w:left="200"/>
      </w:pPr>
      <w:r>
        <w:rPr>
          <w:color w:val="131B2E"/>
          <w:sz w:val="16"/>
        </w:rPr>
        <w:t xml:space="preserve">Mapeo por secciones de 10 artículos de las dos primeras candidatas — </w:t>
      </w:r>
      <w:hyperlink r:id="rId11">
        <w:r>
          <w:rPr>
            <w:color w:val="2E74B5"/>
            <w:u w:val="single"/>
            <w:sz w:val="16"/>
          </w:rPr>
          <w:t>abrir en GitHub</w:t>
        </w:r>
      </w:hyperlink>
    </w:p>
    <w:sectPr w:rsidR="00FC693F" w:rsidRPr="0006063C" w:rsidSect="00034616">
      <w:footerReference w:type="default" r:id="rId12"/>
      <w:headerReference w:type="default" r:id="rId13"/>
      <w:pgSz w:w="12240" w:h="15840"/>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tabs>
        <w:tab w:val="right" w:pos="10426"/>
      </w:tabs>
    </w:pPr>
    <w:r/>
    <w:r>
      <w:rPr>
        <w:color w:val="5B6B8C"/>
        <w:sz w:val="14"/>
      </w:rPr>
      <w:t>Matriz de decisión de revistas · Salazar Tocas &amp; Sauñe Fernandez</w:t>
      <w:tab/>
    </w:r>
    <w:r>
      <w:rPr>
        <w:color w:val="5B6B8C"/>
        <w:sz w:val="14"/>
      </w:rPr>
      <w:t xml:space="preserve">Página </w:t>
    </w:r>
    <w:r>
      <w:rPr>
        <w:color w:val="5B6B8C"/>
        <w:sz w:val="14"/>
      </w:rPr>
      <w:fldChar w:fldCharType="begin"/>
      <w:instrText xml:space="preserve"> PAGE </w:instrText>
      <w:fldChar w:fldCharType="end"/>
    </w:r>
    <w:r>
      <w:rPr>
        <w:color w:val="5B6B8C"/>
        <w:sz w:val="14"/>
      </w:rPr>
      <w:t xml:space="preserve"> de </w:t>
    </w:r>
    <w:r>
      <w:rPr>
        <w:color w:val="5B6B8C"/>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color="BFBFBF" w:space="3"/>
      </w:pBdr>
    </w:pPr>
    <w:r/>
    <w:r>
      <w:rPr>
        <w:i/>
        <w:color w:val="5B6B8C"/>
        <w:sz w:val="14"/>
      </w:rPr>
      <w:t>Investigación V · Sesión 04 · UPeU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marksato13/VF-Sistema-Open-Source-para-la-Deteccion-Temprana-de-Comportamientos-Anomalos-en-Redes-de-Datos/blob/main/docs/entregables/09-matriz-revistas/matriz-decision-revistas.md" TargetMode="External"/><Relationship Id="rId11" Type="http://schemas.openxmlformats.org/officeDocument/2006/relationships/hyperlink" Target="https://github.com/marksato13/VF-Sistema-Open-Source-para-la-Deteccion-Temprana-de-Comportamientos-Anomalos-en-Redes-de-Datos/blob/main/docs/articulo/README.md" TargetMode="External"/><Relationship Id="rId12" Type="http://schemas.openxmlformats.org/officeDocument/2006/relationships/footer" Target="footer1.xml"/><Relationship Id="rId1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Matriz de decisión de revistas</dc:title>
  <dc:subject>Investigación V · Sesión 04 · Revista objetivo y plan de respaldo</dc:subject>
  <dc:creator>Rubén Mark Salazar Tocas; Uziel Elias Sauñe Fernandez</dc:creator>
  <cp:keywords>detección de anomalías; seguridad de redes; aprendizaje no supervisado; OCSVM</cp:keywords>
  <dc:description>Documento generado por script desde los artefactos del proyecto; ninguna cifra se transcribe a mano.</dc:description>
  <cp:lastModifiedBy>Rubén Mark Salazar Tocas; Uziel Elias Sauñe Fernandez</cp:lastModifiedBy>
  <cp:revision>1</cp:revision>
  <dcterms:created xsi:type="dcterms:W3CDTF">2013-12-23T23:15:00Z</dcterms:created>
  <dcterms:modified xsi:type="dcterms:W3CDTF">2013-12-23T23:15:00Z</dcterms:modified>
  <cp:category>Investigación V · UPeU</cp:category>
</cp:coreProperties>
</file>