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84000" cy="38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38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E.P. de Ingeniería de Sistemas · Investigación V · Sesión 04</w:t>
      </w:r>
    </w:p>
    <w:p>
      <w:pPr>
        <w:spacing w:before="120" w:after="40"/>
        <w:jc w:val="center"/>
      </w:pPr>
      <w:r>
        <w:rPr>
          <w:b/>
          <w:color w:val="1F4E79"/>
          <w:sz w:val="27"/>
        </w:rPr>
        <w:t>MI DECISIÓN FINAL: REVISTA OBJETIVO Y PLAN DE RESPALDO</w:t>
      </w:r>
    </w:p>
    <w:p>
      <w:pPr>
        <w:spacing w:after="160"/>
        <w:jc w:val="center"/>
      </w:pPr>
      <w:r>
        <w:rPr>
          <w:b w:val="0"/>
          <w:i w:val="0"/>
          <w:color w:val="5B6B8C"/>
          <w:sz w:val="16"/>
        </w:rPr>
        <w:t>Rubén Mark Salazar Tocas · Uziel Elias Sauñe Fernandez  ·  Datos consultados el 26 de agosto de 2026</w:t>
      </w:r>
    </w:p>
    <w:p>
      <w:pPr>
        <w:spacing w:before="180" w:after="60"/>
      </w:pPr>
      <w:r>
        <w:rPr>
          <w:b/>
          <w:color w:val="1F4E79"/>
          <w:sz w:val="23"/>
        </w:rPr>
        <w:t>1 · Filtro de legitimidad, aplicado antes de puntuar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legitimidad </w:t>
      </w:r>
      <w:r>
        <w:rPr>
          <w:b/>
          <w:i w:val="0"/>
          <w:color w:val="131B2E"/>
          <w:sz w:val="17"/>
        </w:rPr>
        <w:t>no se pondera: es un filtro de entrada</w:t>
      </w:r>
      <w:r>
        <w:rPr>
          <w:b w:val="0"/>
          <w:i w:val="0"/>
          <w:color w:val="131B2E"/>
          <w:sz w:val="17"/>
        </w:rPr>
        <w:t>. Una candidata que no lo supera sale de la matriz por completo, sin importar cuánto puntúe en lo demás.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703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documental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política de revisión por pares publicada, archivo de números con DOI, APC transparente y editor identificable.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revisión double-blind declarada, archivo de números con DOI y página oficial de APC.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reconocida, ficha activa en Scopus e indexación adicional en ESCI. Fuera de la lista de revistas depredadoras consultada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Editorial de trayectoria reconocida y ficha activa en Scopus. Fuera de la lista de revistas depredadoras consultada</w:t>
            </w:r>
          </w:p>
        </w:tc>
      </w:tr>
      <w:tr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70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 con reserva</w:t>
            </w:r>
          </w:p>
        </w:tc>
        <w:tc>
          <w:tcPr>
            <w:tcW w:type="dxa" w:w="703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Ficha activa en Scopus e indexación en WoS ESCI, y fuera de la lista de depredadoras consultada. Se registra que su reputación editorial es más discutida que la de las demás candidatas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Supera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ISSN confirmado, ficha activa en Scopus, indexación adicional en Web of Science ESCI, DOAJ, INSPEC, ACM Digital Library y Engineering Village; adhesión declarada a las Core Practices de COPE, revisión por pares en tres fases con cribado antiplagio iThenticate y archivo de números desde 2001. Fuera de la lista de revistas depredadoras consultada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Descartadas por el filtro:</w:t>
      </w:r>
      <w:r>
        <w:rPr>
          <w:b w:val="0"/>
          <w:i/>
          <w:color w:val="5B6B8C"/>
          <w:sz w:val="16"/>
        </w:rPr>
        <w:t xml:space="preserve"> IJCNIS, descontinuada de Scopus desde 2022 y presente en la lista de revistas depredadoras consultada; IJEECS, descontinuada de Scopus en 2025; y dos revistas Q4 que no compiten en ningún criterio.</w:t>
      </w:r>
    </w:p>
    <w:p>
      <w:pPr>
        <w:spacing w:before="180" w:after="60"/>
      </w:pPr>
      <w:r>
        <w:rPr>
          <w:b/>
          <w:color w:val="1F4E79"/>
          <w:sz w:val="23"/>
        </w:rPr>
        <w:t>2 · Filtro de disponibilidad: la lista de control de la coordinación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La coordinación mantiene una lista de control con 17 revistas ya registradas. Tres de las candidatas figuran en ella, así que la lista actúa como un </w:t>
      </w:r>
      <w:r>
        <w:rPr>
          <w:b/>
          <w:i w:val="0"/>
          <w:color w:val="131B2E"/>
          <w:sz w:val="17"/>
        </w:rPr>
        <w:t>segundo filtro de entrada</w:t>
      </w:r>
      <w:r>
        <w:rPr>
          <w:b w:val="0"/>
          <w:i w:val="0"/>
          <w:color w:val="131B2E"/>
          <w:sz w:val="17"/>
        </w:rPr>
        <w:t>: no cambia el puntaje de ninguna revista, decide cuáles siguen disponibles.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Lista de control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8 de la lista de control institucional, registrada como Q1 · Indonesia · USD 385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7 de la lista de control institucional, registrada como Q3 · Reino Unido · USD 700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  <w:tr>
        <w:tc>
          <w:tcPr>
            <w:tcW w:type="dxa" w:w="13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928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Ya registrada</w:t>
            </w:r>
          </w:p>
        </w:tc>
        <w:tc>
          <w:tcPr>
            <w:tcW w:type="dxa" w:w="6803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N.º 5 de la lista de control institucional, registrada como Q3 · Reino Unido · USD 1 100</w:t>
            </w:r>
          </w:p>
        </w:tc>
      </w:tr>
      <w:tr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928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Disponible</w:t>
            </w:r>
          </w:p>
        </w:tc>
        <w:tc>
          <w:tcPr>
            <w:tcW w:type="dxa" w:w="6803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No figura entre las 17 revistas de la lista de control institucional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Se separa del puntaje a propósito.</w:t>
      </w:r>
      <w:r>
        <w:rPr>
          <w:b w:val="0"/>
          <w:i/>
          <w:color w:val="5B6B8C"/>
          <w:sz w:val="16"/>
        </w:rPr>
        <w:t xml:space="preserve"> Bajar la nota de una revista por estar en la lista mezclaría una restricción administrativa con una evaluación técnica y haría irreproducible la matriz. Nota aparte: la lista registra a BEEI como Q1 y el APC de IJSSE como USD 700; las fuentes oficiales consultadas el 26/08/2026 dan Q1 por CiteScore y Q3 por SJR, y USD 850. Las discrepancias se dejan a la vista.</w:t>
      </w:r>
    </w:p>
    <w:p>
      <w:pPr>
        <w:spacing w:before="180" w:after="60"/>
      </w:pPr>
      <w:r>
        <w:rPr>
          <w:b/>
          <w:color w:val="1F4E79"/>
          <w:sz w:val="23"/>
        </w:rPr>
        <w:t>3 · Criterios y pesos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75"/>
        <w:gridCol w:w="3475"/>
        <w:gridCol w:w="3475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69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Regla de puntuación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Coincidencia entre el alcance editorial declarado y el problema, método y dominio del artículo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CiteScore, percentil y cuartil SJR identificados por separado, con su fuente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20 %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Tipo de revisión, tiempo declarado, periodicidad y capacidad de publicación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15 %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APC vigente, cargos por página y acceso abierto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</w:t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10 %</w:t>
            </w:r>
          </w:p>
        </w:tc>
        <w:tc>
          <w:tcPr>
            <w:tcW w:type="dxa" w:w="69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Plantilla, límite de páginas y requisitos de envío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Fórmula:</w:t>
      </w:r>
      <w:r>
        <w:rPr>
          <w:b w:val="0"/>
          <w:i w:val="0"/>
          <w:color w:val="131B2E"/>
          <w:sz w:val="16"/>
        </w:rPr>
        <w:t xml:space="preserve"> aporte = puntaje × peso / 10, con puntajes de 0 a 10 y total sobre 100. Ningún criterio supera el 30 %, por debajo del techo del 35–40 % recomendado. La pertinencia pesa más que la visibilidad </w:t>
      </w:r>
      <w:r>
        <w:rPr>
          <w:b/>
          <w:i w:val="0"/>
          <w:color w:val="131B2E"/>
          <w:sz w:val="16"/>
        </w:rPr>
        <w:t>a propósito</w:t>
      </w:r>
      <w:r>
        <w:rPr>
          <w:b w:val="0"/>
          <w:i w:val="0"/>
          <w:color w:val="131B2E"/>
          <w:sz w:val="16"/>
        </w:rPr>
        <w:t>: un mal encaje temático produce rechazo de escritorio por muy alto que sea el cuartil.</w:t>
      </w:r>
    </w:p>
    <w:p>
      <w:pPr>
        <w:spacing w:before="180" w:after="60"/>
      </w:pPr>
      <w:r>
        <w:rPr>
          <w:b/>
          <w:color w:val="1F4E79"/>
          <w:sz w:val="23"/>
        </w:rPr>
        <w:t>4 · Matriz de decisión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(peso)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BEEI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CIT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ISJ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IJSSE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ICS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IJACSA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Pertinencia temática (30 %)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Visibilidad bibliométrica (25 %)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Viabilidad editorial (20 %)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4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Costo y accesibilidad (15 %)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10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3</w:t>
            </w:r>
          </w:p>
        </w:tc>
      </w:tr>
      <w:tr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Compatibilidad formal (10 %)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9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</w:t>
            </w:r>
          </w:p>
        </w:tc>
      </w:tr>
      <w:tr>
        <w:tc>
          <w:tcPr>
            <w:tcW w:type="dxa" w:w="30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PUNTAJE PONDERADO</w:t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84.0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77.0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75.5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71.5</w:t>
            </w:r>
            <w:r>
              <w:rPr>
                <w:b w:val="0"/>
                <w:color w:val="131B2E"/>
                <w:sz w:val="15"/>
              </w:rPr>
            </w:r>
          </w:p>
        </w:tc>
        <w:tc>
          <w:tcPr>
            <w:tcW w:type="dxa" w:w="141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</w:r>
            <w:r>
              <w:rPr>
                <w:b/>
                <w:color w:val="131B2E"/>
                <w:sz w:val="15"/>
              </w:rPr>
              <w:t>69.5</w:t>
            </w:r>
            <w:r>
              <w:rPr>
                <w:b w:val="0"/>
                <w:color w:val="131B2E"/>
                <w:sz w:val="15"/>
              </w:rPr>
            </w:r>
          </w:p>
        </w:tc>
      </w:tr>
      <w:tr>
        <w:tc>
          <w:tcPr>
            <w:tcW w:type="dxa" w:w="306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Datos con fuente primaria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5/6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  <w:tc>
          <w:tcPr>
            <w:tcW w:type="dxa" w:w="141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0/6</w:t>
            </w:r>
          </w:p>
        </w:tc>
      </w:tr>
    </w:tbl>
    <w:p>
      <w:pPr>
        <w:spacing w:after="40"/>
      </w:pPr>
    </w:p>
    <w:p>
      <w:pPr>
        <w:spacing w:before="180" w:after="60"/>
      </w:pPr>
      <w:r>
        <w:rPr>
          <w:b/>
          <w:color w:val="1F4E79"/>
          <w:sz w:val="23"/>
        </w:rPr>
        <w:t>5 · Plan A, B y C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  <w:t xml:space="preserve">Los planes se asignan </w:t>
      </w:r>
      <w:r>
        <w:rPr>
          <w:b/>
          <w:i w:val="0"/>
          <w:color w:val="131B2E"/>
          <w:sz w:val="16"/>
        </w:rPr>
        <w:t>solo entre las candidatas disponibles</w:t>
      </w:r>
      <w:r>
        <w:rPr>
          <w:b w:val="0"/>
          <w:i w:val="0"/>
          <w:color w:val="131B2E"/>
          <w:sz w:val="16"/>
        </w:rPr>
        <w:t>. Los puntajes de las tres ya registradas se conservan a la vista para que la comparación siga completa.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06"/>
        <w:gridCol w:w="2606"/>
        <w:gridCol w:w="2606"/>
        <w:gridCol w:w="2606"/>
      </w:tblGrid>
      <w:tr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</w:t>
            </w:r>
          </w:p>
        </w:tc>
        <w:tc>
          <w:tcPr>
            <w:tcW w:type="dxa" w:w="669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Por qué en esa posición</w:t>
            </w:r>
          </w:p>
        </w:tc>
      </w:tr>
      <w:tr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BEEI</w:t>
            </w:r>
          </w:p>
        </w:tc>
        <w:tc>
          <w:tcPr>
            <w:tcW w:type="dxa" w:w="102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84.0</w:t>
            </w:r>
          </w:p>
        </w:tc>
        <w:tc>
          <w:tcPr>
            <w:tcW w:type="dxa" w:w="669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Mejor puntaje absoluto, pero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A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CIT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77.5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La mejor de las disponibles. Única con Q2 y factor de impacto de Web of Science verificados en la propia revista, y única que publica detección </w:t>
            </w:r>
            <w:r>
              <w:rPr>
                <w:b/>
                <w:color w:val="131B2E"/>
                <w:sz w:val="15"/>
              </w:rPr>
              <w:t>y mitigación</w:t>
            </w:r>
            <w:r>
              <w:rPr>
                <w:b w:val="0"/>
                <w:color w:val="131B2E"/>
                <w:sz w:val="15"/>
              </w:rPr>
              <w:t>. Su coste es el plazo: 3–6 meses hasta la primera decisión.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B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ISJ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77.0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Empata en pertinencia y </w:t>
            </w:r>
            <w:r>
              <w:rPr>
                <w:b/>
                <w:color w:val="131B2E"/>
                <w:sz w:val="15"/>
              </w:rPr>
              <w:t>no exige APC</w:t>
            </w:r>
            <w:r>
              <w:rPr>
                <w:b w:val="0"/>
                <w:color w:val="131B2E"/>
                <w:sz w:val="15"/>
              </w:rPr>
              <w:t xml:space="preserve"> por la vía de suscripción, pero publica solo 21 artículos al año: capacidad y probabilidad de aceptación mucho menores.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IJSSE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75.5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Encaje idéntico al de BEEI y ciclo rápido, pero menor visibilidad y APC del doble.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  <w:tr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Plan C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ICS</w:t>
            </w:r>
          </w:p>
        </w:tc>
        <w:tc>
          <w:tcPr>
            <w:tcW w:type="dxa" w:w="102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71.5</w:t>
            </w:r>
          </w:p>
        </w:tc>
        <w:tc>
          <w:tcPr>
            <w:tcW w:type="dxa" w:w="6690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El mayor prestigio (h-index 60), pero su centro editorial se inclina a factores humanos y sus datos siguen sin verificar.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IJACSA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>69.5</w:t>
            </w:r>
          </w:p>
        </w:tc>
        <w:tc>
          <w:tcPr>
            <w:tcW w:type="dxa" w:w="669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5"/>
              </w:rPr>
              <w:t xml:space="preserve">La más rápida, pero de alcance genérico, con el APC más alto y </w:t>
            </w:r>
            <w:r>
              <w:rPr>
                <w:b/>
                <w:color w:val="131B2E"/>
                <w:sz w:val="15"/>
              </w:rPr>
              <w:t>ya registrada</w:t>
            </w:r>
            <w:r>
              <w:rPr>
                <w:b w:val="0"/>
                <w:color w:val="131B2E"/>
                <w:sz w:val="15"/>
              </w:rPr>
              <w:t xml:space="preserve"> en la lista de control.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</w:r>
      <w:r>
        <w:rPr>
          <w:b/>
          <w:i/>
          <w:color w:val="5B6B8C"/>
          <w:sz w:val="16"/>
        </w:rPr>
        <w:t>El orden por debajo del Plan A es provisional.</w:t>
      </w:r>
      <w:r>
        <w:rPr>
          <w:b w:val="0"/>
          <w:i/>
          <w:color w:val="5B6B8C"/>
          <w:sz w:val="16"/>
        </w:rPr>
        <w:t xml:space="preserve"> Solo BEEI, IJSSE y CIT tienen sus datos sensibles verificados en fuente primaria; ISJ, ICS e IJACSA se puntuaron con fuentes secundarias, y completar esa verificación puede reordenarlas. La distancia entre CIT (77,5) y ISJ (77,0) es de medio punto: menor que el margen que puede mover una sola verificación pendiente.</w:t>
      </w:r>
    </w:p>
    <w:p>
      <w:pPr>
        <w:spacing w:before="180" w:after="60"/>
      </w:pPr>
      <w:r>
        <w:rPr>
          <w:b/>
          <w:color w:val="1F4E79"/>
          <w:sz w:val="23"/>
        </w:rPr>
        <w:t>6 · Justificación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CIT es el Plan A.</w:t>
      </w:r>
      <w:r>
        <w:rPr>
          <w:b w:val="0"/>
          <w:i w:val="0"/>
          <w:color w:val="131B2E"/>
          <w:sz w:val="17"/>
        </w:rPr>
        <w:t xml:space="preserve"> Con 77.5 puntos sobre 100 es la mejor puntuada entre las disponibles y la única candidata con los 6 datos sensibles verificados en la propia revista. BEEI puntúa más alto (84.0), pero queda fuera por el filtro de disponibilidad, no por una debilidad técnica.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Publica exactamente este problema</w:t>
      </w:r>
      <w:r>
        <w:rPr>
          <w:b w:val="0"/>
          <w:i w:val="0"/>
          <w:color w:val="131B2E"/>
          <w:sz w:val="17"/>
        </w:rPr>
        <w:t xml:space="preserve">, y no se infiere del alcance declarado sino de sus números: detección de intrusiones con IA explicable (2024), con redes convolucionales (2026), detección de DDoS entre conjuntos de datos (2026) y una arquitectura de detección </w:t>
      </w:r>
      <w:r>
        <w:rPr>
          <w:b/>
          <w:i w:val="0"/>
          <w:color w:val="131B2E"/>
          <w:sz w:val="17"/>
        </w:rPr>
        <w:t>y mitigación</w:t>
      </w:r>
      <w:r>
        <w:rPr>
          <w:b w:val="0"/>
          <w:i w:val="0"/>
          <w:color w:val="131B2E"/>
          <w:sz w:val="17"/>
        </w:rPr>
        <w:t xml:space="preserve"> de DDoS (2025). Esa última es el único antecedente, entre todas las candidatas, de un trabajo que no solo detecta sino que responde: el mismo par detección + control inline de este proyecto.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Doble indexación verificada:</w:t>
      </w:r>
      <w:r>
        <w:rPr>
          <w:b w:val="0"/>
          <w:i w:val="0"/>
          <w:color w:val="131B2E"/>
          <w:sz w:val="17"/>
        </w:rPr>
        <w:t xml:space="preserve"> es la única cuyo Q2 aparece confirmado en la propia revista junto a un factor de impacto de Web of Science (1,7 · Q3 · ESCI). Y su </w:t>
      </w:r>
      <w:r>
        <w:rPr>
          <w:b/>
          <w:i w:val="0"/>
          <w:color w:val="131B2E"/>
          <w:sz w:val="17"/>
        </w:rPr>
        <w:t>límite de 20 páginas</w:t>
      </w:r>
      <w:r>
        <w:rPr>
          <w:b w:val="0"/>
          <w:i w:val="0"/>
          <w:color w:val="131B2E"/>
          <w:sz w:val="17"/>
        </w:rPr>
        <w:t xml:space="preserve"> permite exponer las 28 variables, la calibración del umbral y la brecha entre error de laboratorio y de operación sin comprimir ni pagar por página adicional; en BEEI, con 8 páginas de base, ese contenido obligaría a recortar.</w:t>
      </w: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Lo que cuesta esa elección:</w:t>
      </w:r>
      <w:r>
        <w:rPr>
          <w:b w:val="0"/>
          <w:i w:val="0"/>
          <w:color w:val="131B2E"/>
          <w:sz w:val="17"/>
        </w:rPr>
        <w:t xml:space="preserve"> la primera decisión tarda de 3 a 6 meses, el plazo más largo del conjunto, y la revista publica unos 55 artículos al año frente a los ≈360 de BEEI. Si la fecha de sustentación manda sobre el indexado, el Plan A deja de ser el correcto y hay que revisar el peso de la viabilidad antes de enviar, no después.</w:t>
      </w:r>
    </w:p>
    <w:p>
      <w:pPr>
        <w:spacing w:after="80"/>
        <w:jc w:val="both"/>
      </w:pPr>
      <w:r>
        <w:rPr>
          <w:b w:val="0"/>
          <w:i/>
          <w:color w:val="131B2E"/>
          <w:sz w:val="17"/>
        </w:rPr>
      </w:r>
      <w:r>
        <w:rPr>
          <w:b/>
          <w:i/>
          <w:color w:val="131B2E"/>
          <w:sz w:val="17"/>
        </w:rPr>
        <w:t>ISJ queda como Plan B</w:t>
      </w:r>
      <w:r>
        <w:rPr>
          <w:b w:val="0"/>
          <w:i/>
          <w:color w:val="131B2E"/>
          <w:sz w:val="17"/>
        </w:rPr>
        <w:t xml:space="preserve"> porque no exige APC por la vía de suscripción: es la mejor alternativa si desaparece el presupuesto. La decisión </w:t>
      </w:r>
      <w:r>
        <w:rPr>
          <w:b/>
          <w:i/>
          <w:color w:val="131B2E"/>
          <w:sz w:val="17"/>
        </w:rPr>
        <w:t>no se tomó por cuartil</w:t>
      </w:r>
      <w:r>
        <w:rPr>
          <w:b w:val="0"/>
          <w:i/>
          <w:color w:val="131B2E"/>
          <w:sz w:val="17"/>
        </w:rPr>
        <w:t>; si la visibilidad hubiera pesado el 70 %, como es habitual, se habría perseguido prestigio a costa del encaje y del plazo.</w:t>
      </w:r>
    </w:p>
    <w:p>
      <w:pPr>
        <w:spacing w:before="180" w:after="60"/>
      </w:pPr>
      <w:r>
        <w:rPr>
          <w:b/>
          <w:color w:val="1F4E79"/>
          <w:sz w:val="23"/>
        </w:rPr>
        <w:t>7 · Pendientes antes del envío</w:t>
      </w:r>
    </w:p>
    <w:p>
      <w:pPr>
        <w:spacing w:after="80"/>
        <w:jc w:val="both"/>
      </w:pPr>
      <w:r>
        <w:rPr>
          <w:b w:val="0"/>
          <w:i w:val="0"/>
          <w:color w:val="131B2E"/>
          <w:sz w:val="16"/>
        </w:rPr>
      </w:r>
      <w:r>
        <w:rPr>
          <w:b/>
          <w:i w:val="0"/>
          <w:color w:val="131B2E"/>
          <w:sz w:val="16"/>
        </w:rPr>
        <w:t>Confirmar con la coordinación qué significa estar en la lista de control:</w:t>
      </w:r>
      <w:r>
        <w:rPr>
          <w:b w:val="0"/>
          <w:i w:val="0"/>
          <w:color w:val="131B2E"/>
          <w:sz w:val="16"/>
        </w:rPr>
        <w:t xml:space="preserve"> si inhabilita la revista o solo la registra. Toda la sección 2 depende de esa respuesta. · </w:t>
      </w:r>
      <w:r>
        <w:rPr>
          <w:b/>
          <w:i w:val="0"/>
          <w:color w:val="131B2E"/>
          <w:sz w:val="16"/>
        </w:rPr>
        <w:t>Preguntar por escrito a CIT si el APC de 600 EUR aplica por fecha de envío o de aceptación</w:t>
      </w:r>
      <w:r>
        <w:rPr>
          <w:b w:val="0"/>
          <w:i w:val="0"/>
          <w:color w:val="131B2E"/>
          <w:sz w:val="16"/>
        </w:rPr>
        <w:t xml:space="preserve">: la política dice «a partir del 1 de septiembre de 2026» sin precisar el disparador, y con 3 a 6 meses de revisión un envío de hoy se acepta después de esa fecha en cualquier escenario. · Pasar el manuscrito por un detector de texto generado por IA: CIT rechaza </w:t>
      </w:r>
      <w:r>
        <w:rPr>
          <w:b/>
          <w:i w:val="0"/>
          <w:color w:val="131B2E"/>
          <w:sz w:val="16"/>
        </w:rPr>
        <w:t>sin derecho a revisión</w:t>
      </w:r>
      <w:r>
        <w:rPr>
          <w:b w:val="0"/>
          <w:i w:val="0"/>
          <w:color w:val="131B2E"/>
          <w:sz w:val="16"/>
        </w:rPr>
        <w:t xml:space="preserve"> por encima del 20 %. · Completar en fuente primaria los datos de ISJ, ICS e IJACSA, hoy en 0 de 6. · Verificar el </w:t>
      </w:r>
      <w:r>
        <w:rPr>
          <w:b/>
          <w:i w:val="0"/>
          <w:color w:val="131B2E"/>
          <w:sz w:val="16"/>
        </w:rPr>
        <w:t>cuartil SJR</w:t>
      </w:r>
      <w:r>
        <w:rPr>
          <w:b w:val="0"/>
          <w:i w:val="0"/>
          <w:color w:val="131B2E"/>
          <w:sz w:val="16"/>
        </w:rPr>
        <w:t xml:space="preserve"> en Scimago: </w:t>
      </w:r>
      <w:r>
        <w:rPr>
          <w:b/>
          <w:i w:val="0"/>
          <w:color w:val="131B2E"/>
          <w:sz w:val="16"/>
        </w:rPr>
        <w:t>el percentil de Scopus no es el cuartil SJR</w:t>
      </w:r>
      <w:r>
        <w:rPr>
          <w:b w:val="0"/>
          <w:i w:val="0"/>
          <w:color w:val="131B2E"/>
          <w:sz w:val="16"/>
        </w:rPr>
        <w:t>. · Reverificar todos los APC: el de IJSSE pasó de USD 700 a USD 850 entre dos consultas.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Matriz detallada, con la ficha completa de cada candidata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Mapeo por secciones de 10 artículos de las dos primeras candidatas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2"/>
      <w:headerReference w:type="default" r:id="rId13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426"/>
      </w:tabs>
    </w:pPr>
    <w:r/>
    <w:r>
      <w:rPr>
        <w:color w:val="5B6B8C"/>
        <w:sz w:val="14"/>
      </w:rPr>
      <w:t>Matriz de decisión de revistas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9-matriz-revistas/matriz-decision-revistas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articulo/README.md" TargetMode="External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decisión de revistas</dc:title>
  <dc:subject>Investigación V · Sesión 04 · Revista objetivo y plan de respaldo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