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84000" cy="381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pe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381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color w:val="131B2E"/>
          <w:sz w:val="20"/>
        </w:rPr>
        <w:t>Universidad Peruana Unión</w:t>
      </w:r>
    </w:p>
    <w:p>
      <w:pPr>
        <w:spacing w:after="20"/>
        <w:jc w:val="center"/>
      </w:pPr>
      <w:r>
        <w:rPr>
          <w:b w:val="0"/>
          <w:color w:val="5B6B8C"/>
          <w:sz w:val="16"/>
        </w:rPr>
        <w:t>E.P. de Ingeniería de Sistemas · Investigación V · Sesión 04</w:t>
      </w:r>
    </w:p>
    <w:p>
      <w:pPr>
        <w:spacing w:before="120" w:after="40"/>
        <w:jc w:val="center"/>
      </w:pPr>
      <w:r>
        <w:rPr>
          <w:b/>
          <w:color w:val="1F4E79"/>
          <w:sz w:val="27"/>
        </w:rPr>
        <w:t>MI DECISIÓN FINAL: REVISTA OBJETIVO Y PLAN DE RESPALDO</w:t>
      </w:r>
    </w:p>
    <w:p>
      <w:pPr>
        <w:spacing w:after="160"/>
        <w:jc w:val="center"/>
      </w:pPr>
      <w:r>
        <w:rPr>
          <w:b w:val="0"/>
          <w:i w:val="0"/>
          <w:color w:val="5B6B8C"/>
          <w:sz w:val="16"/>
        </w:rPr>
        <w:t>Rubén Mark Salazar Tocas · Uziel Elias Sauñe Fernandez  ·  Datos consultados el 26 de agosto de 2026</w:t>
      </w:r>
    </w:p>
    <w:p>
      <w:pPr>
        <w:spacing w:before="180" w:after="60"/>
      </w:pPr>
      <w:r>
        <w:rPr>
          <w:b/>
          <w:color w:val="1F4E79"/>
          <w:sz w:val="23"/>
        </w:rPr>
        <w:t>1 · Filtro de legitimidad, aplicado antes de puntuar</w:t>
      </w:r>
    </w:p>
    <w:p>
      <w:pPr>
        <w:spacing w:after="80"/>
        <w:jc w:val="both"/>
      </w:pPr>
      <w:r>
        <w:rPr>
          <w:b w:val="0"/>
          <w:i w:val="0"/>
          <w:color w:val="131B2E"/>
          <w:sz w:val="17"/>
        </w:rPr>
        <w:t xml:space="preserve">La legitimidad </w:t>
      </w:r>
      <w:r>
        <w:rPr>
          <w:b/>
          <w:i w:val="0"/>
          <w:color w:val="131B2E"/>
          <w:sz w:val="17"/>
        </w:rPr>
        <w:t>no se pondera: es un filtro de entrada</w:t>
      </w:r>
      <w:r>
        <w:rPr>
          <w:b w:val="0"/>
          <w:i w:val="0"/>
          <w:color w:val="131B2E"/>
          <w:sz w:val="17"/>
        </w:rPr>
        <w:t>. Una candidata que no lo supera sale de la matriz por completo, sin importar cuánto puntúe en lo demás.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475"/>
        <w:gridCol w:w="3475"/>
        <w:gridCol w:w="3475"/>
      </w:tblGrid>
      <w:tr>
        <w:tc>
          <w:tcPr>
            <w:tcW w:type="dxa" w:w="1361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Revista</w:t>
            </w:r>
          </w:p>
        </w:tc>
        <w:tc>
          <w:tcPr>
            <w:tcW w:type="dxa" w:w="1701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703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Evidencia documental</w:t>
            </w:r>
          </w:p>
        </w:tc>
      </w:tr>
      <w:tr>
        <w:tc>
          <w:tcPr>
            <w:tcW w:type="dxa" w:w="136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BEEI</w:t>
            </w:r>
          </w:p>
        </w:tc>
        <w:tc>
          <w:tcPr>
            <w:tcW w:type="dxa" w:w="170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Supera</w:t>
            </w:r>
          </w:p>
        </w:tc>
        <w:tc>
          <w:tcPr>
            <w:tcW w:type="dxa" w:w="7030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ISSN confirmado, ficha activa en Scopus, política de revisión por pares publicada, archivo de números con DOI, APC transparente y editor identificable. Fuera de la lista de revistas depredadoras consultada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IJSSE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Supera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ISSN confirmado, ficha activa en Scopus, revisión double-blind declarada, archivo de números con DOI y página oficial de APC. Fuera de la lista de revistas depredadoras consultada</w:t>
            </w:r>
          </w:p>
        </w:tc>
      </w:tr>
      <w:tr>
        <w:tc>
          <w:tcPr>
            <w:tcW w:type="dxa" w:w="136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ISJ</w:t>
            </w:r>
          </w:p>
        </w:tc>
        <w:tc>
          <w:tcPr>
            <w:tcW w:type="dxa" w:w="170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Supera</w:t>
            </w:r>
          </w:p>
        </w:tc>
        <w:tc>
          <w:tcPr>
            <w:tcW w:type="dxa" w:w="7030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Editorial de trayectoria reconocida, ficha activa en Scopus e indexación adicional en ESCI. Fuera de la lista de revistas depredadoras consultada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ICS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Supera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Editorial de trayectoria reconocida y ficha activa en Scopus. Fuera de la lista de revistas depredadoras consultada</w:t>
            </w:r>
          </w:p>
        </w:tc>
      </w:tr>
      <w:tr>
        <w:tc>
          <w:tcPr>
            <w:tcW w:type="dxa" w:w="136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IJACSA</w:t>
            </w:r>
          </w:p>
        </w:tc>
        <w:tc>
          <w:tcPr>
            <w:tcW w:type="dxa" w:w="170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Supera con reserva</w:t>
            </w:r>
          </w:p>
        </w:tc>
        <w:tc>
          <w:tcPr>
            <w:tcW w:type="dxa" w:w="7030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Ficha activa en Scopus e indexación en WoS ESCI, y fuera de la lista de depredadoras consultada. Se registra que su reputación editorial es más discutida que la de las demás candidatas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CIT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Supera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ISSN confirmado, ficha activa en Scopus, indexación adicional en Web of Science ESCI, DOAJ, INSPEC, ACM Digital Library y Engineering Village; adhesión declarada a las Core Practices de COPE, revisión por pares en tres fases con cribado antiplagio iThenticate y archivo de números desde 2001. Fuera de la lista de revistas depredadoras consultada</w:t>
            </w:r>
          </w:p>
        </w:tc>
      </w:tr>
      <w:tr>
        <w:tc>
          <w:tcPr>
            <w:tcW w:type="dxa" w:w="136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IJIES</w:t>
            </w:r>
          </w:p>
        </w:tc>
        <w:tc>
          <w:tcPr>
            <w:tcW w:type="dxa" w:w="170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Supera con reserva</w:t>
            </w:r>
          </w:p>
        </w:tc>
        <w:tc>
          <w:tcPr>
            <w:tcW w:type="dxa" w:w="7030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 xml:space="preserve">ISSN confirmado, ficha en Scopus, política de revisión y tarifas publicadas, y </w:t>
            </w:r>
            <w:r>
              <w:rPr>
                <w:b/>
                <w:color w:val="131B2E"/>
                <w:sz w:val="15"/>
              </w:rPr>
              <w:t>publica su tasa de aceptación</w:t>
            </w:r>
            <w:r>
              <w:rPr>
                <w:b w:val="0"/>
                <w:color w:val="131B2E"/>
                <w:sz w:val="15"/>
              </w:rPr>
              <w:t xml:space="preserve">, transparencia poco habitual. Fuera de la lista de depredadoras. </w:t>
            </w:r>
            <w:r>
              <w:rPr>
                <w:b/>
                <w:color w:val="131B2E"/>
                <w:sz w:val="15"/>
              </w:rPr>
              <w:t>La reserva es concreta</w:t>
            </w:r>
            <w:r>
              <w:rPr>
                <w:b w:val="0"/>
                <w:color w:val="131B2E"/>
                <w:sz w:val="15"/>
              </w:rPr>
              <w:t>: hay que confirmar que su cobertura en Scopus sigue activa, porque TELKOMNIKA, IJECE e IJEECS —revistas del mismo perfil de alto volumen— fueron descontinuadas en 2025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IJIT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Supera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Editada por Springer Nature, con ficha activa en Scopus, política editorial pública y archivo mensual. Fuera de la lista de depredadoras. Su respaldo editorial elimina el riesgo de descontinuación que sí tienen las revistas independientes de alto volumen</w:t>
            </w:r>
          </w:p>
        </w:tc>
      </w:tr>
      <w:tr>
        <w:tc>
          <w:tcPr>
            <w:tcW w:type="dxa" w:w="136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ISI</w:t>
            </w:r>
          </w:p>
        </w:tc>
        <w:tc>
          <w:tcPr>
            <w:tcW w:type="dxa" w:w="170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Supera</w:t>
            </w:r>
          </w:p>
        </w:tc>
        <w:tc>
          <w:tcPr>
            <w:tcW w:type="dxa" w:w="7030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ISSN confirmado, ficha activa en Scopus, revisión double-blind declarada, doce números al año con archivo y DOI, y página oficial de APC. Mismo editor que IJSSE, cuyo proceso ya se había verificado. Fuera de la lista de depredadoras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/>
          <w:color w:val="5B6B8C"/>
          <w:sz w:val="16"/>
        </w:rPr>
      </w:r>
      <w:r>
        <w:rPr>
          <w:b/>
          <w:i/>
          <w:color w:val="5B6B8C"/>
          <w:sz w:val="16"/>
        </w:rPr>
        <w:t>Descartadas por el filtro:</w:t>
      </w:r>
      <w:r>
        <w:rPr>
          <w:b w:val="0"/>
          <w:i/>
          <w:color w:val="5B6B8C"/>
          <w:sz w:val="16"/>
        </w:rPr>
        <w:t xml:space="preserve"> IJCNIS, descontinuada de Scopus desde 2022 y presente en la lista de revistas depredadoras consultada; IJEECS, descontinuada de Scopus en 2025; y dos revistas Q4 que no compiten en ningún criterio.</w:t>
      </w:r>
    </w:p>
    <w:p>
      <w:pPr>
        <w:spacing w:before="180" w:after="60"/>
      </w:pPr>
      <w:r>
        <w:rPr>
          <w:b/>
          <w:color w:val="1F4E79"/>
          <w:sz w:val="23"/>
        </w:rPr>
        <w:t>2 · Filtro de disponibilidad: la lista de control de la coordinación</w:t>
      </w:r>
    </w:p>
    <w:p>
      <w:pPr>
        <w:spacing w:after="80"/>
        <w:jc w:val="both"/>
      </w:pPr>
      <w:r>
        <w:rPr>
          <w:b w:val="0"/>
          <w:i w:val="0"/>
          <w:color w:val="131B2E"/>
          <w:sz w:val="17"/>
        </w:rPr>
        <w:t xml:space="preserve">La coordinación mantiene una lista de control con 17 revistas ya registradas. Tres de las candidatas figuran en ella, así que la lista actúa como un </w:t>
      </w:r>
      <w:r>
        <w:rPr>
          <w:b/>
          <w:i w:val="0"/>
          <w:color w:val="131B2E"/>
          <w:sz w:val="17"/>
        </w:rPr>
        <w:t>segundo filtro de entrada</w:t>
      </w:r>
      <w:r>
        <w:rPr>
          <w:b w:val="0"/>
          <w:i w:val="0"/>
          <w:color w:val="131B2E"/>
          <w:sz w:val="17"/>
        </w:rPr>
        <w:t>: no cambia el puntaje de ninguna revista, decide cuáles siguen disponibles.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475"/>
        <w:gridCol w:w="3475"/>
        <w:gridCol w:w="3475"/>
      </w:tblGrid>
      <w:tr>
        <w:tc>
          <w:tcPr>
            <w:tcW w:type="dxa" w:w="1361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Revista</w:t>
            </w:r>
          </w:p>
        </w:tc>
        <w:tc>
          <w:tcPr>
            <w:tcW w:type="dxa" w:w="1928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Lista de control</w:t>
            </w:r>
          </w:p>
        </w:tc>
        <w:tc>
          <w:tcPr>
            <w:tcW w:type="dxa" w:w="6803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1361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BEEI</w:t>
            </w:r>
          </w:p>
        </w:tc>
        <w:tc>
          <w:tcPr>
            <w:tcW w:type="dxa" w:w="1928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Ya registrada</w:t>
            </w:r>
          </w:p>
        </w:tc>
        <w:tc>
          <w:tcPr>
            <w:tcW w:type="dxa" w:w="6803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N.º 8 de la lista de control institucional, registrada como Q1 · Indonesia · USD 385</w:t>
            </w:r>
          </w:p>
        </w:tc>
      </w:tr>
      <w:tr>
        <w:tc>
          <w:tcPr>
            <w:tcW w:type="dxa" w:w="1361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IJSSE</w:t>
            </w:r>
          </w:p>
        </w:tc>
        <w:tc>
          <w:tcPr>
            <w:tcW w:type="dxa" w:w="1928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Ya registrada</w:t>
            </w:r>
          </w:p>
        </w:tc>
        <w:tc>
          <w:tcPr>
            <w:tcW w:type="dxa" w:w="6803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N.º 7 de la lista de control institucional, registrada como Q3 · Reino Unido · USD 700</w:t>
            </w:r>
          </w:p>
        </w:tc>
      </w:tr>
      <w:tr>
        <w:tc>
          <w:tcPr>
            <w:tcW w:type="dxa" w:w="136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ISJ</w:t>
            </w:r>
          </w:p>
        </w:tc>
        <w:tc>
          <w:tcPr>
            <w:tcW w:type="dxa" w:w="1928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Disponible</w:t>
            </w:r>
          </w:p>
        </w:tc>
        <w:tc>
          <w:tcPr>
            <w:tcW w:type="dxa" w:w="6803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No figura entre las 17 revistas de la lista de control institucional</w:t>
            </w:r>
          </w:p>
        </w:tc>
      </w:tr>
      <w:tr>
        <w:tc>
          <w:tcPr>
            <w:tcW w:type="dxa" w:w="136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ICS</w:t>
            </w:r>
          </w:p>
        </w:tc>
        <w:tc>
          <w:tcPr>
            <w:tcW w:type="dxa" w:w="1928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Disponible</w:t>
            </w:r>
          </w:p>
        </w:tc>
        <w:tc>
          <w:tcPr>
            <w:tcW w:type="dxa" w:w="6803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No figura entre las 17 revistas de la lista de control institucional</w:t>
            </w:r>
          </w:p>
        </w:tc>
      </w:tr>
      <w:tr>
        <w:tc>
          <w:tcPr>
            <w:tcW w:type="dxa" w:w="1361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IJACSA</w:t>
            </w:r>
          </w:p>
        </w:tc>
        <w:tc>
          <w:tcPr>
            <w:tcW w:type="dxa" w:w="1928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Ya registrada</w:t>
            </w:r>
          </w:p>
        </w:tc>
        <w:tc>
          <w:tcPr>
            <w:tcW w:type="dxa" w:w="6803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N.º 5 de la lista de control institucional, registrada como Q3 · Reino Unido · USD 1 100</w:t>
            </w:r>
          </w:p>
        </w:tc>
      </w:tr>
      <w:tr>
        <w:tc>
          <w:tcPr>
            <w:tcW w:type="dxa" w:w="136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CIT</w:t>
            </w:r>
          </w:p>
        </w:tc>
        <w:tc>
          <w:tcPr>
            <w:tcW w:type="dxa" w:w="1928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Disponible</w:t>
            </w:r>
          </w:p>
        </w:tc>
        <w:tc>
          <w:tcPr>
            <w:tcW w:type="dxa" w:w="6803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No figura entre las 17 revistas de la lista de control institucional</w:t>
            </w:r>
          </w:p>
        </w:tc>
      </w:tr>
      <w:tr>
        <w:tc>
          <w:tcPr>
            <w:tcW w:type="dxa" w:w="136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IJIES</w:t>
            </w:r>
          </w:p>
        </w:tc>
        <w:tc>
          <w:tcPr>
            <w:tcW w:type="dxa" w:w="1928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Disponible</w:t>
            </w:r>
          </w:p>
        </w:tc>
        <w:tc>
          <w:tcPr>
            <w:tcW w:type="dxa" w:w="6803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No figura entre las 17 revistas de la lista de control institucional</w:t>
            </w:r>
          </w:p>
        </w:tc>
      </w:tr>
      <w:tr>
        <w:tc>
          <w:tcPr>
            <w:tcW w:type="dxa" w:w="136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IJIT</w:t>
            </w:r>
          </w:p>
        </w:tc>
        <w:tc>
          <w:tcPr>
            <w:tcW w:type="dxa" w:w="1928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Disponible</w:t>
            </w:r>
          </w:p>
        </w:tc>
        <w:tc>
          <w:tcPr>
            <w:tcW w:type="dxa" w:w="6803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No figura entre las 17 revistas de la lista de control institucional</w:t>
            </w:r>
          </w:p>
        </w:tc>
      </w:tr>
      <w:tr>
        <w:tc>
          <w:tcPr>
            <w:tcW w:type="dxa" w:w="136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ISI</w:t>
            </w:r>
          </w:p>
        </w:tc>
        <w:tc>
          <w:tcPr>
            <w:tcW w:type="dxa" w:w="1928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Disponible</w:t>
            </w:r>
          </w:p>
        </w:tc>
        <w:tc>
          <w:tcPr>
            <w:tcW w:type="dxa" w:w="6803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No figura entre las 17 revistas de la lista de control institucional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/>
          <w:color w:val="5B6B8C"/>
          <w:sz w:val="16"/>
        </w:rPr>
      </w:r>
      <w:r>
        <w:rPr>
          <w:b/>
          <w:i/>
          <w:color w:val="5B6B8C"/>
          <w:sz w:val="16"/>
        </w:rPr>
        <w:t>Se separa del puntaje a propósito.</w:t>
      </w:r>
      <w:r>
        <w:rPr>
          <w:b w:val="0"/>
          <w:i/>
          <w:color w:val="5B6B8C"/>
          <w:sz w:val="16"/>
        </w:rPr>
        <w:t xml:space="preserve"> Bajar la nota de una revista por estar en la lista mezclaría una restricción administrativa con una evaluación técnica y haría irreproducible la matriz. Nota aparte: la lista registra a BEEI como Q1 y el APC de IJSSE como USD 700; las fuentes oficiales consultadas el 26/08/2026 dan Q1 por CiteScore y Q3 por SJR, y USD 850. Las discrepancias se dejan a la vista.</w:t>
      </w:r>
    </w:p>
    <w:p>
      <w:pPr>
        <w:spacing w:before="180" w:after="60"/>
      </w:pPr>
      <w:r>
        <w:rPr>
          <w:b/>
          <w:color w:val="1F4E79"/>
          <w:sz w:val="23"/>
        </w:rPr>
        <w:t>3 · Criterios y pesos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475"/>
        <w:gridCol w:w="3475"/>
        <w:gridCol w:w="3475"/>
      </w:tblGrid>
      <w:tr>
        <w:tc>
          <w:tcPr>
            <w:tcW w:type="dxa" w:w="2268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907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type="dxa" w:w="6917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Regla de puntuación</w:t>
            </w:r>
          </w:p>
        </w:tc>
      </w:tr>
      <w:tr>
        <w:tc>
          <w:tcPr>
            <w:tcW w:type="dxa" w:w="2268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Pertinencia temática</w:t>
            </w:r>
          </w:p>
        </w:tc>
        <w:tc>
          <w:tcPr>
            <w:tcW w:type="dxa" w:w="90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30 %</w:t>
            </w:r>
          </w:p>
        </w:tc>
        <w:tc>
          <w:tcPr>
            <w:tcW w:type="dxa" w:w="691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Coincidencia entre el alcance editorial declarado y el problema, método y dominio del artículo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Visibilidad bibliométrica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25 %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CiteScore, percentil y cuartil SJR identificados por separado, con su fuente</w:t>
            </w:r>
          </w:p>
        </w:tc>
      </w:tr>
      <w:tr>
        <w:tc>
          <w:tcPr>
            <w:tcW w:type="dxa" w:w="2268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Viabilidad editorial</w:t>
            </w:r>
          </w:p>
        </w:tc>
        <w:tc>
          <w:tcPr>
            <w:tcW w:type="dxa" w:w="90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20 %</w:t>
            </w:r>
          </w:p>
        </w:tc>
        <w:tc>
          <w:tcPr>
            <w:tcW w:type="dxa" w:w="691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Tipo de revisión, tiempo declarado, periodicidad y capacidad de publicación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Costo y accesibilidad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15 %</w:t>
            </w:r>
          </w:p>
        </w:tc>
        <w:tc>
          <w:tcPr>
            <w:tcW w:type="dxa" w:w="691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APC vigente, cargos por página y acceso abierto</w:t>
            </w:r>
          </w:p>
        </w:tc>
      </w:tr>
      <w:tr>
        <w:tc>
          <w:tcPr>
            <w:tcW w:type="dxa" w:w="2268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Compatibilidad formal</w:t>
            </w:r>
          </w:p>
        </w:tc>
        <w:tc>
          <w:tcPr>
            <w:tcW w:type="dxa" w:w="90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10 %</w:t>
            </w:r>
          </w:p>
        </w:tc>
        <w:tc>
          <w:tcPr>
            <w:tcW w:type="dxa" w:w="691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Plantilla, límite de páginas y requisitos de envío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  <w:color w:val="131B2E"/>
          <w:sz w:val="16"/>
        </w:rPr>
      </w:r>
      <w:r>
        <w:rPr>
          <w:b/>
          <w:i w:val="0"/>
          <w:color w:val="131B2E"/>
          <w:sz w:val="16"/>
        </w:rPr>
        <w:t>Fórmula:</w:t>
      </w:r>
      <w:r>
        <w:rPr>
          <w:b w:val="0"/>
          <w:i w:val="0"/>
          <w:color w:val="131B2E"/>
          <w:sz w:val="16"/>
        </w:rPr>
        <w:t xml:space="preserve"> aporte = puntaje × peso / 10, con puntajes de 0 a 10 y total sobre 100. Ningún criterio supera el 30 %, por debajo del techo del 35–40 % recomendado. La pertinencia pesa más que la visibilidad </w:t>
      </w:r>
      <w:r>
        <w:rPr>
          <w:b/>
          <w:i w:val="0"/>
          <w:color w:val="131B2E"/>
          <w:sz w:val="16"/>
        </w:rPr>
        <w:t>a propósito</w:t>
      </w:r>
      <w:r>
        <w:rPr>
          <w:b w:val="0"/>
          <w:i w:val="0"/>
          <w:color w:val="131B2E"/>
          <w:sz w:val="16"/>
        </w:rPr>
        <w:t>: un mal encaje temático produce rechazo de escritorio por muy alto que sea el cuartil.</w:t>
      </w:r>
    </w:p>
    <w:p>
      <w:pPr>
        <w:spacing w:before="180" w:after="60"/>
      </w:pPr>
      <w:r>
        <w:rPr>
          <w:b/>
          <w:color w:val="1F4E79"/>
          <w:sz w:val="23"/>
        </w:rPr>
        <w:t>4 · Matriz de decisión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3061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Criterio (peso)</w:t>
            </w:r>
          </w:p>
        </w:tc>
        <w:tc>
          <w:tcPr>
            <w:tcW w:type="dxa" w:w="1417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IJIES</w:t>
            </w:r>
          </w:p>
        </w:tc>
        <w:tc>
          <w:tcPr>
            <w:tcW w:type="dxa" w:w="1417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BEEI</w:t>
            </w:r>
          </w:p>
        </w:tc>
        <w:tc>
          <w:tcPr>
            <w:tcW w:type="dxa" w:w="1417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ISJ</w:t>
            </w:r>
          </w:p>
        </w:tc>
        <w:tc>
          <w:tcPr>
            <w:tcW w:type="dxa" w:w="1417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IJIT</w:t>
            </w:r>
          </w:p>
        </w:tc>
        <w:tc>
          <w:tcPr>
            <w:tcW w:type="dxa" w:w="1417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CIT</w:t>
            </w:r>
          </w:p>
        </w:tc>
        <w:tc>
          <w:tcPr>
            <w:tcW w:type="dxa" w:w="1417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IJSSE</w:t>
            </w:r>
          </w:p>
        </w:tc>
        <w:tc>
          <w:tcPr>
            <w:tcW w:type="dxa" w:w="1417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ICS</w:t>
            </w:r>
          </w:p>
        </w:tc>
        <w:tc>
          <w:tcPr>
            <w:tcW w:type="dxa" w:w="1417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IJACSA</w:t>
            </w:r>
          </w:p>
        </w:tc>
        <w:tc>
          <w:tcPr>
            <w:tcW w:type="dxa" w:w="1417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ISI</w:t>
            </w:r>
          </w:p>
        </w:tc>
      </w:tr>
      <w:tr>
        <w:tc>
          <w:tcPr>
            <w:tcW w:type="dxa" w:w="306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Pertinencia temática (30 %)</w:t>
            </w:r>
          </w:p>
        </w:tc>
        <w:tc>
          <w:tcPr>
            <w:tcW w:type="dxa" w:w="141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9</w:t>
            </w:r>
          </w:p>
        </w:tc>
        <w:tc>
          <w:tcPr>
            <w:tcW w:type="dxa" w:w="141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9</w:t>
            </w:r>
          </w:p>
        </w:tc>
        <w:tc>
          <w:tcPr>
            <w:tcW w:type="dxa" w:w="141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9</w:t>
            </w:r>
          </w:p>
        </w:tc>
        <w:tc>
          <w:tcPr>
            <w:tcW w:type="dxa" w:w="141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8</w:t>
            </w:r>
          </w:p>
        </w:tc>
        <w:tc>
          <w:tcPr>
            <w:tcW w:type="dxa" w:w="141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9</w:t>
            </w:r>
          </w:p>
        </w:tc>
        <w:tc>
          <w:tcPr>
            <w:tcW w:type="dxa" w:w="141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9</w:t>
            </w:r>
          </w:p>
        </w:tc>
        <w:tc>
          <w:tcPr>
            <w:tcW w:type="dxa" w:w="141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6</w:t>
            </w:r>
          </w:p>
        </w:tc>
        <w:tc>
          <w:tcPr>
            <w:tcW w:type="dxa" w:w="141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6</w:t>
            </w:r>
          </w:p>
        </w:tc>
        <w:tc>
          <w:tcPr>
            <w:tcW w:type="dxa" w:w="141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7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Visibilidad bibliométrica (25 %)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7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7</w:t>
            </w:r>
          </w:p>
        </w:tc>
      </w:tr>
      <w:tr>
        <w:tc>
          <w:tcPr>
            <w:tcW w:type="dxa" w:w="306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Viabilidad editorial (20 %)</w:t>
            </w:r>
          </w:p>
        </w:tc>
        <w:tc>
          <w:tcPr>
            <w:tcW w:type="dxa" w:w="141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10</w:t>
            </w:r>
          </w:p>
        </w:tc>
        <w:tc>
          <w:tcPr>
            <w:tcW w:type="dxa" w:w="141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9</w:t>
            </w:r>
          </w:p>
        </w:tc>
        <w:tc>
          <w:tcPr>
            <w:tcW w:type="dxa" w:w="141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6</w:t>
            </w:r>
          </w:p>
        </w:tc>
        <w:tc>
          <w:tcPr>
            <w:tcW w:type="dxa" w:w="141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8</w:t>
            </w:r>
          </w:p>
        </w:tc>
        <w:tc>
          <w:tcPr>
            <w:tcW w:type="dxa" w:w="141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5</w:t>
            </w:r>
          </w:p>
        </w:tc>
        <w:tc>
          <w:tcPr>
            <w:tcW w:type="dxa" w:w="141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9</w:t>
            </w:r>
          </w:p>
        </w:tc>
        <w:tc>
          <w:tcPr>
            <w:tcW w:type="dxa" w:w="141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6</w:t>
            </w:r>
          </w:p>
        </w:tc>
        <w:tc>
          <w:tcPr>
            <w:tcW w:type="dxa" w:w="141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10</w:t>
            </w:r>
          </w:p>
        </w:tc>
        <w:tc>
          <w:tcPr>
            <w:tcW w:type="dxa" w:w="141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8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Costo y accesibilidad (15 %)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9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8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10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10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6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5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10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5</w:t>
            </w:r>
          </w:p>
        </w:tc>
      </w:tr>
      <w:tr>
        <w:tc>
          <w:tcPr>
            <w:tcW w:type="dxa" w:w="306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Compatibilidad formal (10 %)</w:t>
            </w:r>
          </w:p>
        </w:tc>
        <w:tc>
          <w:tcPr>
            <w:tcW w:type="dxa" w:w="141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7</w:t>
            </w:r>
          </w:p>
        </w:tc>
        <w:tc>
          <w:tcPr>
            <w:tcW w:type="dxa" w:w="141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7</w:t>
            </w:r>
          </w:p>
        </w:tc>
        <w:tc>
          <w:tcPr>
            <w:tcW w:type="dxa" w:w="141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7</w:t>
            </w:r>
          </w:p>
        </w:tc>
        <w:tc>
          <w:tcPr>
            <w:tcW w:type="dxa" w:w="141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7</w:t>
            </w:r>
          </w:p>
        </w:tc>
        <w:tc>
          <w:tcPr>
            <w:tcW w:type="dxa" w:w="141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9</w:t>
            </w:r>
          </w:p>
        </w:tc>
        <w:tc>
          <w:tcPr>
            <w:tcW w:type="dxa" w:w="141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8</w:t>
            </w:r>
          </w:p>
        </w:tc>
        <w:tc>
          <w:tcPr>
            <w:tcW w:type="dxa" w:w="141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6</w:t>
            </w:r>
          </w:p>
        </w:tc>
        <w:tc>
          <w:tcPr>
            <w:tcW w:type="dxa" w:w="141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7</w:t>
            </w:r>
          </w:p>
        </w:tc>
        <w:tc>
          <w:tcPr>
            <w:tcW w:type="dxa" w:w="141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7</w:t>
            </w:r>
          </w:p>
        </w:tc>
      </w:tr>
      <w:tr>
        <w:tc>
          <w:tcPr>
            <w:tcW w:type="dxa" w:w="306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PUNTAJE PONDERADO</w:t>
            </w:r>
          </w:p>
        </w:tc>
        <w:tc>
          <w:tcPr>
            <w:tcW w:type="dxa" w:w="1417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</w:r>
            <w:r>
              <w:rPr>
                <w:b/>
                <w:color w:val="131B2E"/>
                <w:sz w:val="15"/>
              </w:rPr>
              <w:t>87.5</w:t>
            </w:r>
            <w:r>
              <w:rPr>
                <w:b w:val="0"/>
                <w:color w:val="131B2E"/>
                <w:sz w:val="15"/>
              </w:rPr>
            </w:r>
          </w:p>
        </w:tc>
        <w:tc>
          <w:tcPr>
            <w:tcW w:type="dxa" w:w="1417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</w:r>
            <w:r>
              <w:rPr>
                <w:b/>
                <w:color w:val="131B2E"/>
                <w:sz w:val="15"/>
              </w:rPr>
              <w:t>84.0</w:t>
            </w:r>
            <w:r>
              <w:rPr>
                <w:b w:val="0"/>
                <w:color w:val="131B2E"/>
                <w:sz w:val="15"/>
              </w:rPr>
            </w:r>
          </w:p>
        </w:tc>
        <w:tc>
          <w:tcPr>
            <w:tcW w:type="dxa" w:w="1417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</w:r>
            <w:r>
              <w:rPr>
                <w:b/>
                <w:color w:val="131B2E"/>
                <w:sz w:val="15"/>
              </w:rPr>
              <w:t>81.0</w:t>
            </w:r>
            <w:r>
              <w:rPr>
                <w:b w:val="0"/>
                <w:color w:val="131B2E"/>
                <w:sz w:val="15"/>
              </w:rPr>
            </w:r>
          </w:p>
        </w:tc>
        <w:tc>
          <w:tcPr>
            <w:tcW w:type="dxa" w:w="1417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</w:r>
            <w:r>
              <w:rPr>
                <w:b/>
                <w:color w:val="131B2E"/>
                <w:sz w:val="15"/>
              </w:rPr>
              <w:t>79.5</w:t>
            </w:r>
            <w:r>
              <w:rPr>
                <w:b w:val="0"/>
                <w:color w:val="131B2E"/>
                <w:sz w:val="15"/>
              </w:rPr>
            </w:r>
          </w:p>
        </w:tc>
        <w:tc>
          <w:tcPr>
            <w:tcW w:type="dxa" w:w="1417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</w:r>
            <w:r>
              <w:rPr>
                <w:b/>
                <w:color w:val="131B2E"/>
                <w:sz w:val="15"/>
              </w:rPr>
              <w:t>77.5</w:t>
            </w:r>
            <w:r>
              <w:rPr>
                <w:b w:val="0"/>
                <w:color w:val="131B2E"/>
                <w:sz w:val="15"/>
              </w:rPr>
            </w:r>
          </w:p>
        </w:tc>
        <w:tc>
          <w:tcPr>
            <w:tcW w:type="dxa" w:w="1417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</w:r>
            <w:r>
              <w:rPr>
                <w:b/>
                <w:color w:val="131B2E"/>
                <w:sz w:val="15"/>
              </w:rPr>
              <w:t>75.5</w:t>
            </w:r>
            <w:r>
              <w:rPr>
                <w:b w:val="0"/>
                <w:color w:val="131B2E"/>
                <w:sz w:val="15"/>
              </w:rPr>
            </w:r>
          </w:p>
        </w:tc>
        <w:tc>
          <w:tcPr>
            <w:tcW w:type="dxa" w:w="1417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</w:r>
            <w:r>
              <w:rPr>
                <w:b/>
                <w:color w:val="131B2E"/>
                <w:sz w:val="15"/>
              </w:rPr>
              <w:t>73.5</w:t>
            </w:r>
            <w:r>
              <w:rPr>
                <w:b w:val="0"/>
                <w:color w:val="131B2E"/>
                <w:sz w:val="15"/>
              </w:rPr>
            </w:r>
          </w:p>
        </w:tc>
        <w:tc>
          <w:tcPr>
            <w:tcW w:type="dxa" w:w="1417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</w:r>
            <w:r>
              <w:rPr>
                <w:b/>
                <w:color w:val="131B2E"/>
                <w:sz w:val="15"/>
              </w:rPr>
              <w:t>69.5</w:t>
            </w:r>
            <w:r>
              <w:rPr>
                <w:b w:val="0"/>
                <w:color w:val="131B2E"/>
                <w:sz w:val="15"/>
              </w:rPr>
            </w:r>
          </w:p>
        </w:tc>
        <w:tc>
          <w:tcPr>
            <w:tcW w:type="dxa" w:w="1417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</w:r>
            <w:r>
              <w:rPr>
                <w:b/>
                <w:color w:val="131B2E"/>
                <w:sz w:val="15"/>
              </w:rPr>
              <w:t>69.0</w:t>
            </w:r>
            <w:r>
              <w:rPr>
                <w:b w:val="0"/>
                <w:color w:val="131B2E"/>
                <w:sz w:val="15"/>
              </w:rPr>
            </w:r>
          </w:p>
        </w:tc>
      </w:tr>
      <w:tr>
        <w:tc>
          <w:tcPr>
            <w:tcW w:type="dxa" w:w="3061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Datos con fuente primaria</w:t>
            </w:r>
          </w:p>
        </w:tc>
        <w:tc>
          <w:tcPr>
            <w:tcW w:type="dxa" w:w="1417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5/6</w:t>
            </w:r>
          </w:p>
        </w:tc>
        <w:tc>
          <w:tcPr>
            <w:tcW w:type="dxa" w:w="1417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5/6</w:t>
            </w:r>
          </w:p>
        </w:tc>
        <w:tc>
          <w:tcPr>
            <w:tcW w:type="dxa" w:w="1417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0/6</w:t>
            </w:r>
          </w:p>
        </w:tc>
        <w:tc>
          <w:tcPr>
            <w:tcW w:type="dxa" w:w="1417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0/6</w:t>
            </w:r>
          </w:p>
        </w:tc>
        <w:tc>
          <w:tcPr>
            <w:tcW w:type="dxa" w:w="1417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6/6</w:t>
            </w:r>
          </w:p>
        </w:tc>
        <w:tc>
          <w:tcPr>
            <w:tcW w:type="dxa" w:w="1417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5/6</w:t>
            </w:r>
          </w:p>
        </w:tc>
        <w:tc>
          <w:tcPr>
            <w:tcW w:type="dxa" w:w="1417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0/6</w:t>
            </w:r>
          </w:p>
        </w:tc>
        <w:tc>
          <w:tcPr>
            <w:tcW w:type="dxa" w:w="1417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0/6</w:t>
            </w:r>
          </w:p>
        </w:tc>
        <w:tc>
          <w:tcPr>
            <w:tcW w:type="dxa" w:w="1417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5/6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b/>
          <w:color w:val="1F4E79"/>
          <w:sz w:val="23"/>
        </w:rPr>
        <w:t>5 · Filtro de acceso abierto</w:t>
      </w:r>
    </w:p>
    <w:p>
      <w:pPr>
        <w:spacing w:after="80"/>
        <w:jc w:val="both"/>
      </w:pPr>
      <w:r>
        <w:rPr>
          <w:b w:val="0"/>
          <w:i w:val="0"/>
          <w:color w:val="131B2E"/>
          <w:sz w:val="17"/>
        </w:rPr>
        <w:t>Requisito del autor, 01/09/2026: si no es de acceso abierto, se descarta. Tercer filtro de entrada — no toca ningún puntaje, decide quién sigue en carrera. Medido con OpenAlex sobre todo lo publicado desde el 1 de enero de 2025, más una descarga real de PDF sin sesión iniciada.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361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Revista</w:t>
            </w:r>
          </w:p>
        </w:tc>
        <w:tc>
          <w:tcPr>
            <w:tcW w:type="dxa" w:w="1361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928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Cerrados</w:t>
            </w:r>
          </w:p>
        </w:tc>
        <w:tc>
          <w:tcPr>
            <w:tcW w:type="dxa" w:w="1701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Licencia</w:t>
            </w:r>
          </w:p>
        </w:tc>
        <w:tc>
          <w:tcPr>
            <w:tcW w:type="dxa" w:w="3742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Veredicto</w:t>
            </w:r>
          </w:p>
        </w:tc>
      </w:tr>
      <w:tr>
        <w:tc>
          <w:tcPr>
            <w:tcW w:type="dxa" w:w="136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BEEI</w:t>
            </w:r>
          </w:p>
        </w:tc>
        <w:tc>
          <w:tcPr>
            <w:tcW w:type="dxa" w:w="136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Diamante</w:t>
            </w:r>
          </w:p>
        </w:tc>
        <w:tc>
          <w:tcPr>
            <w:tcW w:type="dxa" w:w="1928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0/682 (0.0 %)</w:t>
            </w:r>
          </w:p>
        </w:tc>
        <w:tc>
          <w:tcPr>
            <w:tcW w:type="dxa" w:w="170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CC BY-SA</w:t>
            </w:r>
          </w:p>
        </w:tc>
        <w:tc>
          <w:tcPr>
            <w:tcW w:type="dxa" w:w="3742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Pasa</w:t>
            </w:r>
          </w:p>
        </w:tc>
      </w:tr>
      <w:tr>
        <w:tc>
          <w:tcPr>
            <w:tcW w:type="dxa" w:w="136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IJACSA</w:t>
            </w:r>
          </w:p>
        </w:tc>
        <w:tc>
          <w:tcPr>
            <w:tcW w:type="dxa" w:w="136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Diamante</w:t>
            </w:r>
          </w:p>
        </w:tc>
        <w:tc>
          <w:tcPr>
            <w:tcW w:type="dxa" w:w="1928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0/2156 (0.0 %)</w:t>
            </w:r>
          </w:p>
        </w:tc>
        <w:tc>
          <w:tcPr>
            <w:tcW w:type="dxa" w:w="170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—</w:t>
            </w:r>
          </w:p>
        </w:tc>
        <w:tc>
          <w:tcPr>
            <w:tcW w:type="dxa" w:w="3742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Pasa</w:t>
            </w:r>
          </w:p>
        </w:tc>
      </w:tr>
      <w:tr>
        <w:tc>
          <w:tcPr>
            <w:tcW w:type="dxa" w:w="136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CIT</w:t>
            </w:r>
          </w:p>
        </w:tc>
        <w:tc>
          <w:tcPr>
            <w:tcW w:type="dxa" w:w="136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Diamante</w:t>
            </w:r>
          </w:p>
        </w:tc>
        <w:tc>
          <w:tcPr>
            <w:tcW w:type="dxa" w:w="1928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0/58 (0.0 %)</w:t>
            </w:r>
          </w:p>
        </w:tc>
        <w:tc>
          <w:tcPr>
            <w:tcW w:type="dxa" w:w="170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CC BY</w:t>
            </w:r>
          </w:p>
        </w:tc>
        <w:tc>
          <w:tcPr>
            <w:tcW w:type="dxa" w:w="3742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Pasa</w:t>
            </w:r>
          </w:p>
        </w:tc>
      </w:tr>
      <w:tr>
        <w:tc>
          <w:tcPr>
            <w:tcW w:type="dxa" w:w="136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IJIES</w:t>
            </w:r>
          </w:p>
        </w:tc>
        <w:tc>
          <w:tcPr>
            <w:tcW w:type="dxa" w:w="136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Bronce</w:t>
            </w:r>
          </w:p>
        </w:tc>
        <w:tc>
          <w:tcPr>
            <w:tcW w:type="dxa" w:w="1928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75/1098 (6.8 %)</w:t>
            </w:r>
          </w:p>
        </w:tc>
        <w:tc>
          <w:tcPr>
            <w:tcW w:type="dxa" w:w="170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ninguna</w:t>
            </w:r>
          </w:p>
        </w:tc>
        <w:tc>
          <w:tcPr>
            <w:tcW w:type="dxa" w:w="3742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Pasa</w:t>
            </w:r>
          </w:p>
        </w:tc>
      </w:tr>
      <w:tr>
        <w:tc>
          <w:tcPr>
            <w:tcW w:type="dxa" w:w="136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IJSSE</w:t>
            </w:r>
          </w:p>
        </w:tc>
        <w:tc>
          <w:tcPr>
            <w:tcW w:type="dxa" w:w="136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Híbrido</w:t>
            </w:r>
          </w:p>
        </w:tc>
        <w:tc>
          <w:tcPr>
            <w:tcW w:type="dxa" w:w="1928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34/400 (8.5 %)</w:t>
            </w:r>
          </w:p>
        </w:tc>
        <w:tc>
          <w:tcPr>
            <w:tcW w:type="dxa" w:w="170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CC BY</w:t>
            </w:r>
          </w:p>
        </w:tc>
        <w:tc>
          <w:tcPr>
            <w:tcW w:type="dxa" w:w="3742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Pasa</w:t>
            </w:r>
          </w:p>
        </w:tc>
      </w:tr>
      <w:tr>
        <w:tc>
          <w:tcPr>
            <w:tcW w:type="dxa" w:w="136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ISI</w:t>
            </w:r>
          </w:p>
        </w:tc>
        <w:tc>
          <w:tcPr>
            <w:tcW w:type="dxa" w:w="136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Híbrido</w:t>
            </w:r>
          </w:p>
        </w:tc>
        <w:tc>
          <w:tcPr>
            <w:tcW w:type="dxa" w:w="1928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81/521 (15.5 %)</w:t>
            </w:r>
          </w:p>
        </w:tc>
        <w:tc>
          <w:tcPr>
            <w:tcW w:type="dxa" w:w="170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CC BY</w:t>
            </w:r>
          </w:p>
        </w:tc>
        <w:tc>
          <w:tcPr>
            <w:tcW w:type="dxa" w:w="3742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Pasa</w:t>
            </w:r>
          </w:p>
        </w:tc>
      </w:tr>
      <w:tr>
        <w:tc>
          <w:tcPr>
            <w:tcW w:type="dxa" w:w="136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ICS</w:t>
            </w:r>
          </w:p>
        </w:tc>
        <w:tc>
          <w:tcPr>
            <w:tcW w:type="dxa" w:w="136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Cerrado</w:t>
            </w:r>
          </w:p>
        </w:tc>
        <w:tc>
          <w:tcPr>
            <w:tcW w:type="dxa" w:w="1928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79/101 (78.2 %)</w:t>
            </w:r>
          </w:p>
        </w:tc>
        <w:tc>
          <w:tcPr>
            <w:tcW w:type="dxa" w:w="170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—</w:t>
            </w:r>
          </w:p>
        </w:tc>
        <w:tc>
          <w:tcPr>
            <w:tcW w:type="dxa" w:w="3742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DESCARTADA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ISJ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Cerrado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89/101 (88.1 %)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—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DESCARTADA</w:t>
            </w:r>
          </w:p>
        </w:tc>
      </w:tr>
      <w:tr>
        <w:tc>
          <w:tcPr>
            <w:tcW w:type="dxa" w:w="136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IJIT</w:t>
            </w:r>
          </w:p>
        </w:tc>
        <w:tc>
          <w:tcPr>
            <w:tcW w:type="dxa" w:w="136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Cerrado</w:t>
            </w:r>
          </w:p>
        </w:tc>
        <w:tc>
          <w:tcPr>
            <w:tcW w:type="dxa" w:w="1928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648/714 (90.8 %)</w:t>
            </w:r>
          </w:p>
        </w:tc>
        <w:tc>
          <w:tcPr>
            <w:tcW w:type="dxa" w:w="170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—</w:t>
            </w:r>
          </w:p>
        </w:tc>
        <w:tc>
          <w:tcPr>
            <w:tcW w:type="dxa" w:w="3742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DESCARTADA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/>
          <w:color w:val="5B6B8C"/>
          <w:sz w:val="16"/>
        </w:rPr>
        <w:t>Caen tres: IJIT, ISJ e ICS. Las tres eran gratuitas para el autor por la vía de suscripción, y eso las hacía atractivas en el criterio de costo. El filtro deja a la vista lo que ese ahorro costaba: entre el 78 % y el 91 % de sus artículos no los puede leer nadie sin suscripción institucional. Gratis para el autor y abierto para el lector son cosas distintas.</w:t>
      </w:r>
    </w:p>
    <w:p>
      <w:pPr>
        <w:spacing w:before="180" w:after="60"/>
      </w:pPr>
      <w:r>
        <w:rPr>
          <w:b/>
          <w:color w:val="1F4E79"/>
          <w:sz w:val="23"/>
        </w:rPr>
        <w:t>6 · Plan A, B, C y D</w:t>
      </w:r>
    </w:p>
    <w:p>
      <w:pPr>
        <w:spacing w:after="80"/>
        <w:jc w:val="both"/>
      </w:pPr>
      <w:r>
        <w:rPr>
          <w:b w:val="0"/>
          <w:i w:val="0"/>
          <w:color w:val="131B2E"/>
          <w:sz w:val="16"/>
        </w:rPr>
        <w:t>Los cuatro planes los fijó el autor el 01/09/2026 entre las candidatas que superan los tres filtros. No se derivan del puntaje: se derivan de una decisión, y el puntaje queda al lado para que la diferencia se pueda discutir.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02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Revista</w:t>
            </w:r>
          </w:p>
        </w:tc>
        <w:tc>
          <w:tcPr>
            <w:tcW w:type="dxa" w:w="96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Puntaje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Acceso</w:t>
            </w:r>
          </w:p>
        </w:tc>
        <w:tc>
          <w:tcPr>
            <w:tcW w:type="dxa" w:w="1077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En la lista</w:t>
            </w:r>
          </w:p>
        </w:tc>
        <w:tc>
          <w:tcPr>
            <w:tcW w:type="dxa" w:w="4762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Por qué en esa posición</w:t>
            </w:r>
          </w:p>
        </w:tc>
      </w:tr>
      <w:tr>
        <w:tc>
          <w:tcPr>
            <w:tcW w:type="dxa" w:w="1020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Plan A</w:t>
            </w:r>
          </w:p>
        </w:tc>
        <w:tc>
          <w:tcPr>
            <w:tcW w:type="dxa" w:w="1134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IJIES</w:t>
            </w:r>
          </w:p>
        </w:tc>
        <w:tc>
          <w:tcPr>
            <w:tcW w:type="dxa" w:w="964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87.5</w:t>
            </w:r>
          </w:p>
        </w:tc>
        <w:tc>
          <w:tcPr>
            <w:tcW w:type="dxa" w:w="1134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Bronce</w:t>
            </w:r>
          </w:p>
        </w:tc>
        <w:tc>
          <w:tcPr>
            <w:tcW w:type="dxa" w:w="1077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No</w:t>
            </w:r>
          </w:p>
        </w:tc>
        <w:tc>
          <w:tcPr>
            <w:tcW w:type="dxa" w:w="4762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Mayor volumen del conjunto abierto (556 al año), APC más bajo (USD 300) y publicación 2 meses tras la aceptación. Reservas: confirmar Scopus, y su acceso abierto es bronce sin licencia, el más débil de los cuatro.</w:t>
            </w:r>
          </w:p>
        </w:tc>
      </w:tr>
      <w:tr>
        <w:tc>
          <w:tcPr>
            <w:tcW w:type="dxa" w:w="1020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Plan B</w:t>
            </w:r>
          </w:p>
        </w:tc>
        <w:tc>
          <w:tcPr>
            <w:tcW w:type="dxa" w:w="1134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ISI</w:t>
            </w:r>
          </w:p>
        </w:tc>
        <w:tc>
          <w:tcPr>
            <w:tcW w:type="dxa" w:w="964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69.0</w:t>
            </w:r>
          </w:p>
        </w:tc>
        <w:tc>
          <w:tcPr>
            <w:tcW w:type="dxa" w:w="1134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Híbrido</w:t>
            </w:r>
          </w:p>
        </w:tc>
        <w:tc>
          <w:tcPr>
            <w:tcW w:type="dxa" w:w="1077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No</w:t>
            </w:r>
          </w:p>
        </w:tc>
        <w:tc>
          <w:tcPr>
            <w:tcW w:type="dxa" w:w="4762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Único Q3 verificado, 305 artículos al año, licencia CC BY y PDF de descarga libre comprobada. En contra: APC de USD 850, 6-12 páginas y ningún plazo de revisión declarado.</w:t>
            </w:r>
          </w:p>
        </w:tc>
      </w:tr>
      <w:tr>
        <w:tc>
          <w:tcPr>
            <w:tcW w:type="dxa" w:w="1020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Plan C</w:t>
            </w:r>
          </w:p>
        </w:tc>
        <w:tc>
          <w:tcPr>
            <w:tcW w:type="dxa" w:w="1134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BEEI</w:t>
            </w:r>
          </w:p>
        </w:tc>
        <w:tc>
          <w:tcPr>
            <w:tcW w:type="dxa" w:w="964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84.0</w:t>
            </w:r>
          </w:p>
        </w:tc>
        <w:tc>
          <w:tcPr>
            <w:tcW w:type="dxa" w:w="1134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Diamante</w:t>
            </w:r>
          </w:p>
        </w:tc>
        <w:tc>
          <w:tcPr>
            <w:tcW w:type="dxa" w:w="1077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SÍ</w:t>
            </w:r>
          </w:p>
        </w:tc>
        <w:tc>
          <w:tcPr>
            <w:tcW w:type="dxa" w:w="4762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El acceso abierto más sólido de los cuatro: diamante, CC BY-SA, cero cerrados y declaración explícita en portada. Segundo mejor puntaje absoluto y 377 artículos en 2025. Su única objeción es administrativa: está en la lista.</w:t>
            </w:r>
          </w:p>
        </w:tc>
      </w:tr>
      <w:tr>
        <w:tc>
          <w:tcPr>
            <w:tcW w:type="dxa" w:w="1020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Plan D</w:t>
            </w:r>
          </w:p>
        </w:tc>
        <w:tc>
          <w:tcPr>
            <w:tcW w:type="dxa" w:w="1134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IJSSE</w:t>
            </w:r>
          </w:p>
        </w:tc>
        <w:tc>
          <w:tcPr>
            <w:tcW w:type="dxa" w:w="964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75.5</w:t>
            </w:r>
          </w:p>
        </w:tc>
        <w:tc>
          <w:tcPr>
            <w:tcW w:type="dxa" w:w="1134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Híbrido</w:t>
            </w:r>
          </w:p>
        </w:tc>
        <w:tc>
          <w:tcPr>
            <w:tcW w:type="dxa" w:w="1077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SÍ</w:t>
            </w:r>
          </w:p>
        </w:tc>
        <w:tc>
          <w:tcPr>
            <w:tcW w:type="dxa" w:w="4762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Encaje idéntico al de BEEI, ciclo rápido y licencia CC BY. Menor visibilidad (CiteScore 2,8 frente a 4,2) y APC del doble. También está en la lista.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/>
          <w:color w:val="5B6B8C"/>
          <w:sz w:val="16"/>
        </w:rPr>
        <w:t>Dos tensiones que el autor asume. (1) El Plan A es el acceso abierto más débil de los cuatro: IJIES encabeza por puntaje, volumen y precio, pero su acceso es bronce sin licencia y fuera de DOAJ; BEEI, el Plan C, es el más sólido en esto. Si se busca acceso abierto en sentido estricto, el orden se invertiría. (2) Los Planes C y D figuran en la lista de control de la coordinación, y volver a incluirlos depende de una pregunta sin responder: si la lista inhabilita la revista o solo registra lo ya publicado.</w:t>
      </w:r>
    </w:p>
    <w:p>
      <w:pPr>
        <w:spacing w:before="180" w:after="60"/>
      </w:pPr>
      <w:r>
        <w:rPr>
          <w:b/>
          <w:color w:val="1F4E79"/>
          <w:sz w:val="23"/>
        </w:rPr>
        <w:t>7 · Justificación</w:t>
      </w:r>
    </w:p>
    <w:p>
      <w:pPr>
        <w:spacing w:after="80"/>
        <w:jc w:val="both"/>
      </w:pPr>
      <w:r>
        <w:rPr>
          <w:b w:val="0"/>
          <w:i w:val="0"/>
          <w:color w:val="131B2E"/>
          <w:sz w:val="17"/>
        </w:rPr>
      </w:r>
      <w:r>
        <w:rPr>
          <w:b/>
          <w:i w:val="0"/>
          <w:color w:val="131B2E"/>
          <w:sz w:val="17"/>
        </w:rPr>
        <w:t>IJIES encabeza con 87.5 puntos sobre 100</w:t>
      </w:r>
      <w:r>
        <w:rPr>
          <w:b w:val="0"/>
          <w:i w:val="0"/>
          <w:color w:val="131B2E"/>
          <w:sz w:val="17"/>
        </w:rPr>
        <w:t>, la puntuación más alta de las nueve, por delante de BEEI (84.0). Es además la única de las cuatro elegidas sin objeción administrativa pendiente.</w:t>
      </w:r>
    </w:p>
    <w:p>
      <w:pPr>
        <w:spacing w:after="80"/>
        <w:jc w:val="both"/>
      </w:pPr>
      <w:r>
        <w:rPr>
          <w:b w:val="0"/>
          <w:i w:val="0"/>
          <w:color w:val="131B2E"/>
          <w:sz w:val="17"/>
        </w:rPr>
      </w:r>
      <w:r>
        <w:rPr>
          <w:b/>
          <w:i w:val="0"/>
          <w:color w:val="131B2E"/>
          <w:sz w:val="17"/>
        </w:rPr>
        <w:t>Volumen anual, medido con OpenAlex para que todas se cuenten igual:</w:t>
      </w:r>
      <w:r>
        <w:rPr>
          <w:b w:val="0"/>
          <w:i w:val="0"/>
          <w:color w:val="131B2E"/>
          <w:sz w:val="17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928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Revista</w:t>
            </w:r>
          </w:p>
        </w:tc>
        <w:tc>
          <w:tcPr>
            <w:tcW w:type="dxa" w:w="1077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2023</w:t>
            </w:r>
          </w:p>
        </w:tc>
        <w:tc>
          <w:tcPr>
            <w:tcW w:type="dxa" w:w="1077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2024</w:t>
            </w:r>
          </w:p>
        </w:tc>
        <w:tc>
          <w:tcPr>
            <w:tcW w:type="dxa" w:w="1077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2025</w:t>
            </w:r>
          </w:p>
        </w:tc>
        <w:tc>
          <w:tcPr>
            <w:tcW w:type="dxa" w:w="1077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2026</w:t>
            </w:r>
          </w:p>
        </w:tc>
        <w:tc>
          <w:tcPr>
            <w:tcW w:type="dxa" w:w="1701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928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IJIES</w:t>
            </w:r>
          </w:p>
        </w:tc>
        <w:tc>
          <w:tcPr>
            <w:tcW w:type="dxa" w:w="1077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389</w:t>
            </w:r>
          </w:p>
        </w:tc>
        <w:tc>
          <w:tcPr>
            <w:tcW w:type="dxa" w:w="1077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481</w:t>
            </w:r>
          </w:p>
        </w:tc>
        <w:tc>
          <w:tcPr>
            <w:tcW w:type="dxa" w:w="1077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556</w:t>
            </w:r>
          </w:p>
        </w:tc>
        <w:tc>
          <w:tcPr>
            <w:tcW w:type="dxa" w:w="1077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542</w:t>
            </w:r>
          </w:p>
        </w:tc>
        <w:tc>
          <w:tcPr>
            <w:tcW w:type="dxa" w:w="170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Plan A</w:t>
            </w:r>
          </w:p>
        </w:tc>
      </w:tr>
      <w:tr>
        <w:tc>
          <w:tcPr>
            <w:tcW w:type="dxa" w:w="1928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IJIT</w:t>
            </w:r>
          </w:p>
        </w:tc>
        <w:tc>
          <w:tcPr>
            <w:tcW w:type="dxa" w:w="1077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—</w:t>
            </w:r>
          </w:p>
        </w:tc>
        <w:tc>
          <w:tcPr>
            <w:tcW w:type="dxa" w:w="1077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661</w:t>
            </w:r>
          </w:p>
        </w:tc>
        <w:tc>
          <w:tcPr>
            <w:tcW w:type="dxa" w:w="1077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640</w:t>
            </w:r>
          </w:p>
        </w:tc>
        <w:tc>
          <w:tcPr>
            <w:tcW w:type="dxa" w:w="1077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—</w:t>
            </w:r>
          </w:p>
        </w:tc>
        <w:tc>
          <w:tcPr>
            <w:tcW w:type="dxa" w:w="170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Disponible</w:t>
            </w:r>
          </w:p>
        </w:tc>
      </w:tr>
      <w:tr>
        <w:tc>
          <w:tcPr>
            <w:tcW w:type="dxa" w:w="1928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IJACSA</w:t>
            </w:r>
          </w:p>
        </w:tc>
        <w:tc>
          <w:tcPr>
            <w:tcW w:type="dxa" w:w="1077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1447</w:t>
            </w:r>
          </w:p>
        </w:tc>
        <w:tc>
          <w:tcPr>
            <w:tcW w:type="dxa" w:w="1077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1539</w:t>
            </w:r>
          </w:p>
        </w:tc>
        <w:tc>
          <w:tcPr>
            <w:tcW w:type="dxa" w:w="1077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1347</w:t>
            </w:r>
          </w:p>
        </w:tc>
        <w:tc>
          <w:tcPr>
            <w:tcW w:type="dxa" w:w="1077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707</w:t>
            </w:r>
          </w:p>
        </w:tc>
        <w:tc>
          <w:tcPr>
            <w:tcW w:type="dxa" w:w="1701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Ya en la lista</w:t>
            </w:r>
          </w:p>
        </w:tc>
      </w:tr>
      <w:tr>
        <w:tc>
          <w:tcPr>
            <w:tcW w:type="dxa" w:w="1928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BEEI</w:t>
            </w:r>
          </w:p>
        </w:tc>
        <w:tc>
          <w:tcPr>
            <w:tcW w:type="dxa" w:w="1077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415</w:t>
            </w:r>
          </w:p>
        </w:tc>
        <w:tc>
          <w:tcPr>
            <w:tcW w:type="dxa" w:w="1077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453</w:t>
            </w:r>
          </w:p>
        </w:tc>
        <w:tc>
          <w:tcPr>
            <w:tcW w:type="dxa" w:w="1077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377</w:t>
            </w:r>
          </w:p>
        </w:tc>
        <w:tc>
          <w:tcPr>
            <w:tcW w:type="dxa" w:w="1077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305</w:t>
            </w:r>
          </w:p>
        </w:tc>
        <w:tc>
          <w:tcPr>
            <w:tcW w:type="dxa" w:w="1701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Ya en la lista</w:t>
            </w:r>
          </w:p>
        </w:tc>
      </w:tr>
      <w:tr>
        <w:tc>
          <w:tcPr>
            <w:tcW w:type="dxa" w:w="1928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ISJ</w:t>
            </w:r>
          </w:p>
        </w:tc>
        <w:tc>
          <w:tcPr>
            <w:tcW w:type="dxa" w:w="107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17</w:t>
            </w:r>
          </w:p>
        </w:tc>
        <w:tc>
          <w:tcPr>
            <w:tcW w:type="dxa" w:w="107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39</w:t>
            </w:r>
          </w:p>
        </w:tc>
        <w:tc>
          <w:tcPr>
            <w:tcW w:type="dxa" w:w="107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62</w:t>
            </w:r>
          </w:p>
        </w:tc>
        <w:tc>
          <w:tcPr>
            <w:tcW w:type="dxa" w:w="107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39</w:t>
            </w:r>
          </w:p>
        </w:tc>
        <w:tc>
          <w:tcPr>
            <w:tcW w:type="dxa" w:w="170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Disponible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ICS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44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42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52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47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Disponible</w:t>
            </w:r>
          </w:p>
        </w:tc>
      </w:tr>
      <w:tr>
        <w:tc>
          <w:tcPr>
            <w:tcW w:type="dxa" w:w="1928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CIT</w:t>
            </w:r>
          </w:p>
        </w:tc>
        <w:tc>
          <w:tcPr>
            <w:tcW w:type="dxa" w:w="107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46</w:t>
            </w:r>
          </w:p>
        </w:tc>
        <w:tc>
          <w:tcPr>
            <w:tcW w:type="dxa" w:w="107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43</w:t>
            </w:r>
          </w:p>
        </w:tc>
        <w:tc>
          <w:tcPr>
            <w:tcW w:type="dxa" w:w="107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35</w:t>
            </w:r>
          </w:p>
        </w:tc>
        <w:tc>
          <w:tcPr>
            <w:tcW w:type="dxa" w:w="1077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23</w:t>
            </w:r>
          </w:p>
        </w:tc>
        <w:tc>
          <w:tcPr>
            <w:tcW w:type="dxa" w:w="1701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Disponible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  <w:color w:val="131B2E"/>
          <w:sz w:val="17"/>
        </w:rPr>
      </w:r>
      <w:r>
        <w:rPr>
          <w:b/>
          <w:i w:val="0"/>
          <w:color w:val="131B2E"/>
          <w:sz w:val="17"/>
        </w:rPr>
        <w:t>La diferencia es de un orden de magnitud:</w:t>
      </w:r>
      <w:r>
        <w:rPr>
          <w:b w:val="0"/>
          <w:i w:val="0"/>
          <w:color w:val="131B2E"/>
          <w:sz w:val="17"/>
        </w:rPr>
        <w:t xml:space="preserve"> IJIES e IJIT publican entre diez y quince veces más que CIT, ISJ o ICS. Donde CIT abre 4 números al año, IJIES abre 12.</w:t>
      </w:r>
    </w:p>
    <w:p>
      <w:pPr>
        <w:spacing w:after="80"/>
        <w:jc w:val="both"/>
      </w:pPr>
      <w:r>
        <w:rPr>
          <w:b w:val="0"/>
          <w:i w:val="0"/>
          <w:color w:val="131B2E"/>
          <w:sz w:val="17"/>
        </w:rPr>
      </w:r>
      <w:r>
        <w:rPr>
          <w:b/>
          <w:i w:val="0"/>
          <w:color w:val="131B2E"/>
          <w:sz w:val="17"/>
        </w:rPr>
        <w:t>Pero más volumen no es lo mismo que más fácil.</w:t>
      </w:r>
      <w:r>
        <w:rPr>
          <w:b w:val="0"/>
          <w:i w:val="0"/>
          <w:color w:val="131B2E"/>
          <w:sz w:val="17"/>
        </w:rPr>
        <w:t xml:space="preserve"> IJIES publica su tasa de aceptación —cosa que ninguna otra candidata hace— y es del 17,9 % en 2025, 17,8 % en 2024 y 14,1 % en 2023. Publica mucho porque recibe mucho, no porque acepte con facilidad. Lo que un volumen alto sí garantiza es real y se mide en trimestres: más plazas abiertas y menos espera. IJIES publica unos 2 meses después de aceptar y saca número cada mes; CIT tarda de 3 a 6 meses solo en la primera decisión y saca cuatro números al año.</w:t>
      </w:r>
    </w:p>
    <w:p>
      <w:pPr>
        <w:spacing w:after="80"/>
        <w:jc w:val="both"/>
      </w:pPr>
      <w:r>
        <w:rPr>
          <w:b w:val="0"/>
          <w:i w:val="0"/>
          <w:color w:val="131B2E"/>
          <w:sz w:val="17"/>
        </w:rPr>
      </w:r>
      <w:r>
        <w:rPr>
          <w:b/>
          <w:i w:val="0"/>
          <w:color w:val="131B2E"/>
          <w:sz w:val="17"/>
        </w:rPr>
        <w:t>Por qué IJIES encabeza:</w:t>
      </w:r>
      <w:r>
        <w:rPr>
          <w:b w:val="0"/>
          <w:i w:val="0"/>
          <w:color w:val="131B2E"/>
          <w:sz w:val="17"/>
        </w:rPr>
        <w:t xml:space="preserve"> desde 2024 lleva 86 artículos cuyo título nombra detección de intrusiones, detección de anomalías o seguridad de redes, y ninguna otra candidata se acerca; es la más barata de las que cobran, con USD 300 hoy y USD 400 desde el 1 de octubre de 2026, por debajo incluso de los USD 415 de BEEI; y es la más rápida del conjunto.</w:t>
      </w:r>
    </w:p>
    <w:p>
      <w:pPr>
        <w:spacing w:after="80"/>
        <w:jc w:val="both"/>
      </w:pPr>
      <w:r>
        <w:rPr>
          <w:b w:val="0"/>
          <w:i w:val="0"/>
          <w:color w:val="131B2E"/>
          <w:sz w:val="17"/>
        </w:rPr>
      </w:r>
      <w:r>
        <w:rPr>
          <w:b/>
          <w:i w:val="0"/>
          <w:color w:val="131B2E"/>
          <w:sz w:val="17"/>
        </w:rPr>
        <w:t>Su riesgo es concreto y hay que resolverlo antes de enviar nada:</w:t>
      </w:r>
      <w:r>
        <w:rPr>
          <w:b w:val="0"/>
          <w:i w:val="0"/>
          <w:color w:val="131B2E"/>
          <w:sz w:val="17"/>
        </w:rPr>
        <w:t xml:space="preserve"> confirmar que su cobertura en Scopus sigue activa. TELKOMNIKA, IJECE e IJEECS —revistas independientes del mismo perfil de alto volumen— fueron descontinuadas de Scopus en 2025, y publicar en una revista descontinuada invalidaría el artículo para cualquier requisito de indexación.</w:t>
      </w:r>
    </w:p>
    <w:p>
      <w:pPr>
        <w:spacing w:after="80"/>
        <w:jc w:val="both"/>
      </w:pPr>
      <w:r>
        <w:rPr>
          <w:b w:val="0"/>
          <w:i/>
          <w:color w:val="131B2E"/>
          <w:sz w:val="17"/>
        </w:rPr>
      </w:r>
      <w:r>
        <w:rPr>
          <w:b/>
          <w:i/>
          <w:color w:val="131B2E"/>
          <w:sz w:val="17"/>
        </w:rPr>
        <w:t>Ese riesgo es lo que da valor al Plan B.</w:t>
      </w:r>
      <w:r>
        <w:rPr>
          <w:b w:val="0"/>
          <w:i/>
          <w:color w:val="131B2E"/>
          <w:sz w:val="17"/>
        </w:rPr>
        <w:t xml:space="preserve"> IJIT tiene un volumen comparable, unos 640 artículos al año, está editada por Springer Nature —de modo que la descontinuación deja de ser una preocupación— y no cobra APC por la vía de suscripción. Su punto ciego es el opuesto: su tiempo de revisión está sin verificar, y por eso puntúa 8 y no 10 en viabilidad. No se premia un dato que no se conoce.</w:t>
      </w:r>
    </w:p>
    <w:p>
      <w:pPr>
        <w:spacing w:before="180" w:after="60"/>
      </w:pPr>
      <w:r>
        <w:rPr>
          <w:b/>
          <w:color w:val="1F4E79"/>
          <w:sz w:val="23"/>
        </w:rPr>
        <w:t>9 · Pendientes antes del envío</w:t>
      </w:r>
    </w:p>
    <w:p>
      <w:pPr>
        <w:spacing w:after="80"/>
        <w:jc w:val="both"/>
      </w:pPr>
      <w:r>
        <w:rPr>
          <w:b w:val="0"/>
          <w:i w:val="0"/>
          <w:color w:val="131B2E"/>
          <w:sz w:val="16"/>
        </w:rPr>
      </w:r>
      <w:r>
        <w:rPr>
          <w:b/>
          <w:i w:val="0"/>
          <w:color w:val="131B2E"/>
          <w:sz w:val="16"/>
        </w:rPr>
        <w:t>Confirmar que IJIES sigue con cobertura activa en Scopus</w:t>
      </w:r>
      <w:r>
        <w:rPr>
          <w:b w:val="0"/>
          <w:i w:val="0"/>
          <w:color w:val="131B2E"/>
          <w:sz w:val="16"/>
        </w:rPr>
        <w:t xml:space="preserve"> (ficha de fuente 21100199790): es la verificación más importante de la matriz, porque TELKOMNIKA, IJECE e IJEECS, del mismo perfil, cayeron en 2025. · </w:t>
      </w:r>
      <w:r>
        <w:rPr>
          <w:b/>
          <w:i w:val="0"/>
          <w:color w:val="131B2E"/>
          <w:sz w:val="16"/>
        </w:rPr>
        <w:t>Verificar el tiempo de revisión de IJIT</w:t>
      </w:r>
      <w:r>
        <w:rPr>
          <w:b w:val="0"/>
          <w:i w:val="0"/>
          <w:color w:val="131B2E"/>
          <w:sz w:val="16"/>
        </w:rPr>
        <w:t xml:space="preserve">, lo único que le impide competir por el primer puesto. · </w:t>
      </w:r>
      <w:r>
        <w:rPr>
          <w:b/>
          <w:i w:val="0"/>
          <w:color w:val="131B2E"/>
          <w:sz w:val="16"/>
        </w:rPr>
        <w:t>Verificar el tipo y el tiempo de revisión de ISJ.</w:t>
      </w:r>
      <w:r>
        <w:rPr>
          <w:b w:val="0"/>
          <w:i w:val="0"/>
          <w:color w:val="131B2E"/>
          <w:sz w:val="16"/>
        </w:rPr>
        <w:t xml:space="preserve"> · </w:t>
      </w:r>
      <w:r>
        <w:rPr>
          <w:b/>
          <w:i w:val="0"/>
          <w:color w:val="131B2E"/>
          <w:sz w:val="16"/>
        </w:rPr>
        <w:t>Confirmar que ISJ e ICS siguen aceptando la vía de suscripción sin APC:</w:t>
      </w:r>
      <w:r>
        <w:rPr>
          <w:b w:val="0"/>
          <w:i w:val="0"/>
          <w:color w:val="131B2E"/>
          <w:sz w:val="16"/>
        </w:rPr>
        <w:t xml:space="preserve"> su puntaje de coste de 10 sostiene el primer puesto. · </w:t>
      </w:r>
      <w:r>
        <w:rPr>
          <w:b/>
          <w:i w:val="0"/>
          <w:color w:val="131B2E"/>
          <w:sz w:val="16"/>
        </w:rPr>
        <w:t>Confirmar con la coordinación qué significa estar en la lista de control:</w:t>
      </w:r>
      <w:r>
        <w:rPr>
          <w:b w:val="0"/>
          <w:i w:val="0"/>
          <w:color w:val="131B2E"/>
          <w:sz w:val="16"/>
        </w:rPr>
        <w:t xml:space="preserve"> si inhabilita la revista o solo la registra. Toda la sección 2 depende de esa respuesta. · </w:t>
      </w:r>
      <w:r>
        <w:rPr>
          <w:b/>
          <w:i w:val="0"/>
          <w:color w:val="131B2E"/>
          <w:sz w:val="16"/>
        </w:rPr>
        <w:t>Aclarar el APC vigente de CIT:</w:t>
      </w:r>
      <w:r>
        <w:rPr>
          <w:b w:val="0"/>
          <w:i w:val="0"/>
          <w:color w:val="131B2E"/>
          <w:sz w:val="16"/>
        </w:rPr>
        <w:t xml:space="preserve"> su registro en DOAJ declara 360 EUR y sus instrucciones para autores 600 EUR desde el 1 de septiembre de 2026; y preguntar si aplica por fecha de envío o de aceptación. · Pasar el manuscrito por un detector de texto generado por IA: CIT rechaza </w:t>
      </w:r>
      <w:r>
        <w:rPr>
          <w:b/>
          <w:i w:val="0"/>
          <w:color w:val="131B2E"/>
          <w:sz w:val="16"/>
        </w:rPr>
        <w:t>sin derecho a revisión</w:t>
      </w:r>
      <w:r>
        <w:rPr>
          <w:b w:val="0"/>
          <w:i w:val="0"/>
          <w:color w:val="131B2E"/>
          <w:sz w:val="16"/>
        </w:rPr>
        <w:t xml:space="preserve"> por encima del 20 %. · Completar en fuente primaria los datos de ISJ, ICS e IJACSA, hoy en 0 de 6. · Verificar el </w:t>
      </w:r>
      <w:r>
        <w:rPr>
          <w:b/>
          <w:i w:val="0"/>
          <w:color w:val="131B2E"/>
          <w:sz w:val="16"/>
        </w:rPr>
        <w:t>cuartil SJR</w:t>
      </w:r>
      <w:r>
        <w:rPr>
          <w:b w:val="0"/>
          <w:i w:val="0"/>
          <w:color w:val="131B2E"/>
          <w:sz w:val="16"/>
        </w:rPr>
        <w:t xml:space="preserve"> en Scimago: </w:t>
      </w:r>
      <w:r>
        <w:rPr>
          <w:b/>
          <w:i w:val="0"/>
          <w:color w:val="131B2E"/>
          <w:sz w:val="16"/>
        </w:rPr>
        <w:t>el percentil de Scopus no es el cuartil SJR</w:t>
      </w:r>
      <w:r>
        <w:rPr>
          <w:b w:val="0"/>
          <w:i w:val="0"/>
          <w:color w:val="131B2E"/>
          <w:sz w:val="16"/>
        </w:rPr>
        <w:t>. · Reverificar todos los APC: el de IJSSE pasó de USD 700 a USD 850 entre dos consultas.</w:t>
      </w:r>
    </w:p>
    <w:p>
      <w:pPr>
        <w:spacing w:before="180" w:after="60"/>
      </w:pPr>
      <w:r>
        <w:rPr>
          <w:b/>
          <w:color w:val="1F4E79"/>
          <w:sz w:val="23"/>
        </w:rPr>
        <w:t>8 · Cumplimiento de los criterios pedidos</w:t>
      </w:r>
    </w:p>
    <w:p>
      <w:pPr>
        <w:spacing w:after="80"/>
        <w:jc w:val="both"/>
      </w:pPr>
      <w:r>
        <w:rPr>
          <w:b w:val="0"/>
          <w:i w:val="0"/>
          <w:color w:val="131B2E"/>
          <w:sz w:val="16"/>
        </w:rPr>
        <w:t xml:space="preserve">Se auditan uno por uno, sin agregarlos en un puntaje, porque </w:t>
      </w:r>
      <w:r>
        <w:rPr>
          <w:b/>
          <w:i w:val="0"/>
          <w:color w:val="131B2E"/>
          <w:sz w:val="16"/>
        </w:rPr>
        <w:t>un criterio incumplido no se compensa con otro</w:t>
      </w:r>
      <w:r>
        <w:rPr>
          <w:b w:val="0"/>
          <w:i w:val="0"/>
          <w:color w:val="131B2E"/>
          <w:sz w:val="16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4195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1928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IJIES</w:t>
            </w:r>
          </w:p>
        </w:tc>
        <w:tc>
          <w:tcPr>
            <w:tcW w:type="dxa" w:w="1928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IJIT</w:t>
            </w:r>
          </w:p>
        </w:tc>
        <w:tc>
          <w:tcPr>
            <w:tcW w:type="dxa" w:w="1928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ISI</w:t>
            </w:r>
          </w:p>
        </w:tc>
      </w:tr>
      <w:tr>
        <w:tc>
          <w:tcPr>
            <w:tcW w:type="dxa" w:w="4195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Cuartil Q3 preferido, Q2 aceptable</w:t>
            </w:r>
          </w:p>
        </w:tc>
        <w:tc>
          <w:tcPr>
            <w:tcW w:type="dxa" w:w="1928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~</w:t>
            </w:r>
          </w:p>
        </w:tc>
        <w:tc>
          <w:tcPr>
            <w:tcW w:type="dxa" w:w="1928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~</w:t>
            </w:r>
          </w:p>
        </w:tc>
        <w:tc>
          <w:tcPr>
            <w:tcW w:type="dxa" w:w="1928"/>
            <w:shd w:val="clear" w:fill="EEF3FA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SI</w:t>
            </w:r>
          </w:p>
        </w:tc>
      </w:tr>
      <w:tr>
        <w:tc>
          <w:tcPr>
            <w:tcW w:type="dxa" w:w="4195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Tema afin a ciberseguridad o redes</w:t>
            </w:r>
          </w:p>
        </w:tc>
        <w:tc>
          <w:tcPr>
            <w:tcW w:type="dxa" w:w="1928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SI</w:t>
            </w:r>
          </w:p>
        </w:tc>
        <w:tc>
          <w:tcPr>
            <w:tcW w:type="dxa" w:w="1928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SI</w:t>
            </w:r>
          </w:p>
        </w:tc>
        <w:tc>
          <w:tcPr>
            <w:tcW w:type="dxa" w:w="1928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SI</w:t>
            </w:r>
          </w:p>
        </w:tc>
      </w:tr>
      <w:tr>
        <w:tc>
          <w:tcPr>
            <w:tcW w:type="dxa" w:w="4195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Facil de publicar</w:t>
            </w:r>
          </w:p>
        </w:tc>
        <w:tc>
          <w:tcPr>
            <w:tcW w:type="dxa" w:w="1928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NO</w:t>
            </w:r>
          </w:p>
        </w:tc>
        <w:tc>
          <w:tcPr>
            <w:tcW w:type="dxa" w:w="1928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?</w:t>
            </w:r>
          </w:p>
        </w:tc>
        <w:tc>
          <w:tcPr>
            <w:tcW w:type="dxa" w:w="1928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?</w:t>
            </w:r>
          </w:p>
        </w:tc>
      </w:tr>
      <w:tr>
        <w:tc>
          <w:tcPr>
            <w:tcW w:type="dxa" w:w="4195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Fuera de la lista de depredadoras</w:t>
            </w:r>
          </w:p>
        </w:tc>
        <w:tc>
          <w:tcPr>
            <w:tcW w:type="dxa" w:w="1928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SI</w:t>
            </w:r>
          </w:p>
        </w:tc>
        <w:tc>
          <w:tcPr>
            <w:tcW w:type="dxa" w:w="1928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SI</w:t>
            </w:r>
          </w:p>
        </w:tc>
        <w:tc>
          <w:tcPr>
            <w:tcW w:type="dxa" w:w="1928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SI</w:t>
            </w:r>
          </w:p>
        </w:tc>
      </w:tr>
      <w:tr>
        <w:tc>
          <w:tcPr>
            <w:tcW w:type="dxa" w:w="4195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Fuera de la lista de control</w:t>
            </w:r>
          </w:p>
        </w:tc>
        <w:tc>
          <w:tcPr>
            <w:tcW w:type="dxa" w:w="1928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SI</w:t>
            </w:r>
          </w:p>
        </w:tc>
        <w:tc>
          <w:tcPr>
            <w:tcW w:type="dxa" w:w="1928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SI</w:t>
            </w:r>
          </w:p>
        </w:tc>
        <w:tc>
          <w:tcPr>
            <w:tcW w:type="dxa" w:w="1928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SI</w:t>
            </w:r>
          </w:p>
        </w:tc>
      </w:tr>
      <w:tr>
        <w:tc>
          <w:tcPr>
            <w:tcW w:type="dxa" w:w="4195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Publica muchos articulos al ano</w:t>
            </w:r>
          </w:p>
        </w:tc>
        <w:tc>
          <w:tcPr>
            <w:tcW w:type="dxa" w:w="1928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SI</w:t>
            </w:r>
          </w:p>
        </w:tc>
        <w:tc>
          <w:tcPr>
            <w:tcW w:type="dxa" w:w="1928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SI</w:t>
            </w:r>
          </w:p>
        </w:tc>
        <w:tc>
          <w:tcPr>
            <w:tcW w:type="dxa" w:w="1928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SI</w:t>
            </w:r>
          </w:p>
        </w:tc>
      </w:tr>
      <w:tr>
        <w:tc>
          <w:tcPr>
            <w:tcW w:type="dxa" w:w="4195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Indexacion vigente comprobada</w:t>
            </w:r>
          </w:p>
        </w:tc>
        <w:tc>
          <w:tcPr>
            <w:tcW w:type="dxa" w:w="1928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NO</w:t>
            </w:r>
          </w:p>
        </w:tc>
        <w:tc>
          <w:tcPr>
            <w:tcW w:type="dxa" w:w="1928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SI</w:t>
            </w:r>
          </w:p>
        </w:tc>
        <w:tc>
          <w:tcPr>
            <w:tcW w:type="dxa" w:w="1928"/>
            <w:shd w:val="clear" w:fill="FDECD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SI</w:t>
            </w:r>
          </w:p>
        </w:tc>
      </w:tr>
      <w:tr>
        <w:tc>
          <w:tcPr>
            <w:tcW w:type="dxa" w:w="4195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Enlace y fuente por cada dato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SI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NO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5"/>
              </w:rPr>
              <w:t>SI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  <w:color w:val="131B2E"/>
          <w:sz w:val="17"/>
        </w:rPr>
      </w:r>
      <w:r>
        <w:rPr>
          <w:b/>
          <w:i w:val="0"/>
          <w:color w:val="131B2E"/>
          <w:sz w:val="17"/>
        </w:rPr>
        <w:t>Ninguna de las tres cumple los ocho criterios</w:t>
      </w:r>
      <w:r>
        <w:rPr>
          <w:b w:val="0"/>
          <w:i w:val="0"/>
          <w:color w:val="131B2E"/>
          <w:sz w:val="17"/>
        </w:rPr>
        <w:t>, y cada una falla en algo distinto: a IJIES le falta confirmar que sigue en Scopus —lo único que la separa de cumplirlo todo—; el expediente de IJIT es entero de segunda mano, 0 de 6 datos en fuente primaria; e ISI tiene el APC más alto de las tres, USD 850, y la menor producción temática.</w:t>
      </w:r>
    </w:p>
    <w:p>
      <w:pPr>
        <w:spacing w:after="80"/>
        <w:jc w:val="both"/>
      </w:pPr>
      <w:r>
        <w:rPr>
          <w:b w:val="0"/>
          <w:i/>
          <w:color w:val="131B2E"/>
          <w:sz w:val="16"/>
        </w:rPr>
      </w:r>
      <w:r>
        <w:rPr>
          <w:b/>
          <w:i/>
          <w:color w:val="131B2E"/>
          <w:sz w:val="16"/>
        </w:rPr>
        <w:t>Dos criterios no se pueden cerrar con ninguna.</w:t>
      </w:r>
      <w:r>
        <w:rPr>
          <w:b w:val="0"/>
          <w:i/>
          <w:color w:val="131B2E"/>
          <w:sz w:val="16"/>
        </w:rPr>
        <w:t xml:space="preserve"> «Fácil de publicar»: solo IJIES publica su tasa de aceptación, y es del 17,9 %; las otras dos no publican el dato, así que su casilla queda en interrogante y no en aprobado, porque </w:t>
      </w:r>
      <w:r>
        <w:rPr>
          <w:b/>
          <w:i/>
          <w:color w:val="131B2E"/>
          <w:sz w:val="16"/>
        </w:rPr>
        <w:t>no saber no es aprobar</w:t>
      </w:r>
      <w:r>
        <w:rPr>
          <w:b w:val="0"/>
          <w:i/>
          <w:color w:val="131B2E"/>
          <w:sz w:val="16"/>
        </w:rPr>
        <w:t>. Y el cuartil Q3 preferido: solo ISI lo tiene verificado; IJIES e IJIT son Q2, aceptable como alternativa pero no la primera opción. Si «fácil de publicar» pesa más que el volumen, esta matriz no tiene hoy evidencia para responder, y pedir la tasa de aceptación por correo a IJIT e ISI es más útil que reordenar puntajes.</w:t>
      </w:r>
    </w:p>
    <w:p>
      <w:pPr>
        <w:spacing w:before="200" w:after="60"/>
      </w:pPr>
      <w:r>
        <w:rPr>
          <w:b/>
          <w:color w:val="1F4E79"/>
          <w:sz w:val="20"/>
        </w:rPr>
        <w:t>Evidencia en el repositorio</w:t>
      </w:r>
    </w:p>
    <w:p>
      <w:pPr>
        <w:spacing w:after="20"/>
        <w:ind w:left="200"/>
      </w:pPr>
      <w:r>
        <w:rPr>
          <w:color w:val="131B2E"/>
          <w:sz w:val="16"/>
        </w:rPr>
        <w:t xml:space="preserve">Matriz detallada, con la ficha completa de cada candidata — </w:t>
      </w:r>
      <w:hyperlink r:id="rId10">
        <w:r>
          <w:rPr>
            <w:color w:val="2E74B5"/>
            <w:u w:val="single"/>
            <w:sz w:val="16"/>
          </w:rPr>
          <w:t>abrir en GitHub</w:t>
        </w:r>
      </w:hyperlink>
    </w:p>
    <w:p>
      <w:pPr>
        <w:spacing w:after="20"/>
        <w:ind w:left="200"/>
      </w:pPr>
      <w:r>
        <w:rPr>
          <w:color w:val="131B2E"/>
          <w:sz w:val="16"/>
        </w:rPr>
        <w:t xml:space="preserve">Mapeo por secciones de 10 artículos de las dos primeras candidatas — </w:t>
      </w:r>
      <w:hyperlink r:id="rId11">
        <w:r>
          <w:rPr>
            <w:color w:val="2E74B5"/>
            <w:u w:val="single"/>
            <w:sz w:val="16"/>
          </w:rPr>
          <w:t>abrir en GitHub</w:t>
        </w:r>
      </w:hyperlink>
    </w:p>
    <w:sectPr w:rsidR="00FC693F" w:rsidRPr="0006063C" w:rsidSect="00034616">
      <w:footerReference w:type="default" r:id="rId12"/>
      <w:headerReference w:type="default" r:id="rId13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tabs>
        <w:tab w:val="right" w:pos="10426"/>
      </w:tabs>
    </w:pPr>
    <w:r/>
    <w:r>
      <w:rPr>
        <w:color w:val="5B6B8C"/>
        <w:sz w:val="14"/>
      </w:rPr>
      <w:t>Matriz de decisión de revistas · Salazar Tocas &amp; Sauñe Fernandez</w:t>
      <w:tab/>
    </w:r>
    <w:r>
      <w:rPr>
        <w:color w:val="5B6B8C"/>
        <w:sz w:val="14"/>
      </w:rPr>
      <w:t xml:space="preserve">Página </w:t>
    </w:r>
    <w:r>
      <w:rPr>
        <w:color w:val="5B6B8C"/>
        <w:sz w:val="14"/>
      </w:rPr>
      <w:fldChar w:fldCharType="begin"/>
      <w:instrText xml:space="preserve"> PAGE </w:instrText>
      <w:fldChar w:fldCharType="end"/>
    </w:r>
    <w:r>
      <w:rPr>
        <w:color w:val="5B6B8C"/>
        <w:sz w:val="14"/>
      </w:rPr>
      <w:t xml:space="preserve"> de </w:t>
    </w:r>
    <w:r>
      <w:rPr>
        <w:color w:val="5B6B8C"/>
        <w:sz w:val="14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color="BFBFBF" w:space="3"/>
      </w:pBdr>
    </w:pPr>
    <w:r/>
    <w:r>
      <w:rPr>
        <w:i/>
        <w:color w:val="5B6B8C"/>
        <w:sz w:val="14"/>
      </w:rPr>
      <w:t>Investigación V · Sesión 04 · UPeU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marksato13/VF-Sistema-Open-Source-para-la-Deteccion-Temprana-de-Comportamientos-Anomalos-en-Redes-de-Datos/blob/main/docs/entregables/09-matriz-revistas/matriz-decision-revistas.md" TargetMode="External"/><Relationship Id="rId11" Type="http://schemas.openxmlformats.org/officeDocument/2006/relationships/hyperlink" Target="https://github.com/marksato13/VF-Sistema-Open-Source-para-la-Deteccion-Temprana-de-Comportamientos-Anomalos-en-Redes-de-Datos/blob/main/docs/articulo/README.md" TargetMode="External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decisión de revistas</dc:title>
  <dc:subject>Investigación V · Sesión 04 · Revista objetivo y plan de respaldo</dc:subject>
  <dc:creator>Rubén Mark Salazar Tocas; Uziel Elias Sauñe Fernandez</dc:creator>
  <cp:keywords>detección de anomalías; seguridad de redes; aprendizaje no supervisado; OCSVM</cp:keywords>
  <dc:description>Documento generado por script desde los artefactos del proyecto; ninguna cifra se transcribe a mano.</dc:description>
  <cp:lastModifiedBy>Rubén Mark Salazar Tocas; Uziel Elias Sauñe Fernandez</cp:lastModifiedBy>
  <cp:revision>1</cp:revision>
  <dcterms:created xsi:type="dcterms:W3CDTF">2013-12-23T23:15:00Z</dcterms:created>
  <dcterms:modified xsi:type="dcterms:W3CDTF">2013-12-23T23:15:00Z</dcterms:modified>
  <cp:category>Investigación V · UPeU</cp:category>
</cp:coreProperties>
</file>