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before="220" w:after="80"/>
      </w:pPr>
      <w:r>
        <w:rPr>
          <w:b/>
          <w:color w:val="1F4E79"/>
          <w:sz w:val="25"/>
        </w:rPr>
        <w:t>1 · 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>, validado sobre tráfico real de laboratorio. Toda cifra procede de artefactos verificables; ninguna se transcribe a mano.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evaluado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Capacidad discriminante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ROC-AUC 0,974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Detección de ataques genuinos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88,8 %</w:t>
            </w:r>
            <w:r>
              <w:rPr>
                <w:b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Respuesta en tiempo real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color w:val="131B2E"/>
                <w:sz w:val="16"/>
              </w:rPr>
              <w:t>8,0 s</w:t>
            </w:r>
            <w:r>
              <w:rPr>
                <w:b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Disponibilidad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Cero caídas registradas</w:t>
            </w:r>
            <w:r>
              <w:rPr>
                <w:b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Aporte de las variables multicapa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De </w:t>
            </w:r>
            <w:r>
              <w:rPr>
                <w:b/>
                <w:color w:val="131B2E"/>
                <w:sz w:val="16"/>
              </w:rPr>
              <w:t>66,5 % a 88,8 %</w:t>
            </w:r>
            <w:r>
              <w:rPr>
                <w:b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Superioridad del modelo elegido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Las </w:t>
            </w:r>
            <w:r>
              <w:rPr>
                <w:b/>
                <w:color w:val="131B2E"/>
                <w:sz w:val="16"/>
              </w:rPr>
              <w:t>6 comparaciones</w:t>
            </w:r>
            <w:r>
              <w:rPr>
                <w:b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Reproducibilidad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</w:t>
            </w:r>
            <w:r>
              <w:rPr>
                <w:b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71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-curva-r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71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1. Curva ROC del modelo congelado. El AUC de 0,974 se calculó en esta evaluación: el trabajo original nunca lo computó.</w:t>
      </w:r>
    </w:p>
    <w:p>
      <w:pPr>
        <w:spacing w:before="220" w:after="80"/>
      </w:pPr>
      <w:r>
        <w:rPr>
          <w:b/>
          <w:color w:val="1F4E79"/>
          <w:sz w:val="25"/>
        </w:rPr>
        <w:t>2 ·  Qué está faltando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Las debilidades se ordenan por gravedad y </w:t>
      </w:r>
      <w:r>
        <w:rPr>
          <w:b/>
          <w:i w:val="0"/>
          <w:color w:val="131B2E"/>
          <w:sz w:val="18"/>
        </w:rPr>
        <w:t>todas están medidas</w:t>
      </w:r>
      <w:r>
        <w:rPr>
          <w:b w:val="0"/>
          <w:i w:val="0"/>
          <w:color w:val="131B2E"/>
          <w:sz w:val="18"/>
        </w:rPr>
        <w:t>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Debilidad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falso positivo de laboratorio no se sostiene en operación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4,71 % [2,8–7,9] frente a 22,97 % [14,9–33,7]. Son intervalos descriptivos por ventana: las ventanas comparten episodio e historia. Una transferencia legítima de 200 Mbit/s bloqueó a un cliente real 120 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El modelo se eligió observando el conjunto de prueba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El manifiesto designaba otro modelo como conclusión y a este como comparador. El 88,3 % es el máximo sobre 7 candidatos</w:t>
            </w:r>
          </w:p>
        </w:tc>
        <w:tc>
          <w:tcPr>
            <w:tcW w:type="dxa" w:w="1247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Ninguna validación con usuarios reales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No se midió la experiencia de uso del panel ni se aplicó instrumento alguno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 partición mide repetición, no generalización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44 perfiles aparecen en las tres particiones; no existe jornada de holdout externa</w:t>
            </w:r>
          </w:p>
        </w:tc>
        <w:tc>
          <w:tcPr>
            <w:tcW w:type="dxa" w:w="1247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interna, no externa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Hay 5 pliegues agrupados por episodio normal y bootstrap por episodio (B = 1 000; CV del umbral 4,10 %), pero se reutilizan las mismas anomalías y no existe jornada externa</w:t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  <w:tr>
        <w:tc>
          <w:tcPr>
            <w:tcW w:type="dxa" w:w="283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Las 8 variables L7 nuevas no aportan detección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ablación las midió: p = 1,000 y </w:t>
            </w:r>
            <w:r>
              <w:rPr>
                <w:b/>
                <w:color w:val="131B2E"/>
                <w:sz w:val="16"/>
              </w:rPr>
              <w:t>5 falsos positivos adicionales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24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960000" cy="20513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-fpr-offline-vs-operativ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5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b w:val="0"/>
          <w:i/>
          <w:color w:val="5B6B8C"/>
          <w:sz w:val="15"/>
        </w:rPr>
        <w:t>Figura 2. El hallazgo más importante: el error sobre tráfico legítimo medido en laboratorio no se reproduce en operación real.</w:t>
      </w:r>
    </w:p>
    <w:p>
      <w:pPr>
        <w:spacing w:before="220" w:after="80"/>
      </w:pPr>
      <w:r>
        <w:rPr>
          <w:b/>
          <w:color w:val="1F4E79"/>
          <w:sz w:val="25"/>
        </w:rPr>
        <w:t>3 ·  Cómo se está abordando lo que falta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Ya resuelto</w:t>
      </w:r>
      <w:r>
        <w:rPr>
          <w:b w:val="0"/>
          <w:i w:val="0"/>
          <w:color w:val="131B2E"/>
          <w:sz w:val="18"/>
        </w:rPr>
        <w:t>, sin capturar datos nuevos ni reentrenar el modelo congelado: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5100"/>
        <w:gridCol w:w="5100"/>
      </w:tblGrid>
      <w:tr>
        <w:tc>
          <w:tcPr>
            <w:tcW w:type="dxa" w:w="487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Acción ejecutada</w:t>
            </w:r>
          </w:p>
        </w:tc>
        <w:tc>
          <w:tcPr>
            <w:tcW w:type="dxa" w:w="442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cerró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Intervalos de Wilson en toda proporción y </w:t>
            </w:r>
            <w:r>
              <w:rPr>
                <w:b/>
                <w:color w:val="131B2E"/>
                <w:sz w:val="16"/>
              </w:rPr>
              <w:t>McNemar con corrección de Holm</w:t>
            </w:r>
            <w:r>
              <w:rPr>
                <w:b w:val="0"/>
                <w:color w:val="131B2E"/>
                <w:sz w:val="16"/>
              </w:rPr>
              <w:t xml:space="preserve"> sobre 21 comparaciones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medidas de incertidumbre y de pruebas de significancia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Ablación por capas y comparación 14 vs 28</w:t>
            </w:r>
            <w:r>
              <w:rPr>
                <w:b w:val="0"/>
                <w:color w:val="131B2E"/>
                <w:sz w:val="16"/>
              </w:rPr>
              <w:t>, con la configuración completa reproduciendo el modelo congelado bit a bit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jurado, antes sin ejecutar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Diccionario científico de las 28 variables</w:t>
            </w:r>
            <w:r>
              <w:rPr>
                <w:b w:val="0"/>
                <w:color w:val="131B2E"/>
                <w:sz w:val="16"/>
              </w:rPr>
              <w:t>, generado desde el extractor congelado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Requisito explícito del jurado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7 modelos publicados</w:t>
            </w:r>
            <w:r>
              <w:rPr>
                <w:b w:val="0"/>
                <w:color w:val="131B2E"/>
                <w:sz w:val="16"/>
              </w:rPr>
              <w:t xml:space="preserve"> con checksums y licencias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Imposibilidad de replicar desde un clon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*Datasheet*, *model card* y *system card*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Ausencia de documentación canónica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Declaración explícita de la selección posterior</w:t>
            </w:r>
            <w:r>
              <w:rPr>
                <w:b w:val="0"/>
                <w:color w:val="131B2E"/>
                <w:sz w:val="16"/>
              </w:rPr>
              <w:t xml:space="preserve"> del modelo</w:t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Objeción metodológica principal, ahora declarada</w:t>
            </w:r>
          </w:p>
        </w:tc>
      </w:tr>
      <w:tr>
        <w:tc>
          <w:tcPr>
            <w:tcW w:type="dxa" w:w="4876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y bootstrap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4422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Variación interna del modelo y del umbral; no sustituyen una evaluación externa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Pendiente, con fecha comprometida.</w:t>
      </w:r>
      <w:r>
        <w:rPr>
          <w:b w:val="0"/>
          <w:i w:val="0"/>
          <w:color w:val="131B2E"/>
          <w:sz w:val="18"/>
        </w:rPr>
        <w:t xml:space="preserve"> El orden responde a coste, no a comodidad: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Pendiente</w:t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aborda</w:t>
            </w:r>
          </w:p>
        </w:tc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</w:tr>
      <w:tr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la selección posterior en la tesis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Párrafo en metodología, enlazado a la *model card* que ya lo declara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5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con usuarios (SUS)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Sesión de 2 h con 5–8 evaluadores; instrumento ya preparado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por confirmar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Juicio experto (3 evaluadores)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Rúbrica de pertinencia sobre el producto desplegado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por confirmar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Escenarios legítimos faltantes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19 sep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Recalibrar con tráfico pesado y repetir F6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Reentrenar con `iperf-tcp 200M` como normalidad; repetir las 29 corridas</w:t>
            </w:r>
          </w:p>
        </w:tc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</w:t>
            </w:r>
          </w:p>
        </w:tc>
        <w:tc>
          <w:tcPr>
            <w:tcW w:type="dxa" w:w="141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 oct</w:t>
            </w:r>
            <w:r>
              <w:rPr>
                <w:b w:val="0"/>
                <w:color w:val="131B2E"/>
                <w:sz w:val="16"/>
              </w:rPr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*Holdout* temporal externo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Campaña completa en fecha distinta, sin reutilizar episodios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24 oct</w:t>
            </w:r>
            <w:r>
              <w:rPr>
                <w:b w:val="0"/>
                <w:color w:val="131B2E"/>
                <w:sz w:val="16"/>
              </w:rPr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—el modelo congelado, la evaluación de un solo paso y las 58 corridas de F6—: ese resultado está completo y no va a cambiar. Los pendientes mejoran la evidencia, no la sustituyen.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</w:r>
      <w:r>
        <w:rPr>
          <w:b/>
          <w:i/>
          <w:color w:val="131B2E"/>
          <w:sz w:val="18"/>
        </w:rPr>
        <w:t>Lo único bloqueante es el SUS</w:t>
      </w:r>
      <w:r>
        <w:rPr>
          <w:b w:val="0"/>
          <w:i/>
          <w:color w:val="131B2E"/>
          <w:sz w:val="18"/>
        </w:rPr>
        <w:t>: sin él, el eje de pertinencia queda en cero y la ficha de auditoría no pasa de 82,4 %. Son dos horas, y es lo único que depende de conseguir personas y no de tiempo de laboratorio. Las dos fechas «por confirmar» dependen de terceros y no se fijan sin haberlas acordado con ellos.</w:t>
      </w:r>
    </w:p>
    <w:p>
      <w:pPr>
        <w:spacing w:before="220" w:after="80"/>
      </w:pPr>
      <w:r>
        <w:rPr>
          <w:b/>
          <w:color w:val="1F4E79"/>
          <w:sz w:val="25"/>
        </w:rPr>
        <w:t>4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5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6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7"/>
      <w:headerReference w:type="default" r:id="rId18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5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6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7" Type="http://schemas.openxmlformats.org/officeDocument/2006/relationships/footer" Target="footer1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