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000" cy="38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38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E.P. de Ingeniería de Sistemas · Investigación V · Sesión 04</w:t>
      </w:r>
    </w:p>
    <w:p>
      <w:pPr>
        <w:spacing w:before="120" w:after="40"/>
        <w:jc w:val="center"/>
      </w:pPr>
      <w:r>
        <w:rPr>
          <w:b/>
          <w:color w:val="1F4E79"/>
          <w:sz w:val="27"/>
        </w:rPr>
        <w:t>MI DECISIÓN FINAL: REVISTA OBJETIVO Y PLAN DE RESPALDO</w:t>
      </w:r>
    </w:p>
    <w:p>
      <w:pPr>
        <w:spacing w:after="160"/>
        <w:jc w:val="center"/>
      </w:pPr>
      <w:r>
        <w:rPr>
          <w:b w:val="0"/>
          <w:i w:val="0"/>
          <w:color w:val="5B6B8C"/>
          <w:sz w:val="16"/>
        </w:rPr>
        <w:t>Rubén Mark Salazar Tocas · Uziel Elias Sauñe Fernandez  ·  Datos consultados el 26 de agosto de 2026</w:t>
      </w:r>
    </w:p>
    <w:p>
      <w:pPr>
        <w:spacing w:before="180" w:after="60"/>
      </w:pPr>
      <w:r>
        <w:rPr>
          <w:b/>
          <w:color w:val="1F4E79"/>
          <w:sz w:val="23"/>
        </w:rPr>
        <w:t>1 · Filtro de legitimidad, aplicado antes de puntuar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legitimidad </w:t>
      </w:r>
      <w:r>
        <w:rPr>
          <w:b/>
          <w:i w:val="0"/>
          <w:color w:val="131B2E"/>
          <w:sz w:val="17"/>
        </w:rPr>
        <w:t>no se pondera: es un filtro de entrada</w:t>
      </w:r>
      <w:r>
        <w:rPr>
          <w:b w:val="0"/>
          <w:i w:val="0"/>
          <w:color w:val="131B2E"/>
          <w:sz w:val="17"/>
        </w:rPr>
        <w:t>. Una candidata que no lo supera sale de la matriz por completo, sin importar cuánto puntúe en lo demás.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documental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política de revisión por pares publicada, archivo de números con DOI, APC transparente y editor identificable.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archivo de números con DOI y página oficial de APC.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reconocida, ficha activa en Scopus e indexación adicional en ESCI.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 y ficha activa en Scopus.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Ficha activa en Scopus e indexación en WoS ESCI, y fuera de la lista de depredadoras consultada. Se registra que su reputación editorial es más discutida que la de las demás candidatas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indexación adicional en Web of Science ESCI, DOAJ, INSPEC, ACM Digital Library y Engineering Village; adhesión declarada a las Core Practices de COPE, revisión por pares en tres fases con cribado antiplagio iThenticate y archivo de números desde 2001.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ISSN confirmado, ficha en Scopus, política de revisión y tarifas publicadas, y </w:t>
            </w:r>
            <w:r>
              <w:rPr>
                <w:b/>
                <w:color w:val="131B2E"/>
                <w:sz w:val="15"/>
              </w:rPr>
              <w:t>publica su tasa de aceptación</w:t>
            </w:r>
            <w:r>
              <w:rPr>
                <w:b w:val="0"/>
                <w:color w:val="131B2E"/>
                <w:sz w:val="15"/>
              </w:rPr>
              <w:t xml:space="preserve">, transparencia poco habitual. Fuera de la lista de depredadoras. </w:t>
            </w:r>
            <w:r>
              <w:rPr>
                <w:b/>
                <w:color w:val="131B2E"/>
                <w:sz w:val="15"/>
              </w:rPr>
              <w:t>La reserva es concreta</w:t>
            </w:r>
            <w:r>
              <w:rPr>
                <w:b w:val="0"/>
                <w:color w:val="131B2E"/>
                <w:sz w:val="15"/>
              </w:rPr>
              <w:t>: hay que confirmar que su cobertura en Scopus sigue activa, porque TELKOMNIKA, IJECE e IJEECS —revistas del mismo perfil de alto volumen— fueron descontinuadas en 2025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Editada por Springer Nature, con ficha activa en Scopus, política editorial pública y archivo mensual. Fuera de la lista de depredadoras. Su respaldo editorial elimina el riesgo de descontinuación que sí tienen las revistas independientes de alto volumen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doce números al año con archivo y DOI, y página oficial de APC. Mismo editor que IJSSE, cuyo proceso ya se había verificado. Fuera de la lista de depredadoras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Descartadas por el filtro:</w:t>
      </w:r>
      <w:r>
        <w:rPr>
          <w:b w:val="0"/>
          <w:i/>
          <w:color w:val="5B6B8C"/>
          <w:sz w:val="16"/>
        </w:rPr>
        <w:t xml:space="preserve"> IJCNIS, descontinuada de Scopus desde 2022 y presente en la lista de revistas depredadoras consultada; IJEECS, descontinuada de Scopus en 2025; y dos revistas Q4 que no compiten en ningún criterio.</w:t>
      </w:r>
    </w:p>
    <w:p>
      <w:pPr>
        <w:spacing w:before="180" w:after="60"/>
      </w:pPr>
      <w:r>
        <w:rPr>
          <w:b/>
          <w:color w:val="1F4E79"/>
          <w:sz w:val="23"/>
        </w:rPr>
        <w:t>2 · Filtro de disponibilidad: la lista de control de la coordinación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coordinación mantiene una lista de control con 17 revistas ya registradas. Tres de las candidatas figuran en ella, así que la lista actúa como un </w:t>
      </w:r>
      <w:r>
        <w:rPr>
          <w:b/>
          <w:i w:val="0"/>
          <w:color w:val="131B2E"/>
          <w:sz w:val="17"/>
        </w:rPr>
        <w:t>segundo filtro de entrada</w:t>
      </w:r>
      <w:r>
        <w:rPr>
          <w:b w:val="0"/>
          <w:i w:val="0"/>
          <w:color w:val="131B2E"/>
          <w:sz w:val="17"/>
        </w:rPr>
        <w:t>: no cambia el puntaje de ninguna revista, decide cuáles siguen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Lista de control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8 de la lista de control institucional, registrada como Q1 · Indonesia · USD 385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7 de la lista de control institucional, registrada como Q3 · Reino Unido · USD 700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5 de la lista de control institucional, registrada como Q3 · Reino Unido · USD 1 100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Se separa del puntaje a propósito.</w:t>
      </w:r>
      <w:r>
        <w:rPr>
          <w:b w:val="0"/>
          <w:i/>
          <w:color w:val="5B6B8C"/>
          <w:sz w:val="16"/>
        </w:rPr>
        <w:t xml:space="preserve"> Bajar la nota de una revista por estar en la lista mezclaría una restricción administrativa con una evaluación técnica y haría irreproducible la matriz. Nota aparte: la lista registra a BEEI como Q1 y el APC de IJSSE como USD 700; las fuentes oficiales consultadas el 26/08/2026 dan Q1 por CiteScore y Q3 por SJR, y USD 850. Las discrepancias se dejan a la vista.</w:t>
      </w:r>
    </w:p>
    <w:p>
      <w:pPr>
        <w:spacing w:before="180" w:after="60"/>
      </w:pPr>
      <w:r>
        <w:rPr>
          <w:b/>
          <w:color w:val="1F4E79"/>
          <w:sz w:val="23"/>
        </w:rPr>
        <w:t>3 · Criterios y pesos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69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Regla de puntuación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Coincidencia entre el alcance editorial declarado y el problema, método y dominio del artículo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CiteScore, percentil y cuartil SJR identificados por separado, con su fuente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Tipo de revisión, tiempo declarado, periodicidad y capacidad de publicación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APC vigente, cargos por página y acceso abierto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Plantilla, límite de páginas y requisitos de envío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Fórmula:</w:t>
      </w:r>
      <w:r>
        <w:rPr>
          <w:b w:val="0"/>
          <w:i w:val="0"/>
          <w:color w:val="131B2E"/>
          <w:sz w:val="16"/>
        </w:rPr>
        <w:t xml:space="preserve"> aporte = puntaje × peso / 10, con puntajes de 0 a 10 y total sobre 100. Ningún criterio supera el 30 %, por debajo del techo del 35–40 % recomendado. La pertinencia pesa más que la visibilidad </w:t>
      </w:r>
      <w:r>
        <w:rPr>
          <w:b/>
          <w:i w:val="0"/>
          <w:color w:val="131B2E"/>
          <w:sz w:val="16"/>
        </w:rPr>
        <w:t>a propósito</w:t>
      </w:r>
      <w:r>
        <w:rPr>
          <w:b w:val="0"/>
          <w:i w:val="0"/>
          <w:color w:val="131B2E"/>
          <w:sz w:val="16"/>
        </w:rPr>
        <w:t>: un mal encaje temático produce rechazo de escritorio por muy alto que sea el cuartil.</w:t>
      </w:r>
    </w:p>
    <w:p>
      <w:pPr>
        <w:spacing w:before="180" w:after="60"/>
      </w:pPr>
      <w:r>
        <w:rPr>
          <w:b/>
          <w:color w:val="1F4E79"/>
          <w:sz w:val="23"/>
        </w:rPr>
        <w:t>4 · Matriz de decisión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(peso)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BEEI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ISJ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IJSSE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ICS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IJACSA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(30 %)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(25 %)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(20 %)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(15 %)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(10 %)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PUNTAJE PONDERADO</w:t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84.0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82.0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81.0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75.5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73.5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69.0</w:t>
            </w:r>
            <w:r>
              <w:rPr>
                <w:b w:val="0"/>
                <w:color w:val="131B2E"/>
                <w:sz w:val="15"/>
              </w:rPr>
            </w:r>
          </w:p>
        </w:tc>
      </w:tr>
      <w:tr>
        <w:tc>
          <w:tcPr>
            <w:tcW w:type="dxa" w:w="30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Datos con fuente primaria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b/>
          <w:color w:val="1F4E79"/>
          <w:sz w:val="23"/>
        </w:rPr>
        <w:t>5 · Plan A, B y C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Los planes se asignan </w:t>
      </w:r>
      <w:r>
        <w:rPr>
          <w:b/>
          <w:i w:val="0"/>
          <w:color w:val="131B2E"/>
          <w:sz w:val="16"/>
        </w:rPr>
        <w:t>solo entre las candidatas disponibles</w:t>
      </w:r>
      <w:r>
        <w:rPr>
          <w:b w:val="0"/>
          <w:i w:val="0"/>
          <w:color w:val="131B2E"/>
          <w:sz w:val="16"/>
        </w:rPr>
        <w:t>. Los puntajes de las tres ya registradas se conservan a la vista para que la comparación siga completa.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</w:t>
            </w:r>
          </w:p>
        </w:tc>
        <w:tc>
          <w:tcPr>
            <w:tcW w:type="dxa" w:w="669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esa posición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87.5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El mayor volumen de las disponibles</w:t>
            </w:r>
            <w:r>
              <w:rPr>
                <w:b w:val="0"/>
                <w:color w:val="131B2E"/>
                <w:sz w:val="15"/>
              </w:rPr>
              <w:t xml:space="preserve"> —481, 556 y 467 artículos en 2024, 2025 y 2026— con el APC más bajo del conjunto y publicación 2 meses después de aceptar. Con reserva: hay que confirmar que sigue activa en Scopus.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84.0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Mejor puntaje absoluto, pero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B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82.0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Volumen comparable con respaldo de Springer, que elimina el riesgo de descontinuación, y </w:t>
            </w:r>
            <w:r>
              <w:rPr>
                <w:b/>
                <w:color w:val="131B2E"/>
                <w:sz w:val="15"/>
              </w:rPr>
              <w:t>sin APC</w:t>
            </w:r>
            <w:r>
              <w:rPr>
                <w:b w:val="0"/>
                <w:color w:val="131B2E"/>
                <w:sz w:val="15"/>
              </w:rPr>
              <w:t xml:space="preserve"> por la vía de suscripción. Su tiempo de revisión está sin verificar.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C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81.0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No exige APC</w:t>
            </w:r>
            <w:r>
              <w:rPr>
                <w:b w:val="0"/>
                <w:color w:val="131B2E"/>
                <w:sz w:val="15"/>
              </w:rPr>
              <w:t xml:space="preserve"> por la vía de suscripción. Sube al primer puesto al corregirse su capacidad, que no era de 21 artículos al año sino de 35-38. Su puntaje es el más frágil del conjunto: 0 de 6 datos verificados en la revista.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77.5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Puntúa menos, pero es la única con los seis datos verificados en la propia revista, la única con Q2 y factor de impacto de Web of Science confirmados, y la única que publica detección y mitigación. Su desventaja está declarada: 3-6 meses.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75.5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Encaje idéntico al de BEEI y ciclo rápido, pero menor visibilidad y APC del doble.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73.5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El mayor prestigio (h-index 60), pero su centro editorial se inclina a factores humanos y sus datos siguen sin verificar.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69.5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La más rápida, pero de alcance genérico, con el APC más alto y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69.0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El único </w:t>
            </w:r>
            <w:r>
              <w:rPr>
                <w:b/>
                <w:color w:val="131B2E"/>
                <w:sz w:val="15"/>
              </w:rPr>
              <w:t>Q3</w:t>
            </w:r>
            <w:r>
              <w:rPr>
                <w:b w:val="0"/>
                <w:color w:val="131B2E"/>
                <w:sz w:val="15"/>
              </w:rPr>
              <w:t xml:space="preserve"> verificado de las disponibles, con 305 artículos al año y revisión de unos 2 meses. Su APC de USD 850 y su menor producción temática la dejan por debajo, pero cumple todos los criterios.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El orden por debajo del Plan A es provisional.</w:t>
      </w:r>
      <w:r>
        <w:rPr>
          <w:b w:val="0"/>
          <w:i/>
          <w:color w:val="5B6B8C"/>
          <w:sz w:val="16"/>
        </w:rPr>
        <w:t xml:space="preserve"> Solo BEEI, IJSSE y CIT tienen sus datos sensibles verificados en fuente primaria; ISJ, ICS e IJACSA se puntuaron con fuentes secundarias, y completar esa verificación puede reordenarlas. La distancia entre CIT (77,5) y ISJ (77,0) es de medio punto: menor que el margen que puede mover una sola verificación pendiente.</w:t>
      </w:r>
    </w:p>
    <w:p>
      <w:pPr>
        <w:spacing w:before="180" w:after="60"/>
      </w:pPr>
      <w:r>
        <w:rPr>
          <w:b/>
          <w:color w:val="1F4E79"/>
          <w:sz w:val="23"/>
        </w:rPr>
        <w:t>6 · Justificación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IJIES encabeza con 87.5 puntos sobre 100</w:t>
      </w:r>
      <w:r>
        <w:rPr>
          <w:b w:val="0"/>
          <w:i w:val="0"/>
          <w:color w:val="131B2E"/>
          <w:sz w:val="17"/>
        </w:rPr>
        <w:t>, por delante de IJIT (82.0), y es la única candidata que supera a BEEI (87.5) en puntuación absoluta.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Volumen anual, medido con OpenAlex para que todas se cuenten igual:</w:t>
      </w:r>
      <w:r>
        <w:rPr>
          <w:b w:val="0"/>
          <w:i w:val="0"/>
          <w:color w:val="131B2E"/>
          <w:sz w:val="17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2023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2024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2025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2026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389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481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556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467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661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640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1447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1539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1347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707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415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453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377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305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17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62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47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43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35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23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La diferencia es de un orden de magnitud:</w:t>
      </w:r>
      <w:r>
        <w:rPr>
          <w:b w:val="0"/>
          <w:i w:val="0"/>
          <w:color w:val="131B2E"/>
          <w:sz w:val="17"/>
        </w:rPr>
        <w:t xml:space="preserve"> IJIES e IJIT publican entre diez y quince veces más que CIT, ISJ o ICS. Donde CIT abre 4 números al año, IJIES abre 12.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Pero más volumen no es lo mismo que más fácil.</w:t>
      </w:r>
      <w:r>
        <w:rPr>
          <w:b w:val="0"/>
          <w:i w:val="0"/>
          <w:color w:val="131B2E"/>
          <w:sz w:val="17"/>
        </w:rPr>
        <w:t xml:space="preserve"> IJIES publica su tasa de aceptación —cosa que ninguna otra candidata hace— y es del 17,9 % en 2025, 17,8 % en 2024 y 14,1 % en 2023. Publica mucho porque recibe mucho, no porque acepte con facilidad. Lo que un volumen alto sí garantiza es real y se mide en trimestres: más plazas abiertas y menos espera. IJIES publica unos 2 meses después de aceptar y saca número cada mes; CIT tarda de 3 a 6 meses solo en la primera decisión y saca cuatro números al año.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Por qué IJIES encabeza:</w:t>
      </w:r>
      <w:r>
        <w:rPr>
          <w:b w:val="0"/>
          <w:i w:val="0"/>
          <w:color w:val="131B2E"/>
          <w:sz w:val="17"/>
        </w:rPr>
        <w:t xml:space="preserve"> desde 2024 lleva 86 artículos cuyo título nombra detección de intrusiones, detección de anomalías o seguridad de redes, y ninguna otra candidata se acerca; es la más barata de las que cobran, con USD 300 hoy y USD 400 desde el 1 de octubre de 2026, por debajo incluso de los USD 415 de BEEI; y es la más rápida del conjunto.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Su riesgo es concreto y hay que resolverlo antes de enviar nada:</w:t>
      </w:r>
      <w:r>
        <w:rPr>
          <w:b w:val="0"/>
          <w:i w:val="0"/>
          <w:color w:val="131B2E"/>
          <w:sz w:val="17"/>
        </w:rPr>
        <w:t xml:space="preserve"> confirmar que su cobertura en Scopus sigue activa. TELKOMNIKA, IJECE e IJEECS —revistas independientes del mismo perfil de alto volumen— fueron descontinuadas de Scopus en 2025, y publicar en una revista descontinuada invalidaría el artículo para cualquier requisito de indexación.</w:t>
      </w:r>
    </w:p>
    <w:p>
      <w:pPr>
        <w:spacing w:after="80"/>
        <w:jc w:val="both"/>
      </w:pPr>
      <w:r>
        <w:rPr>
          <w:b w:val="0"/>
          <w:i/>
          <w:color w:val="131B2E"/>
          <w:sz w:val="17"/>
        </w:rPr>
      </w:r>
      <w:r>
        <w:rPr>
          <w:b/>
          <w:i/>
          <w:color w:val="131B2E"/>
          <w:sz w:val="17"/>
        </w:rPr>
        <w:t>Ese riesgo es lo que da valor al Plan B.</w:t>
      </w:r>
      <w:r>
        <w:rPr>
          <w:b w:val="0"/>
          <w:i/>
          <w:color w:val="131B2E"/>
          <w:sz w:val="17"/>
        </w:rPr>
        <w:t xml:space="preserve"> IJIT tiene un volumen comparable, unos 640 artículos al año, está editada por Springer Nature —de modo que la descontinuación deja de ser una preocupación— y no cobra APC por la vía de suscripción. Su punto ciego es el opuesto: su tiempo de revisión está sin verificar, y por eso puntúa 8 y no 10 en viabilidad. No se premia un dato que no se conoce.</w:t>
      </w:r>
    </w:p>
    <w:p>
      <w:pPr>
        <w:spacing w:before="180" w:after="60"/>
      </w:pPr>
      <w:r>
        <w:rPr>
          <w:b/>
          <w:color w:val="1F4E79"/>
          <w:sz w:val="23"/>
        </w:rPr>
        <w:t>9 · Pendientes antes del envío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Confirmar que IJIES sigue con cobertura activa en Scopus</w:t>
      </w:r>
      <w:r>
        <w:rPr>
          <w:b w:val="0"/>
          <w:i w:val="0"/>
          <w:color w:val="131B2E"/>
          <w:sz w:val="16"/>
        </w:rPr>
        <w:t xml:space="preserve"> (ficha de fuente 21100199790): es la verificación más importante de la matriz, porque TELKOMNIKA, IJECE e IJEECS, del mismo perfil, cayeron en 2025. · </w:t>
      </w:r>
      <w:r>
        <w:rPr>
          <w:b/>
          <w:i w:val="0"/>
          <w:color w:val="131B2E"/>
          <w:sz w:val="16"/>
        </w:rPr>
        <w:t>Verificar el tiempo de revisión de IJIT</w:t>
      </w:r>
      <w:r>
        <w:rPr>
          <w:b w:val="0"/>
          <w:i w:val="0"/>
          <w:color w:val="131B2E"/>
          <w:sz w:val="16"/>
        </w:rPr>
        <w:t xml:space="preserve">, lo único que le impide competir por el primer puesto. · </w:t>
      </w:r>
      <w:r>
        <w:rPr>
          <w:b/>
          <w:i w:val="0"/>
          <w:color w:val="131B2E"/>
          <w:sz w:val="16"/>
        </w:rPr>
        <w:t>Verificar el tipo y el tiempo de revisión de ISJ.</w:t>
      </w:r>
      <w:r>
        <w:rPr>
          <w:b w:val="0"/>
          <w:i w:val="0"/>
          <w:color w:val="131B2E"/>
          <w:sz w:val="16"/>
        </w:rPr>
        <w:t xml:space="preserve"> · </w:t>
      </w:r>
      <w:r>
        <w:rPr>
          <w:b/>
          <w:i w:val="0"/>
          <w:color w:val="131B2E"/>
          <w:sz w:val="16"/>
        </w:rPr>
        <w:t>Confirmar que ISJ e ICS siguen aceptando la vía de suscripción sin APC:</w:t>
      </w:r>
      <w:r>
        <w:rPr>
          <w:b w:val="0"/>
          <w:i w:val="0"/>
          <w:color w:val="131B2E"/>
          <w:sz w:val="16"/>
        </w:rPr>
        <w:t xml:space="preserve"> su puntaje de coste de 10 sostiene el primer puesto. · </w:t>
      </w:r>
      <w:r>
        <w:rPr>
          <w:b/>
          <w:i w:val="0"/>
          <w:color w:val="131B2E"/>
          <w:sz w:val="16"/>
        </w:rPr>
        <w:t>Confirmar con la coordinación qué significa estar en la lista de control:</w:t>
      </w:r>
      <w:r>
        <w:rPr>
          <w:b w:val="0"/>
          <w:i w:val="0"/>
          <w:color w:val="131B2E"/>
          <w:sz w:val="16"/>
        </w:rPr>
        <w:t xml:space="preserve"> si inhabilita la revista o solo la registra. Toda la sección 2 depende de esa respuesta. · </w:t>
      </w:r>
      <w:r>
        <w:rPr>
          <w:b/>
          <w:i w:val="0"/>
          <w:color w:val="131B2E"/>
          <w:sz w:val="16"/>
        </w:rPr>
        <w:t>Aclarar el APC vigente de CIT:</w:t>
      </w:r>
      <w:r>
        <w:rPr>
          <w:b w:val="0"/>
          <w:i w:val="0"/>
          <w:color w:val="131B2E"/>
          <w:sz w:val="16"/>
        </w:rPr>
        <w:t xml:space="preserve"> su registro en DOAJ declara 360 EUR y sus instrucciones para autores 600 EUR desde el 1 de septiembre de 2026; y preguntar si aplica por fecha de envío o de aceptación. · Pasar el manuscrito por un detector de texto generado por IA: CIT rechaza </w:t>
      </w:r>
      <w:r>
        <w:rPr>
          <w:b/>
          <w:i w:val="0"/>
          <w:color w:val="131B2E"/>
          <w:sz w:val="16"/>
        </w:rPr>
        <w:t>sin derecho a revisión</w:t>
      </w:r>
      <w:r>
        <w:rPr>
          <w:b w:val="0"/>
          <w:i w:val="0"/>
          <w:color w:val="131B2E"/>
          <w:sz w:val="16"/>
        </w:rPr>
        <w:t xml:space="preserve"> por encima del 20 %. · Completar en fuente primaria los datos de ISJ, ICS e IJACSA, hoy en 0 de 6. · Verificar el </w:t>
      </w:r>
      <w:r>
        <w:rPr>
          <w:b/>
          <w:i w:val="0"/>
          <w:color w:val="131B2E"/>
          <w:sz w:val="16"/>
        </w:rPr>
        <w:t>cuartil SJR</w:t>
      </w:r>
      <w:r>
        <w:rPr>
          <w:b w:val="0"/>
          <w:i w:val="0"/>
          <w:color w:val="131B2E"/>
          <w:sz w:val="16"/>
        </w:rPr>
        <w:t xml:space="preserve"> en Scimago: </w:t>
      </w:r>
      <w:r>
        <w:rPr>
          <w:b/>
          <w:i w:val="0"/>
          <w:color w:val="131B2E"/>
          <w:sz w:val="16"/>
        </w:rPr>
        <w:t>el percentil de Scopus no es el cuartil SJR</w:t>
      </w:r>
      <w:r>
        <w:rPr>
          <w:b w:val="0"/>
          <w:i w:val="0"/>
          <w:color w:val="131B2E"/>
          <w:sz w:val="16"/>
        </w:rPr>
        <w:t>. · Reverificar todos los APC: el de IJSSE pasó de USD 700 a USD 850 entre dos consultas.</w:t>
      </w:r>
    </w:p>
    <w:p>
      <w:pPr>
        <w:spacing w:before="180" w:after="60"/>
      </w:pPr>
      <w:r>
        <w:rPr>
          <w:b/>
          <w:color w:val="1F4E79"/>
          <w:sz w:val="23"/>
        </w:rPr>
        <w:t>8 · Cumplimiento de los criterios pedidos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Se auditan uno por uno, sin agregarlos en un puntaje, porque </w:t>
      </w:r>
      <w:r>
        <w:rPr>
          <w:b/>
          <w:i w:val="0"/>
          <w:color w:val="131B2E"/>
          <w:sz w:val="16"/>
        </w:rPr>
        <w:t>un criterio incumplido no se compensa con otro</w:t>
      </w:r>
      <w:r>
        <w:rPr>
          <w:b w:val="0"/>
          <w:i w:val="0"/>
          <w:color w:val="131B2E"/>
          <w:sz w:val="16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Cuartil Q3 preferido, Q2 aceptable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Tema afin a ciberseguridad o redes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Facil de publicar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depredadoras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control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Publica muchos articulos al ano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Indexacion vigente comprobada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Enlace y fuente por cada dato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Ninguna de las tres cumple los ocho criterios</w:t>
      </w:r>
      <w:r>
        <w:rPr>
          <w:b w:val="0"/>
          <w:i w:val="0"/>
          <w:color w:val="131B2E"/>
          <w:sz w:val="17"/>
        </w:rPr>
        <w:t>, y cada una falla en algo distinto: a IJIES le falta confirmar que sigue en Scopus —lo único que la separa de cumplirlo todo—; el expediente de IJIT es entero de segunda mano, 0 de 6 datos en fuente primaria; e ISI tiene el APC más alto de las tres, USD 850, y la menor producción temática.</w:t>
      </w:r>
    </w:p>
    <w:p>
      <w:pPr>
        <w:spacing w:after="80"/>
        <w:jc w:val="both"/>
      </w:pPr>
      <w:r>
        <w:rPr>
          <w:b w:val="0"/>
          <w:i/>
          <w:color w:val="131B2E"/>
          <w:sz w:val="16"/>
        </w:rPr>
      </w:r>
      <w:r>
        <w:rPr>
          <w:b/>
          <w:i/>
          <w:color w:val="131B2E"/>
          <w:sz w:val="16"/>
        </w:rPr>
        <w:t>Dos criterios no se pueden cerrar con ninguna.</w:t>
      </w:r>
      <w:r>
        <w:rPr>
          <w:b w:val="0"/>
          <w:i/>
          <w:color w:val="131B2E"/>
          <w:sz w:val="16"/>
        </w:rPr>
        <w:t xml:space="preserve"> «Fácil de publicar»: solo IJIES publica su tasa de aceptación, y es del 17,9 %; las otras dos no publican el dato, así que su casilla queda en interrogante y no en aprobado, porque </w:t>
      </w:r>
      <w:r>
        <w:rPr>
          <w:b/>
          <w:i/>
          <w:color w:val="131B2E"/>
          <w:sz w:val="16"/>
        </w:rPr>
        <w:t>no saber no es aprobar</w:t>
      </w:r>
      <w:r>
        <w:rPr>
          <w:b w:val="0"/>
          <w:i/>
          <w:color w:val="131B2E"/>
          <w:sz w:val="16"/>
        </w:rPr>
        <w:t>. Y el cuartil Q3 preferido: solo ISI lo tiene verificado; IJIES e IJIT son Q2, aceptable como alternativa pero no la primera opción. Si «fácil de publicar» pesa más que el volumen, esta matriz no tiene hoy evidencia para responder, y pedir la tasa de aceptación por correo a IJIT e ISI es más útil que reordenar puntajes.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Matriz detallada, con la ficha completa de cada candidata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Mapeo por secciones de 10 artículos de las dos primeras candidatas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426"/>
      </w:tabs>
    </w:pPr>
    <w:r/>
    <w:r>
      <w:rPr>
        <w:color w:val="5B6B8C"/>
        <w:sz w:val="14"/>
      </w:rPr>
      <w:t>Matriz de decisión de revistas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9-matriz-revistas/matriz-decision-revista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articulo/README.md" TargetMode="External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decisión de revistas</dc:title>
  <dc:subject>Investigación V · Sesión 04 · Revista objetivo y plan de respaldo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