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comparaciones, ROC-AUC 0,974 y validación cruzada agrupada por episodio. Alfa no aplica: no hay escalas. Kappa no aplica: no hay jueces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 / 4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paso, con validación cruzada por episodio que la respalda. Falta la jornada de holdout temporal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 / 20  ·  80 %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19 de 20.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Ejecutada, agrupada por episodio en 5 pliegues: la detección media cae dentro del intervalo de confianza de la evaluación de un solo paso, así que el resultado no depende de la partición elegida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de validación operativa con resultados equivalentes (25,8 % y 23,0 %) y remuestreo del umbral con B = 1 000: coeficiente de variación 4,10 %, por debajo del 5 % declarado de antemano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12 / 15 puntos  =  80.0 %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Lo que sigue faltando es </w:t>
      </w:r>
      <w:r>
        <w:rPr>
          <w:b/>
          <w:i w:val="0"/>
          <w:color w:val="131B2E"/>
          <w:sz w:val="20"/>
        </w:rPr>
        <w:t>validación cruzada sobre el modelo elegido</w:t>
      </w:r>
      <w:r>
        <w:rPr>
          <w:b w:val="0"/>
          <w:i w:val="0"/>
          <w:color w:val="131B2E"/>
          <w:sz w:val="20"/>
        </w:rPr>
        <w:t>;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575 archivos versionados y 361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declarado: qué componentes son estocásticos y cuáles no, con verificación de 10 ajustes repetidos que producen el mismo SHA-256 y el mismo umbral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el procedimiento exacto de descarga, verificación y regeneración; queda pendiente el manual de instalación desde cero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18 / 18 puntos  =  100.0 %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Matriz cerrada: cada requisito está cumplido con evidencia enlazada, cumplido con una reserva medida, o declarado pendiente con lo que concretamente falta. Ninguna fila queda en Planificado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12 / 18 puntos  =  66.7 %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66.7 %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82.4 %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una prueba de usabilidad (SUS) con 5–8 evaluadores**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y 3.2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juicio experto con 3 evaluadores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42/51 (82.4 %)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49/51 (96.1 %)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575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Ficha de auditoría del producto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auditoría del producto</dc:title>
  <dc:subject>Auditoría de confiabilidad, replicabilidad y pertinencia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