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8B1A2B"/>
          <w:sz w:val="44"/>
          <w:szCs w:val="44"/>
        </w:rPr>
        <w:t xml:space="preserve">Setting Up the Stimulus Screen</w:t>
      </w:r>
    </w:p>
    <w:p>
      <w:pPr>
        <w:spacing w:after="120" w:before="0" w:line="276"/>
      </w:pPr>
      <w:r>
        <w:rPr>
          <w:rFonts w:ascii="Calibri" w:cs="Calibri" w:eastAsia="Calibri" w:hAnsi="Calibri"/>
          <w:sz w:val="26"/>
          <w:szCs w:val="26"/>
        </w:rPr>
        <w:t xml:space="preserve">What to do when the respondent's monitor, its Windows display settings, or the lab computer changes</w:t>
      </w:r>
    </w:p>
    <w:p>
      <w:pPr>
        <w:pBdr>
          <w:bottom w:val="single" w:color="8B1A2B" w:sz="6" w:space="4"/>
        </w:pBdr>
        <w:spacing w:after="160"/>
      </w:pPr>
      <w:r>
        <w:rPr>
          <w:rFonts w:ascii="Calibri" w:cs="Calibri" w:eastAsia="Calibri" w:hAnsi="Calibri"/>
          <w:color w:val="444444"/>
          <w:sz w:val="20"/>
          <w:szCs w:val="20"/>
        </w:rPr>
        <w:t xml:space="preserve">Martin's Family Clothing Consumer Behavior Research Laboratory, Jacksonville State University</w:t>
      </w:r>
    </w:p>
    <w:p>
      <w:pPr>
        <w:spacing w:after="200" w:before="0" w:line="276"/>
      </w:pPr>
      <w:r>
        <w:rPr>
          <w:rFonts w:ascii="Calibri" w:cs="Calibri" w:eastAsia="Calibri" w:hAnsi="Calibri"/>
          <w:i/>
          <w:iCs/>
          <w:color w:val="444444"/>
          <w:sz w:val="20"/>
          <w:szCs w:val="20"/>
        </w:rPr>
        <w:t xml:space="preserve">Prepared October 13, 2026 for Dr. Mark J. Sciuchetti Jr. and lab technicians. Every menu path is quoted from the iMotions help center (read signed in on October 12, 2026) or, where marked, from what the lab computer "Lab - Alien" showed on October 12, 2026. Steps the lab adds on its own are labeled Lab convention.</w:t>
      </w:r>
    </w:p>
    <w:p>
      <w:pPr>
        <w:pStyle w:val="Heading1"/>
        <w:spacing w:after="120" w:before="320"/>
      </w:pPr>
      <w:r>
        <w:rPr>
          <w:rFonts w:ascii="Calibri" w:cs="Calibri" w:eastAsia="Calibri" w:hAnsi="Calibri"/>
          <w:b/>
          <w:bCs/>
          <w:color w:val="8B1A2B"/>
          <w:sz w:val="30"/>
          <w:szCs w:val="30"/>
        </w:rPr>
        <w:t xml:space="preserve">1. When to use this procedure</w:t>
      </w:r>
    </w:p>
    <w:p>
      <w:pPr>
        <w:spacing w:after="120" w:before="0" w:line="276"/>
      </w:pPr>
      <w:r>
        <w:rPr>
          <w:rFonts w:ascii="Calibri" w:cs="Calibri" w:eastAsia="Calibri" w:hAnsi="Calibri"/>
          <w:sz w:val="22"/>
          <w:szCs w:val="22"/>
        </w:rPr>
        <w:t xml:space="preserve">Run the parts marked in the table below whenever one of these happens:</w:t>
      </w:r>
    </w:p>
    <w:p>
      <w:pPr>
        <w:pStyle w:val="ListParagraph"/>
        <w:numPr>
          <w:ilvl w:val="0"/>
          <w:numId w:val="2"/>
        </w:numPr>
        <w:spacing w:after="80" w:line="276"/>
      </w:pPr>
      <w:r>
        <w:rPr>
          <w:rFonts w:ascii="Calibri" w:cs="Calibri" w:eastAsia="Calibri" w:hAnsi="Calibri"/>
          <w:sz w:val="22"/>
          <w:szCs w:val="22"/>
        </w:rPr>
        <w:t xml:space="preserve">A different monitor will show the stimuli, for example moving the respondent from "MARKS" to the Dell, or adding a new monitor.</w:t>
      </w:r>
    </w:p>
    <w:p>
      <w:pPr>
        <w:pStyle w:val="ListParagraph"/>
        <w:numPr>
          <w:ilvl w:val="0"/>
          <w:numId w:val="2"/>
        </w:numPr>
        <w:spacing w:after="80" w:line="276"/>
      </w:pPr>
      <w:r>
        <w:rPr>
          <w:rFonts w:ascii="Calibri" w:cs="Calibri" w:eastAsia="Calibri" w:hAnsi="Calibri"/>
          <w:sz w:val="22"/>
          <w:szCs w:val="22"/>
        </w:rPr>
        <w:t xml:space="preserve">The Windows Display resolution or Scale changes on either monitor.</w:t>
      </w:r>
    </w:p>
    <w:p>
      <w:pPr>
        <w:pStyle w:val="ListParagraph"/>
        <w:numPr>
          <w:ilvl w:val="0"/>
          <w:numId w:val="2"/>
        </w:numPr>
        <w:spacing w:after="80" w:line="276"/>
      </w:pPr>
      <w:r>
        <w:rPr>
          <w:rFonts w:ascii="Calibri" w:cs="Calibri" w:eastAsia="Calibri" w:hAnsi="Calibri"/>
          <w:sz w:val="22"/>
          <w:szCs w:val="22"/>
        </w:rPr>
        <w:t xml:space="preserve">The Smart Eye Aurora is moved to another monitor.</w:t>
      </w:r>
    </w:p>
    <w:p>
      <w:pPr>
        <w:pStyle w:val="ListParagraph"/>
        <w:numPr>
          <w:ilvl w:val="0"/>
          <w:numId w:val="2"/>
        </w:numPr>
        <w:spacing w:after="80" w:line="276"/>
      </w:pPr>
      <w:r>
        <w:rPr>
          <w:rFonts w:ascii="Calibri" w:cs="Calibri" w:eastAsia="Calibri" w:hAnsi="Calibri"/>
          <w:sz w:val="22"/>
          <w:szCs w:val="22"/>
        </w:rPr>
        <w:t xml:space="preserve">A study is imported from another computer, or a study will be recorded on the second lab computer.</w:t>
      </w:r>
    </w:p>
    <w:p>
      <w:pPr>
        <w:pStyle w:val="ListParagraph"/>
        <w:numPr>
          <w:ilvl w:val="0"/>
          <w:numId w:val="2"/>
        </w:numPr>
        <w:spacing w:after="80" w:line="276"/>
      </w:pPr>
      <w:r>
        <w:rPr>
          <w:rFonts w:ascii="Calibri" w:cs="Calibri" w:eastAsia="Calibri" w:hAnsi="Calibri"/>
          <w:sz w:val="22"/>
          <w:szCs w:val="22"/>
        </w:rPr>
        <w:t xml:space="preserve">Start Recording stops with "Inconsistent screen resolutions".</w:t>
      </w:r>
    </w:p>
    <w:p>
      <w:pPr>
        <w:spacing w:after="120" w:before="80" w:line="276"/>
      </w:pPr>
      <w:r>
        <w:rPr>
          <w:rFonts w:ascii="Calibri" w:cs="Calibri" w:eastAsia="Calibri" w:hAnsi="Calibri"/>
          <w:b/>
          <w:bCs/>
          <w:sz w:val="22"/>
          <w:szCs w:val="22"/>
        </w:rPr>
        <w:t xml:space="preserve">Current lab setup (October 12, 2026): </w:t>
      </w:r>
      <w:r>
        <w:rPr>
          <w:rFonts w:ascii="Calibri" w:cs="Calibri" w:eastAsia="Calibri" w:hAnsi="Calibri"/>
          <w:sz w:val="22"/>
          <w:szCs w:val="22"/>
        </w:rPr>
        <w:t xml:space="preserve">respondents look at "MARKS" (2560 x 1440, 34.4 x 19.4 cm), which carries the Aurora. The Dell U2717D is the operator (experimenter) screen.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1290"/>
        <w:gridCol w:w="1470"/>
        <w:gridCol w:w="1500"/>
        <w:gridCol w:w="1500"/>
        <w:gridCol w:w="1440"/>
      </w:tblGrid>
      <w:tr>
        <w:trPr>
          <w:tblHeader/>
        </w:trPr>
        <w:tc>
          <w:tcPr>
            <w:tcW w:type="dxa" w:w="2880"/>
            <w:tcBorders>
              <w:top w:val="single" w:color="BFB8B9" w:sz="4"/>
              <w:left w:val="single" w:color="BFB8B9" w:sz="4"/>
              <w:bottom w:val="single" w:color="BFB8B9" w:sz="4"/>
              <w:right w:val="single" w:color="BFB8B9" w:sz="4"/>
            </w:tcBorders>
            <w:shd w:fill="EFE9EA" w:color="auto" w:val="clear"/>
            <w:tcMar>
              <w:top w:type="dxa" w:w="60"/>
              <w:left w:type="dxa" w:w="80"/>
              <w:bottom w:type="dxa" w:w="60"/>
              <w:right w:type="dxa" w:w="80"/>
            </w:tcMar>
          </w:tcPr>
          <w:p>
            <w:pPr>
              <w:spacing w:after="40" w:line="240"/>
            </w:pPr>
            <w:r>
              <w:rPr>
                <w:rFonts w:ascii="Calibri" w:cs="Calibri" w:eastAsia="Calibri" w:hAnsi="Calibri"/>
                <w:b/>
                <w:bCs/>
                <w:sz w:val="17"/>
                <w:szCs w:val="17"/>
              </w:rPr>
              <w:t xml:space="preserve">What changed</w:t>
            </w:r>
          </w:p>
        </w:tc>
        <w:tc>
          <w:tcPr>
            <w:tcW w:type="dxa" w:w="1290"/>
            <w:tcBorders>
              <w:top w:val="single" w:color="BFB8B9" w:sz="4"/>
              <w:left w:val="single" w:color="BFB8B9" w:sz="4"/>
              <w:bottom w:val="single" w:color="BFB8B9" w:sz="4"/>
              <w:right w:val="single" w:color="BFB8B9" w:sz="4"/>
            </w:tcBorders>
            <w:shd w:fill="EFE9EA" w:color="auto" w:val="clear"/>
            <w:tcMar>
              <w:top w:type="dxa" w:w="60"/>
              <w:left w:type="dxa" w:w="80"/>
              <w:bottom w:type="dxa" w:w="60"/>
              <w:right w:type="dxa" w:w="80"/>
            </w:tcMar>
          </w:tcPr>
          <w:p>
            <w:pPr>
              <w:spacing w:after="40" w:line="240"/>
            </w:pPr>
            <w:r>
              <w:rPr>
                <w:rFonts w:ascii="Calibri" w:cs="Calibri" w:eastAsia="Calibri" w:hAnsi="Calibri"/>
                <w:b/>
                <w:bCs/>
                <w:sz w:val="17"/>
                <w:szCs w:val="17"/>
              </w:rPr>
              <w:t xml:space="preserve">A. Windows</w:t>
            </w:r>
          </w:p>
        </w:tc>
        <w:tc>
          <w:tcPr>
            <w:tcW w:type="dxa" w:w="1470"/>
            <w:tcBorders>
              <w:top w:val="single" w:color="BFB8B9" w:sz="4"/>
              <w:left w:val="single" w:color="BFB8B9" w:sz="4"/>
              <w:bottom w:val="single" w:color="BFB8B9" w:sz="4"/>
              <w:right w:val="single" w:color="BFB8B9" w:sz="4"/>
            </w:tcBorders>
            <w:shd w:fill="EFE9EA" w:color="auto" w:val="clear"/>
            <w:tcMar>
              <w:top w:type="dxa" w:w="60"/>
              <w:left w:type="dxa" w:w="80"/>
              <w:bottom w:type="dxa" w:w="60"/>
              <w:right w:type="dxa" w:w="80"/>
            </w:tcMar>
          </w:tcPr>
          <w:p>
            <w:pPr>
              <w:spacing w:after="40" w:line="240"/>
            </w:pPr>
            <w:r>
              <w:rPr>
                <w:rFonts w:ascii="Calibri" w:cs="Calibri" w:eastAsia="Calibri" w:hAnsi="Calibri"/>
                <w:b/>
                <w:bCs/>
                <w:sz w:val="17"/>
                <w:szCs w:val="17"/>
              </w:rPr>
              <w:t xml:space="preserve">B. Aurora setup</w:t>
            </w:r>
          </w:p>
        </w:tc>
        <w:tc>
          <w:tcPr>
            <w:tcW w:type="dxa" w:w="1500"/>
            <w:tcBorders>
              <w:top w:val="single" w:color="BFB8B9" w:sz="4"/>
              <w:left w:val="single" w:color="BFB8B9" w:sz="4"/>
              <w:bottom w:val="single" w:color="BFB8B9" w:sz="4"/>
              <w:right w:val="single" w:color="BFB8B9" w:sz="4"/>
            </w:tcBorders>
            <w:shd w:fill="EFE9EA" w:color="auto" w:val="clear"/>
            <w:tcMar>
              <w:top w:type="dxa" w:w="60"/>
              <w:left w:type="dxa" w:w="80"/>
              <w:bottom w:type="dxa" w:w="60"/>
              <w:right w:type="dxa" w:w="80"/>
            </w:tcMar>
          </w:tcPr>
          <w:p>
            <w:pPr>
              <w:spacing w:after="40" w:line="240"/>
            </w:pPr>
            <w:r>
              <w:rPr>
                <w:rFonts w:ascii="Calibri" w:cs="Calibri" w:eastAsia="Calibri" w:hAnsi="Calibri"/>
                <w:b/>
                <w:bCs/>
                <w:sz w:val="17"/>
                <w:szCs w:val="17"/>
              </w:rPr>
              <w:t xml:space="preserve">C. Global Settings</w:t>
            </w:r>
          </w:p>
        </w:tc>
        <w:tc>
          <w:tcPr>
            <w:tcW w:type="dxa" w:w="1500"/>
            <w:tcBorders>
              <w:top w:val="single" w:color="BFB8B9" w:sz="4"/>
              <w:left w:val="single" w:color="BFB8B9" w:sz="4"/>
              <w:bottom w:val="single" w:color="BFB8B9" w:sz="4"/>
              <w:right w:val="single" w:color="BFB8B9" w:sz="4"/>
            </w:tcBorders>
            <w:shd w:fill="EFE9EA" w:color="auto" w:val="clear"/>
            <w:tcMar>
              <w:top w:type="dxa" w:w="60"/>
              <w:left w:type="dxa" w:w="80"/>
              <w:bottom w:type="dxa" w:w="60"/>
              <w:right w:type="dxa" w:w="80"/>
            </w:tcMar>
          </w:tcPr>
          <w:p>
            <w:pPr>
              <w:spacing w:after="40" w:line="240"/>
            </w:pPr>
            <w:r>
              <w:rPr>
                <w:rFonts w:ascii="Calibri" w:cs="Calibri" w:eastAsia="Calibri" w:hAnsi="Calibri"/>
                <w:b/>
                <w:bCs/>
                <w:sz w:val="17"/>
                <w:szCs w:val="17"/>
              </w:rPr>
              <w:t xml:space="preserve">D. Each study</w:t>
            </w:r>
          </w:p>
        </w:tc>
        <w:tc>
          <w:tcPr>
            <w:tcW w:type="dxa" w:w="1440"/>
            <w:tcBorders>
              <w:top w:val="single" w:color="BFB8B9" w:sz="4"/>
              <w:left w:val="single" w:color="BFB8B9" w:sz="4"/>
              <w:bottom w:val="single" w:color="BFB8B9" w:sz="4"/>
              <w:right w:val="single" w:color="BFB8B9" w:sz="4"/>
            </w:tcBorders>
            <w:shd w:fill="EFE9EA" w:color="auto" w:val="clear"/>
            <w:tcMar>
              <w:top w:type="dxa" w:w="60"/>
              <w:left w:type="dxa" w:w="80"/>
              <w:bottom w:type="dxa" w:w="60"/>
              <w:right w:type="dxa" w:w="80"/>
            </w:tcMar>
          </w:tcPr>
          <w:p>
            <w:pPr>
              <w:spacing w:after="40" w:line="240"/>
            </w:pPr>
            <w:r>
              <w:rPr>
                <w:rFonts w:ascii="Calibri" w:cs="Calibri" w:eastAsia="Calibri" w:hAnsi="Calibri"/>
                <w:b/>
                <w:bCs/>
                <w:sz w:val="17"/>
                <w:szCs w:val="17"/>
              </w:rPr>
              <w:t xml:space="preserve">E. Test</w:t>
            </w:r>
          </w:p>
        </w:tc>
      </w:tr>
      <w:tr>
        <w:trPr>
          <w:cantSplit/>
        </w:trPr>
        <w:tc>
          <w:tcPr>
            <w:tcW w:type="dxa" w:w="2880"/>
            <w:tcBorders>
              <w:top w:val="single" w:color="BFB8B9" w:sz="4"/>
              <w:left w:val="single" w:color="BFB8B9" w:sz="4"/>
              <w:bottom w:val="single" w:color="BFB8B9" w:sz="4"/>
              <w:right w:val="single" w:color="BFB8B9" w:sz="4"/>
            </w:tcBorders>
            <w:tcMar>
              <w:top w:type="dxa" w:w="60"/>
              <w:left w:type="dxa" w:w="80"/>
              <w:bottom w:type="dxa" w:w="60"/>
              <w:right w:type="dxa" w:w="80"/>
            </w:tcMar>
          </w:tcPr>
          <w:p>
            <w:pPr>
              <w:spacing w:after="40" w:line="240"/>
            </w:pPr>
            <w:r>
              <w:rPr>
                <w:rFonts w:ascii="Calibri" w:cs="Calibri" w:eastAsia="Calibri" w:hAnsi="Calibri"/>
                <w:b/>
                <w:bCs/>
                <w:sz w:val="17"/>
                <w:szCs w:val="17"/>
              </w:rPr>
              <w:t xml:space="preserve">New stimulus monitor</w:t>
            </w:r>
          </w:p>
        </w:tc>
        <w:tc>
          <w:tcPr>
            <w:tcW w:type="dxa" w:w="1290"/>
            <w:tcBorders>
              <w:top w:val="single" w:color="BFB8B9" w:sz="4"/>
              <w:left w:val="single" w:color="BFB8B9" w:sz="4"/>
              <w:bottom w:val="single" w:color="BFB8B9" w:sz="4"/>
              <w:right w:val="single" w:color="BFB8B9" w:sz="4"/>
            </w:tcBorders>
            <w:tcMar>
              <w:top w:type="dxa" w:w="60"/>
              <w:left w:type="dxa" w:w="80"/>
              <w:bottom w:type="dxa" w:w="60"/>
              <w:right w:type="dxa" w:w="80"/>
            </w:tcMar>
          </w:tcPr>
          <w:p>
            <w:pPr>
              <w:spacing w:after="40" w:line="240"/>
            </w:pPr>
            <w:r>
              <w:rPr>
                <w:rFonts w:ascii="Calibri" w:cs="Calibri" w:eastAsia="Calibri" w:hAnsi="Calibri"/>
                <w:b w:val="false"/>
                <w:bCs w:val="false"/>
                <w:sz w:val="17"/>
                <w:szCs w:val="17"/>
              </w:rPr>
              <w:t xml:space="preserve">Yes</w:t>
            </w:r>
          </w:p>
        </w:tc>
        <w:tc>
          <w:tcPr>
            <w:tcW w:type="dxa" w:w="1470"/>
            <w:tcBorders>
              <w:top w:val="single" w:color="BFB8B9" w:sz="4"/>
              <w:left w:val="single" w:color="BFB8B9" w:sz="4"/>
              <w:bottom w:val="single" w:color="BFB8B9" w:sz="4"/>
              <w:right w:val="single" w:color="BFB8B9" w:sz="4"/>
            </w:tcBorders>
            <w:tcMar>
              <w:top w:type="dxa" w:w="60"/>
              <w:left w:type="dxa" w:w="80"/>
              <w:bottom w:type="dxa" w:w="60"/>
              <w:right w:type="dxa" w:w="80"/>
            </w:tcMar>
          </w:tcPr>
          <w:p>
            <w:pPr>
              <w:spacing w:after="40" w:line="240"/>
            </w:pPr>
            <w:r>
              <w:rPr>
                <w:rFonts w:ascii="Calibri" w:cs="Calibri" w:eastAsia="Calibri" w:hAnsi="Calibri"/>
                <w:b w:val="false"/>
                <w:bCs w:val="false"/>
                <w:sz w:val="17"/>
                <w:szCs w:val="17"/>
              </w:rPr>
              <w:t xml:space="preserve">Yes</w:t>
            </w:r>
          </w:p>
        </w:tc>
        <w:tc>
          <w:tcPr>
            <w:tcW w:type="dxa" w:w="1500"/>
            <w:tcBorders>
              <w:top w:val="single" w:color="BFB8B9" w:sz="4"/>
              <w:left w:val="single" w:color="BFB8B9" w:sz="4"/>
              <w:bottom w:val="single" w:color="BFB8B9" w:sz="4"/>
              <w:right w:val="single" w:color="BFB8B9" w:sz="4"/>
            </w:tcBorders>
            <w:tcMar>
              <w:top w:type="dxa" w:w="60"/>
              <w:left w:type="dxa" w:w="80"/>
              <w:bottom w:type="dxa" w:w="60"/>
              <w:right w:type="dxa" w:w="80"/>
            </w:tcMar>
          </w:tcPr>
          <w:p>
            <w:pPr>
              <w:spacing w:after="40" w:line="240"/>
            </w:pPr>
            <w:r>
              <w:rPr>
                <w:rFonts w:ascii="Calibri" w:cs="Calibri" w:eastAsia="Calibri" w:hAnsi="Calibri"/>
                <w:b w:val="false"/>
                <w:bCs w:val="false"/>
                <w:sz w:val="17"/>
                <w:szCs w:val="17"/>
              </w:rPr>
              <w:t xml:space="preserve">Yes</w:t>
            </w:r>
          </w:p>
        </w:tc>
        <w:tc>
          <w:tcPr>
            <w:tcW w:type="dxa" w:w="1500"/>
            <w:tcBorders>
              <w:top w:val="single" w:color="BFB8B9" w:sz="4"/>
              <w:left w:val="single" w:color="BFB8B9" w:sz="4"/>
              <w:bottom w:val="single" w:color="BFB8B9" w:sz="4"/>
              <w:right w:val="single" w:color="BFB8B9" w:sz="4"/>
            </w:tcBorders>
            <w:tcMar>
              <w:top w:type="dxa" w:w="60"/>
              <w:left w:type="dxa" w:w="80"/>
              <w:bottom w:type="dxa" w:w="60"/>
              <w:right w:type="dxa" w:w="80"/>
            </w:tcMar>
          </w:tcPr>
          <w:p>
            <w:pPr>
              <w:spacing w:after="40" w:line="240"/>
            </w:pPr>
            <w:r>
              <w:rPr>
                <w:rFonts w:ascii="Calibri" w:cs="Calibri" w:eastAsia="Calibri" w:hAnsi="Calibri"/>
                <w:b w:val="false"/>
                <w:bCs w:val="false"/>
                <w:sz w:val="17"/>
                <w:szCs w:val="17"/>
              </w:rPr>
              <w:t xml:space="preserve">Yes</w:t>
            </w:r>
          </w:p>
        </w:tc>
        <w:tc>
          <w:tcPr>
            <w:tcW w:type="dxa" w:w="1440"/>
            <w:tcBorders>
              <w:top w:val="single" w:color="BFB8B9" w:sz="4"/>
              <w:left w:val="single" w:color="BFB8B9" w:sz="4"/>
              <w:bottom w:val="single" w:color="BFB8B9" w:sz="4"/>
              <w:right w:val="single" w:color="BFB8B9" w:sz="4"/>
            </w:tcBorders>
            <w:tcMar>
              <w:top w:type="dxa" w:w="60"/>
              <w:left w:type="dxa" w:w="80"/>
              <w:bottom w:type="dxa" w:w="60"/>
              <w:right w:type="dxa" w:w="80"/>
            </w:tcMar>
          </w:tcPr>
          <w:p>
            <w:pPr>
              <w:spacing w:after="40" w:line="240"/>
            </w:pPr>
            <w:r>
              <w:rPr>
                <w:rFonts w:ascii="Calibri" w:cs="Calibri" w:eastAsia="Calibri" w:hAnsi="Calibri"/>
                <w:b w:val="false"/>
                <w:bCs w:val="false"/>
                <w:sz w:val="17"/>
                <w:szCs w:val="17"/>
              </w:rPr>
              <w:t xml:space="preserve">Yes</w:t>
            </w:r>
          </w:p>
        </w:tc>
      </w:tr>
      <w:tr>
        <w:trPr>
          <w:cantSplit/>
        </w:trPr>
        <w:tc>
          <w:tcPr>
            <w:tcW w:type="dxa" w:w="2880"/>
            <w:tcBorders>
              <w:top w:val="single" w:color="BFB8B9" w:sz="4"/>
              <w:left w:val="single" w:color="BFB8B9" w:sz="4"/>
              <w:bottom w:val="single" w:color="BFB8B9" w:sz="4"/>
              <w:right w:val="single" w:color="BFB8B9" w:sz="4"/>
            </w:tcBorders>
            <w:tcMar>
              <w:top w:type="dxa" w:w="60"/>
              <w:left w:type="dxa" w:w="80"/>
              <w:bottom w:type="dxa" w:w="60"/>
              <w:right w:type="dxa" w:w="80"/>
            </w:tcMar>
          </w:tcPr>
          <w:p>
            <w:pPr>
              <w:spacing w:after="40" w:line="240"/>
            </w:pPr>
            <w:r>
              <w:rPr>
                <w:rFonts w:ascii="Calibri" w:cs="Calibri" w:eastAsia="Calibri" w:hAnsi="Calibri"/>
                <w:b/>
                <w:bCs/>
                <w:sz w:val="17"/>
                <w:szCs w:val="17"/>
              </w:rPr>
              <w:t xml:space="preserve">Scale or resolution changed</w:t>
            </w:r>
          </w:p>
        </w:tc>
        <w:tc>
          <w:tcPr>
            <w:tcW w:type="dxa" w:w="1290"/>
            <w:tcBorders>
              <w:top w:val="single" w:color="BFB8B9" w:sz="4"/>
              <w:left w:val="single" w:color="BFB8B9" w:sz="4"/>
              <w:bottom w:val="single" w:color="BFB8B9" w:sz="4"/>
              <w:right w:val="single" w:color="BFB8B9" w:sz="4"/>
            </w:tcBorders>
            <w:tcMar>
              <w:top w:type="dxa" w:w="60"/>
              <w:left w:type="dxa" w:w="80"/>
              <w:bottom w:type="dxa" w:w="60"/>
              <w:right w:type="dxa" w:w="80"/>
            </w:tcMar>
          </w:tcPr>
          <w:p>
            <w:pPr>
              <w:spacing w:after="40" w:line="240"/>
            </w:pPr>
            <w:r>
              <w:rPr>
                <w:rFonts w:ascii="Calibri" w:cs="Calibri" w:eastAsia="Calibri" w:hAnsi="Calibri"/>
                <w:b w:val="false"/>
                <w:bCs w:val="false"/>
                <w:sz w:val="17"/>
                <w:szCs w:val="17"/>
              </w:rPr>
              <w:t xml:space="preserve">Yes</w:t>
            </w:r>
          </w:p>
        </w:tc>
        <w:tc>
          <w:tcPr>
            <w:tcW w:type="dxa" w:w="1470"/>
            <w:tcBorders>
              <w:top w:val="single" w:color="BFB8B9" w:sz="4"/>
              <w:left w:val="single" w:color="BFB8B9" w:sz="4"/>
              <w:bottom w:val="single" w:color="BFB8B9" w:sz="4"/>
              <w:right w:val="single" w:color="BFB8B9" w:sz="4"/>
            </w:tcBorders>
            <w:tcMar>
              <w:top w:type="dxa" w:w="60"/>
              <w:left w:type="dxa" w:w="80"/>
              <w:bottom w:type="dxa" w:w="60"/>
              <w:right w:type="dxa" w:w="80"/>
            </w:tcMar>
          </w:tcPr>
          <w:p>
            <w:pPr>
              <w:spacing w:after="40" w:line="240"/>
            </w:pPr>
            <w:r>
              <w:rPr>
                <w:rFonts w:ascii="Calibri" w:cs="Calibri" w:eastAsia="Calibri" w:hAnsi="Calibri"/>
                <w:b w:val="false"/>
                <w:bCs w:val="false"/>
                <w:sz w:val="17"/>
                <w:szCs w:val="17"/>
              </w:rPr>
              <w:t xml:space="preserve">Yes</w:t>
            </w:r>
          </w:p>
        </w:tc>
        <w:tc>
          <w:tcPr>
            <w:tcW w:type="dxa" w:w="1500"/>
            <w:tcBorders>
              <w:top w:val="single" w:color="BFB8B9" w:sz="4"/>
              <w:left w:val="single" w:color="BFB8B9" w:sz="4"/>
              <w:bottom w:val="single" w:color="BFB8B9" w:sz="4"/>
              <w:right w:val="single" w:color="BFB8B9" w:sz="4"/>
            </w:tcBorders>
            <w:tcMar>
              <w:top w:type="dxa" w:w="60"/>
              <w:left w:type="dxa" w:w="80"/>
              <w:bottom w:type="dxa" w:w="60"/>
              <w:right w:type="dxa" w:w="80"/>
            </w:tcMar>
          </w:tcPr>
          <w:p>
            <w:pPr>
              <w:spacing w:after="40" w:line="240"/>
            </w:pPr>
            <w:r>
              <w:rPr>
                <w:rFonts w:ascii="Calibri" w:cs="Calibri" w:eastAsia="Calibri" w:hAnsi="Calibri"/>
                <w:b w:val="false"/>
                <w:bCs w:val="false"/>
                <w:sz w:val="17"/>
                <w:szCs w:val="17"/>
              </w:rPr>
              <w:t xml:space="preserve">Yes</w:t>
            </w:r>
          </w:p>
        </w:tc>
        <w:tc>
          <w:tcPr>
            <w:tcW w:type="dxa" w:w="1500"/>
            <w:tcBorders>
              <w:top w:val="single" w:color="BFB8B9" w:sz="4"/>
              <w:left w:val="single" w:color="BFB8B9" w:sz="4"/>
              <w:bottom w:val="single" w:color="BFB8B9" w:sz="4"/>
              <w:right w:val="single" w:color="BFB8B9" w:sz="4"/>
            </w:tcBorders>
            <w:tcMar>
              <w:top w:type="dxa" w:w="60"/>
              <w:left w:type="dxa" w:w="80"/>
              <w:bottom w:type="dxa" w:w="60"/>
              <w:right w:type="dxa" w:w="80"/>
            </w:tcMar>
          </w:tcPr>
          <w:p>
            <w:pPr>
              <w:spacing w:after="40" w:line="240"/>
            </w:pPr>
            <w:r>
              <w:rPr>
                <w:rFonts w:ascii="Calibri" w:cs="Calibri" w:eastAsia="Calibri" w:hAnsi="Calibri"/>
                <w:b w:val="false"/>
                <w:bCs w:val="false"/>
                <w:sz w:val="17"/>
                <w:szCs w:val="17"/>
              </w:rPr>
              <w:t xml:space="preserve">Yes</w:t>
            </w:r>
          </w:p>
        </w:tc>
        <w:tc>
          <w:tcPr>
            <w:tcW w:type="dxa" w:w="1440"/>
            <w:tcBorders>
              <w:top w:val="single" w:color="BFB8B9" w:sz="4"/>
              <w:left w:val="single" w:color="BFB8B9" w:sz="4"/>
              <w:bottom w:val="single" w:color="BFB8B9" w:sz="4"/>
              <w:right w:val="single" w:color="BFB8B9" w:sz="4"/>
            </w:tcBorders>
            <w:tcMar>
              <w:top w:type="dxa" w:w="60"/>
              <w:left w:type="dxa" w:w="80"/>
              <w:bottom w:type="dxa" w:w="60"/>
              <w:right w:type="dxa" w:w="80"/>
            </w:tcMar>
          </w:tcPr>
          <w:p>
            <w:pPr>
              <w:spacing w:after="40" w:line="240"/>
            </w:pPr>
            <w:r>
              <w:rPr>
                <w:rFonts w:ascii="Calibri" w:cs="Calibri" w:eastAsia="Calibri" w:hAnsi="Calibri"/>
                <w:b w:val="false"/>
                <w:bCs w:val="false"/>
                <w:sz w:val="17"/>
                <w:szCs w:val="17"/>
              </w:rPr>
              <w:t xml:space="preserve">Yes</w:t>
            </w:r>
          </w:p>
        </w:tc>
      </w:tr>
      <w:tr>
        <w:trPr>
          <w:cantSplit/>
        </w:trPr>
        <w:tc>
          <w:tcPr>
            <w:tcW w:type="dxa" w:w="2880"/>
            <w:tcBorders>
              <w:top w:val="single" w:color="BFB8B9" w:sz="4"/>
              <w:left w:val="single" w:color="BFB8B9" w:sz="4"/>
              <w:bottom w:val="single" w:color="BFB8B9" w:sz="4"/>
              <w:right w:val="single" w:color="BFB8B9" w:sz="4"/>
            </w:tcBorders>
            <w:tcMar>
              <w:top w:type="dxa" w:w="60"/>
              <w:left w:type="dxa" w:w="80"/>
              <w:bottom w:type="dxa" w:w="60"/>
              <w:right w:type="dxa" w:w="80"/>
            </w:tcMar>
          </w:tcPr>
          <w:p>
            <w:pPr>
              <w:spacing w:after="40" w:line="240"/>
            </w:pPr>
            <w:r>
              <w:rPr>
                <w:rFonts w:ascii="Calibri" w:cs="Calibri" w:eastAsia="Calibri" w:hAnsi="Calibri"/>
                <w:b/>
                <w:bCs/>
                <w:sz w:val="17"/>
                <w:szCs w:val="17"/>
              </w:rPr>
              <w:t xml:space="preserve">Aurora moved to another monitor</w:t>
            </w:r>
          </w:p>
        </w:tc>
        <w:tc>
          <w:tcPr>
            <w:tcW w:type="dxa" w:w="1290"/>
            <w:tcBorders>
              <w:top w:val="single" w:color="BFB8B9" w:sz="4"/>
              <w:left w:val="single" w:color="BFB8B9" w:sz="4"/>
              <w:bottom w:val="single" w:color="BFB8B9" w:sz="4"/>
              <w:right w:val="single" w:color="BFB8B9" w:sz="4"/>
            </w:tcBorders>
            <w:tcMar>
              <w:top w:type="dxa" w:w="60"/>
              <w:left w:type="dxa" w:w="80"/>
              <w:bottom w:type="dxa" w:w="60"/>
              <w:right w:type="dxa" w:w="80"/>
            </w:tcMar>
          </w:tcPr>
          <w:p>
            <w:pPr>
              <w:spacing w:after="40" w:line="240"/>
            </w:pPr>
            <w:r>
              <w:rPr>
                <w:rFonts w:ascii="Calibri" w:cs="Calibri" w:eastAsia="Calibri" w:hAnsi="Calibri"/>
                <w:b w:val="false"/>
                <w:bCs w:val="false"/>
                <w:sz w:val="17"/>
                <w:szCs w:val="17"/>
              </w:rPr>
              <w:t xml:space="preserve">Check</w:t>
            </w:r>
          </w:p>
        </w:tc>
        <w:tc>
          <w:tcPr>
            <w:tcW w:type="dxa" w:w="1470"/>
            <w:tcBorders>
              <w:top w:val="single" w:color="BFB8B9" w:sz="4"/>
              <w:left w:val="single" w:color="BFB8B9" w:sz="4"/>
              <w:bottom w:val="single" w:color="BFB8B9" w:sz="4"/>
              <w:right w:val="single" w:color="BFB8B9" w:sz="4"/>
            </w:tcBorders>
            <w:tcMar>
              <w:top w:type="dxa" w:w="60"/>
              <w:left w:type="dxa" w:w="80"/>
              <w:bottom w:type="dxa" w:w="60"/>
              <w:right w:type="dxa" w:w="80"/>
            </w:tcMar>
          </w:tcPr>
          <w:p>
            <w:pPr>
              <w:spacing w:after="40" w:line="240"/>
            </w:pPr>
            <w:r>
              <w:rPr>
                <w:rFonts w:ascii="Calibri" w:cs="Calibri" w:eastAsia="Calibri" w:hAnsi="Calibri"/>
                <w:b w:val="false"/>
                <w:bCs w:val="false"/>
                <w:sz w:val="17"/>
                <w:szCs w:val="17"/>
              </w:rPr>
              <w:t xml:space="preserve">Yes</w:t>
            </w:r>
          </w:p>
        </w:tc>
        <w:tc>
          <w:tcPr>
            <w:tcW w:type="dxa" w:w="1500"/>
            <w:tcBorders>
              <w:top w:val="single" w:color="BFB8B9" w:sz="4"/>
              <w:left w:val="single" w:color="BFB8B9" w:sz="4"/>
              <w:bottom w:val="single" w:color="BFB8B9" w:sz="4"/>
              <w:right w:val="single" w:color="BFB8B9" w:sz="4"/>
            </w:tcBorders>
            <w:tcMar>
              <w:top w:type="dxa" w:w="60"/>
              <w:left w:type="dxa" w:w="80"/>
              <w:bottom w:type="dxa" w:w="60"/>
              <w:right w:type="dxa" w:w="80"/>
            </w:tcMar>
          </w:tcPr>
          <w:p>
            <w:pPr>
              <w:spacing w:after="40" w:line="240"/>
            </w:pPr>
            <w:r>
              <w:rPr>
                <w:rFonts w:ascii="Calibri" w:cs="Calibri" w:eastAsia="Calibri" w:hAnsi="Calibri"/>
                <w:b w:val="false"/>
                <w:bCs w:val="false"/>
                <w:sz w:val="17"/>
                <w:szCs w:val="17"/>
              </w:rPr>
              <w:t xml:space="preserve">If the stimulus monitor changed</w:t>
            </w:r>
          </w:p>
        </w:tc>
        <w:tc>
          <w:tcPr>
            <w:tcW w:type="dxa" w:w="1500"/>
            <w:tcBorders>
              <w:top w:val="single" w:color="BFB8B9" w:sz="4"/>
              <w:left w:val="single" w:color="BFB8B9" w:sz="4"/>
              <w:bottom w:val="single" w:color="BFB8B9" w:sz="4"/>
              <w:right w:val="single" w:color="BFB8B9" w:sz="4"/>
            </w:tcBorders>
            <w:tcMar>
              <w:top w:type="dxa" w:w="60"/>
              <w:left w:type="dxa" w:w="80"/>
              <w:bottom w:type="dxa" w:w="60"/>
              <w:right w:type="dxa" w:w="80"/>
            </w:tcMar>
          </w:tcPr>
          <w:p>
            <w:pPr>
              <w:spacing w:after="40" w:line="240"/>
            </w:pPr>
            <w:r>
              <w:rPr>
                <w:rFonts w:ascii="Calibri" w:cs="Calibri" w:eastAsia="Calibri" w:hAnsi="Calibri"/>
                <w:b w:val="false"/>
                <w:bCs w:val="false"/>
                <w:sz w:val="17"/>
                <w:szCs w:val="17"/>
              </w:rPr>
              <w:t xml:space="preserve">If the stimulus monitor changed</w:t>
            </w:r>
          </w:p>
        </w:tc>
        <w:tc>
          <w:tcPr>
            <w:tcW w:type="dxa" w:w="1440"/>
            <w:tcBorders>
              <w:top w:val="single" w:color="BFB8B9" w:sz="4"/>
              <w:left w:val="single" w:color="BFB8B9" w:sz="4"/>
              <w:bottom w:val="single" w:color="BFB8B9" w:sz="4"/>
              <w:right w:val="single" w:color="BFB8B9" w:sz="4"/>
            </w:tcBorders>
            <w:tcMar>
              <w:top w:type="dxa" w:w="60"/>
              <w:left w:type="dxa" w:w="80"/>
              <w:bottom w:type="dxa" w:w="60"/>
              <w:right w:type="dxa" w:w="80"/>
            </w:tcMar>
          </w:tcPr>
          <w:p>
            <w:pPr>
              <w:spacing w:after="40" w:line="240"/>
            </w:pPr>
            <w:r>
              <w:rPr>
                <w:rFonts w:ascii="Calibri" w:cs="Calibri" w:eastAsia="Calibri" w:hAnsi="Calibri"/>
                <w:b w:val="false"/>
                <w:bCs w:val="false"/>
                <w:sz w:val="17"/>
                <w:szCs w:val="17"/>
              </w:rPr>
              <w:t xml:space="preserve">Yes</w:t>
            </w:r>
          </w:p>
        </w:tc>
      </w:tr>
      <w:tr>
        <w:trPr>
          <w:cantSplit/>
        </w:trPr>
        <w:tc>
          <w:tcPr>
            <w:tcW w:type="dxa" w:w="2880"/>
            <w:tcBorders>
              <w:top w:val="single" w:color="BFB8B9" w:sz="4"/>
              <w:left w:val="single" w:color="BFB8B9" w:sz="4"/>
              <w:bottom w:val="single" w:color="BFB8B9" w:sz="4"/>
              <w:right w:val="single" w:color="BFB8B9" w:sz="4"/>
            </w:tcBorders>
            <w:tcMar>
              <w:top w:type="dxa" w:w="60"/>
              <w:left w:type="dxa" w:w="80"/>
              <w:bottom w:type="dxa" w:w="60"/>
              <w:right w:type="dxa" w:w="80"/>
            </w:tcMar>
          </w:tcPr>
          <w:p>
            <w:pPr>
              <w:spacing w:after="40" w:line="240"/>
            </w:pPr>
            <w:r>
              <w:rPr>
                <w:rFonts w:ascii="Calibri" w:cs="Calibri" w:eastAsia="Calibri" w:hAnsi="Calibri"/>
                <w:b/>
                <w:bCs/>
                <w:sz w:val="17"/>
                <w:szCs w:val="17"/>
              </w:rPr>
              <w:t xml:space="preserve">Study imported from another computer</w:t>
            </w:r>
          </w:p>
        </w:tc>
        <w:tc>
          <w:tcPr>
            <w:tcW w:type="dxa" w:w="1290"/>
            <w:tcBorders>
              <w:top w:val="single" w:color="BFB8B9" w:sz="4"/>
              <w:left w:val="single" w:color="BFB8B9" w:sz="4"/>
              <w:bottom w:val="single" w:color="BFB8B9" w:sz="4"/>
              <w:right w:val="single" w:color="BFB8B9" w:sz="4"/>
            </w:tcBorders>
            <w:tcMar>
              <w:top w:type="dxa" w:w="60"/>
              <w:left w:type="dxa" w:w="80"/>
              <w:bottom w:type="dxa" w:w="60"/>
              <w:right w:type="dxa" w:w="80"/>
            </w:tcMar>
          </w:tcPr>
          <w:p>
            <w:pPr>
              <w:spacing w:after="40" w:line="240"/>
            </w:pPr>
            <w:r>
              <w:rPr>
                <w:rFonts w:ascii="Calibri" w:cs="Calibri" w:eastAsia="Calibri" w:hAnsi="Calibri"/>
                <w:b w:val="false"/>
                <w:bCs w:val="false"/>
                <w:sz w:val="17"/>
                <w:szCs w:val="17"/>
              </w:rPr>
              <w:t xml:space="preserve"/>
            </w:r>
          </w:p>
        </w:tc>
        <w:tc>
          <w:tcPr>
            <w:tcW w:type="dxa" w:w="1470"/>
            <w:tcBorders>
              <w:top w:val="single" w:color="BFB8B9" w:sz="4"/>
              <w:left w:val="single" w:color="BFB8B9" w:sz="4"/>
              <w:bottom w:val="single" w:color="BFB8B9" w:sz="4"/>
              <w:right w:val="single" w:color="BFB8B9" w:sz="4"/>
            </w:tcBorders>
            <w:tcMar>
              <w:top w:type="dxa" w:w="60"/>
              <w:left w:type="dxa" w:w="80"/>
              <w:bottom w:type="dxa" w:w="60"/>
              <w:right w:type="dxa" w:w="80"/>
            </w:tcMar>
          </w:tcPr>
          <w:p>
            <w:pPr>
              <w:spacing w:after="40" w:line="240"/>
            </w:pPr>
            <w:r>
              <w:rPr>
                <w:rFonts w:ascii="Calibri" w:cs="Calibri" w:eastAsia="Calibri" w:hAnsi="Calibri"/>
                <w:b w:val="false"/>
                <w:bCs w:val="false"/>
                <w:sz w:val="17"/>
                <w:szCs w:val="17"/>
              </w:rPr>
              <w:t xml:space="preserve"/>
            </w:r>
          </w:p>
        </w:tc>
        <w:tc>
          <w:tcPr>
            <w:tcW w:type="dxa" w:w="1500"/>
            <w:tcBorders>
              <w:top w:val="single" w:color="BFB8B9" w:sz="4"/>
              <w:left w:val="single" w:color="BFB8B9" w:sz="4"/>
              <w:bottom w:val="single" w:color="BFB8B9" w:sz="4"/>
              <w:right w:val="single" w:color="BFB8B9" w:sz="4"/>
            </w:tcBorders>
            <w:tcMar>
              <w:top w:type="dxa" w:w="60"/>
              <w:left w:type="dxa" w:w="80"/>
              <w:bottom w:type="dxa" w:w="60"/>
              <w:right w:type="dxa" w:w="80"/>
            </w:tcMar>
          </w:tcPr>
          <w:p>
            <w:pPr>
              <w:spacing w:after="40" w:line="240"/>
            </w:pPr>
            <w:r>
              <w:rPr>
                <w:rFonts w:ascii="Calibri" w:cs="Calibri" w:eastAsia="Calibri" w:hAnsi="Calibri"/>
                <w:b w:val="false"/>
                <w:bCs w:val="false"/>
                <w:sz w:val="17"/>
                <w:szCs w:val="17"/>
              </w:rPr>
              <w:t xml:space="preserve"/>
            </w:r>
          </w:p>
        </w:tc>
        <w:tc>
          <w:tcPr>
            <w:tcW w:type="dxa" w:w="1500"/>
            <w:tcBorders>
              <w:top w:val="single" w:color="BFB8B9" w:sz="4"/>
              <w:left w:val="single" w:color="BFB8B9" w:sz="4"/>
              <w:bottom w:val="single" w:color="BFB8B9" w:sz="4"/>
              <w:right w:val="single" w:color="BFB8B9" w:sz="4"/>
            </w:tcBorders>
            <w:tcMar>
              <w:top w:type="dxa" w:w="60"/>
              <w:left w:type="dxa" w:w="80"/>
              <w:bottom w:type="dxa" w:w="60"/>
              <w:right w:type="dxa" w:w="80"/>
            </w:tcMar>
          </w:tcPr>
          <w:p>
            <w:pPr>
              <w:spacing w:after="40" w:line="240"/>
            </w:pPr>
            <w:r>
              <w:rPr>
                <w:rFonts w:ascii="Calibri" w:cs="Calibri" w:eastAsia="Calibri" w:hAnsi="Calibri"/>
                <w:b w:val="false"/>
                <w:bCs w:val="false"/>
                <w:sz w:val="17"/>
                <w:szCs w:val="17"/>
              </w:rPr>
              <w:t xml:space="preserve">Yes</w:t>
            </w:r>
          </w:p>
        </w:tc>
        <w:tc>
          <w:tcPr>
            <w:tcW w:type="dxa" w:w="1440"/>
            <w:tcBorders>
              <w:top w:val="single" w:color="BFB8B9" w:sz="4"/>
              <w:left w:val="single" w:color="BFB8B9" w:sz="4"/>
              <w:bottom w:val="single" w:color="BFB8B9" w:sz="4"/>
              <w:right w:val="single" w:color="BFB8B9" w:sz="4"/>
            </w:tcBorders>
            <w:tcMar>
              <w:top w:type="dxa" w:w="60"/>
              <w:left w:type="dxa" w:w="80"/>
              <w:bottom w:type="dxa" w:w="60"/>
              <w:right w:type="dxa" w:w="80"/>
            </w:tcMar>
          </w:tcPr>
          <w:p>
            <w:pPr>
              <w:spacing w:after="40" w:line="240"/>
            </w:pPr>
            <w:r>
              <w:rPr>
                <w:rFonts w:ascii="Calibri" w:cs="Calibri" w:eastAsia="Calibri" w:hAnsi="Calibri"/>
                <w:b w:val="false"/>
                <w:bCs w:val="false"/>
                <w:sz w:val="17"/>
                <w:szCs w:val="17"/>
              </w:rPr>
              <w:t xml:space="preserve">Yes</w:t>
            </w:r>
          </w:p>
        </w:tc>
      </w:tr>
      <w:tr>
        <w:trPr>
          <w:cantSplit/>
        </w:trPr>
        <w:tc>
          <w:tcPr>
            <w:tcW w:type="dxa" w:w="2880"/>
            <w:tcBorders>
              <w:top w:val="single" w:color="BFB8B9" w:sz="4"/>
              <w:left w:val="single" w:color="BFB8B9" w:sz="4"/>
              <w:bottom w:val="single" w:color="BFB8B9" w:sz="4"/>
              <w:right w:val="single" w:color="BFB8B9" w:sz="4"/>
            </w:tcBorders>
            <w:tcMar>
              <w:top w:type="dxa" w:w="60"/>
              <w:left w:type="dxa" w:w="80"/>
              <w:bottom w:type="dxa" w:w="60"/>
              <w:right w:type="dxa" w:w="80"/>
            </w:tcMar>
          </w:tcPr>
          <w:p>
            <w:pPr>
              <w:spacing w:after="40" w:line="240"/>
            </w:pPr>
            <w:r>
              <w:rPr>
                <w:rFonts w:ascii="Calibri" w:cs="Calibri" w:eastAsia="Calibri" w:hAnsi="Calibri"/>
                <w:b/>
                <w:bCs/>
                <w:sz w:val="17"/>
                <w:szCs w:val="17"/>
              </w:rPr>
              <w:t xml:space="preserve">Only the operator monitor changed</w:t>
            </w:r>
          </w:p>
        </w:tc>
        <w:tc>
          <w:tcPr>
            <w:tcW w:type="dxa" w:w="1290"/>
            <w:tcBorders>
              <w:top w:val="single" w:color="BFB8B9" w:sz="4"/>
              <w:left w:val="single" w:color="BFB8B9" w:sz="4"/>
              <w:bottom w:val="single" w:color="BFB8B9" w:sz="4"/>
              <w:right w:val="single" w:color="BFB8B9" w:sz="4"/>
            </w:tcBorders>
            <w:tcMar>
              <w:top w:type="dxa" w:w="60"/>
              <w:left w:type="dxa" w:w="80"/>
              <w:bottom w:type="dxa" w:w="60"/>
              <w:right w:type="dxa" w:w="80"/>
            </w:tcMar>
          </w:tcPr>
          <w:p>
            <w:pPr>
              <w:spacing w:after="40" w:line="240"/>
            </w:pPr>
            <w:r>
              <w:rPr>
                <w:rFonts w:ascii="Calibri" w:cs="Calibri" w:eastAsia="Calibri" w:hAnsi="Calibri"/>
                <w:b w:val="false"/>
                <w:bCs w:val="false"/>
                <w:sz w:val="17"/>
                <w:szCs w:val="17"/>
              </w:rPr>
              <w:t xml:space="preserve">Yes (same Scale)</w:t>
            </w:r>
          </w:p>
        </w:tc>
        <w:tc>
          <w:tcPr>
            <w:tcW w:type="dxa" w:w="1470"/>
            <w:tcBorders>
              <w:top w:val="single" w:color="BFB8B9" w:sz="4"/>
              <w:left w:val="single" w:color="BFB8B9" w:sz="4"/>
              <w:bottom w:val="single" w:color="BFB8B9" w:sz="4"/>
              <w:right w:val="single" w:color="BFB8B9" w:sz="4"/>
            </w:tcBorders>
            <w:tcMar>
              <w:top w:type="dxa" w:w="60"/>
              <w:left w:type="dxa" w:w="80"/>
              <w:bottom w:type="dxa" w:w="60"/>
              <w:right w:type="dxa" w:w="80"/>
            </w:tcMar>
          </w:tcPr>
          <w:p>
            <w:pPr>
              <w:spacing w:after="40" w:line="240"/>
            </w:pPr>
            <w:r>
              <w:rPr>
                <w:rFonts w:ascii="Calibri" w:cs="Calibri" w:eastAsia="Calibri" w:hAnsi="Calibri"/>
                <w:b w:val="false"/>
                <w:bCs w:val="false"/>
                <w:sz w:val="17"/>
                <w:szCs w:val="17"/>
              </w:rPr>
              <w:t xml:space="preserve"/>
            </w:r>
          </w:p>
        </w:tc>
        <w:tc>
          <w:tcPr>
            <w:tcW w:type="dxa" w:w="1500"/>
            <w:tcBorders>
              <w:top w:val="single" w:color="BFB8B9" w:sz="4"/>
              <w:left w:val="single" w:color="BFB8B9" w:sz="4"/>
              <w:bottom w:val="single" w:color="BFB8B9" w:sz="4"/>
              <w:right w:val="single" w:color="BFB8B9" w:sz="4"/>
            </w:tcBorders>
            <w:tcMar>
              <w:top w:type="dxa" w:w="60"/>
              <w:left w:type="dxa" w:w="80"/>
              <w:bottom w:type="dxa" w:w="60"/>
              <w:right w:type="dxa" w:w="80"/>
            </w:tcMar>
          </w:tcPr>
          <w:p>
            <w:pPr>
              <w:spacing w:after="40" w:line="240"/>
            </w:pPr>
            <w:r>
              <w:rPr>
                <w:rFonts w:ascii="Calibri" w:cs="Calibri" w:eastAsia="Calibri" w:hAnsi="Calibri"/>
                <w:b w:val="false"/>
                <w:bCs w:val="false"/>
                <w:sz w:val="17"/>
                <w:szCs w:val="17"/>
              </w:rPr>
              <w:t xml:space="preserve">Check</w:t>
            </w:r>
          </w:p>
        </w:tc>
        <w:tc>
          <w:tcPr>
            <w:tcW w:type="dxa" w:w="1500"/>
            <w:tcBorders>
              <w:top w:val="single" w:color="BFB8B9" w:sz="4"/>
              <w:left w:val="single" w:color="BFB8B9" w:sz="4"/>
              <w:bottom w:val="single" w:color="BFB8B9" w:sz="4"/>
              <w:right w:val="single" w:color="BFB8B9" w:sz="4"/>
            </w:tcBorders>
            <w:tcMar>
              <w:top w:type="dxa" w:w="60"/>
              <w:left w:type="dxa" w:w="80"/>
              <w:bottom w:type="dxa" w:w="60"/>
              <w:right w:type="dxa" w:w="80"/>
            </w:tcMar>
          </w:tcPr>
          <w:p>
            <w:pPr>
              <w:spacing w:after="40" w:line="240"/>
            </w:pPr>
            <w:r>
              <w:rPr>
                <w:rFonts w:ascii="Calibri" w:cs="Calibri" w:eastAsia="Calibri" w:hAnsi="Calibri"/>
                <w:b w:val="false"/>
                <w:bCs w:val="false"/>
                <w:sz w:val="17"/>
                <w:szCs w:val="17"/>
              </w:rPr>
              <w:t xml:space="preserve"/>
            </w:r>
          </w:p>
        </w:tc>
        <w:tc>
          <w:tcPr>
            <w:tcW w:type="dxa" w:w="1440"/>
            <w:tcBorders>
              <w:top w:val="single" w:color="BFB8B9" w:sz="4"/>
              <w:left w:val="single" w:color="BFB8B9" w:sz="4"/>
              <w:bottom w:val="single" w:color="BFB8B9" w:sz="4"/>
              <w:right w:val="single" w:color="BFB8B9" w:sz="4"/>
            </w:tcBorders>
            <w:tcMar>
              <w:top w:type="dxa" w:w="60"/>
              <w:left w:type="dxa" w:w="80"/>
              <w:bottom w:type="dxa" w:w="60"/>
              <w:right w:type="dxa" w:w="80"/>
            </w:tcMar>
          </w:tcPr>
          <w:p>
            <w:pPr>
              <w:spacing w:after="40" w:line="240"/>
            </w:pPr>
            <w:r>
              <w:rPr>
                <w:rFonts w:ascii="Calibri" w:cs="Calibri" w:eastAsia="Calibri" w:hAnsi="Calibri"/>
                <w:b w:val="false"/>
                <w:bCs w:val="false"/>
                <w:sz w:val="17"/>
                <w:szCs w:val="17"/>
              </w:rPr>
              <w:t xml:space="preserve">Yes</w:t>
            </w:r>
          </w:p>
        </w:tc>
      </w:tr>
    </w:tbl>
    <w:p>
      <w:pPr>
        <w:pStyle w:val="Heading1"/>
        <w:spacing w:after="120" w:before="320"/>
      </w:pPr>
      <w:r>
        <w:rPr>
          <w:rFonts w:ascii="Calibri" w:cs="Calibri" w:eastAsia="Calibri" w:hAnsi="Calibri"/>
          <w:b/>
          <w:bCs/>
          <w:color w:val="8B1A2B"/>
          <w:sz w:val="30"/>
          <w:szCs w:val="30"/>
        </w:rPr>
        <w:t xml:space="preserve">2. Why the order matters</w:t>
      </w:r>
    </w:p>
    <w:p>
      <w:pPr>
        <w:spacing w:after="120" w:before="0" w:line="276"/>
      </w:pPr>
      <w:r>
        <w:rPr>
          <w:rFonts w:ascii="Calibri" w:cs="Calibri" w:eastAsia="Calibri" w:hAnsi="Calibri"/>
          <w:sz w:val="22"/>
          <w:szCs w:val="22"/>
        </w:rPr>
        <w:t xml:space="preserve">iMotions asks for the resolution and physical size of the stimulus screen because this </w:t>
      </w:r>
      <w:r>
        <w:rPr>
          <w:rFonts w:ascii="Calibri" w:cs="Calibri" w:eastAsia="Calibri" w:hAnsi="Calibri"/>
          <w:i/>
          <w:iCs/>
          <w:sz w:val="22"/>
          <w:szCs w:val="22"/>
        </w:rPr>
        <w:t xml:space="preserve">“is important so that iMotions can correctly display the stimuli and calculate eye-tracking statistics for your setup”</w:t>
      </w:r>
      <w:r>
        <w:rPr>
          <w:rFonts w:ascii="Calibri" w:cs="Calibri" w:eastAsia="Calibri" w:hAnsi="Calibri"/>
          <w:sz w:val="22"/>
          <w:szCs w:val="22"/>
        </w:rPr>
        <w:t xml:space="preserve"> (Using the iMotions Study Builder). The Aurora also needs its own setup for each monitor and display setting. Each later step reads the one before it, so work in order: Windows first, then the Aurora setup, then Global Settings, then each study. If Windows settings change afterward, start again at Part A.</w:t>
      </w:r>
    </w:p>
    <w:p>
      <w:pPr>
        <w:pStyle w:val="Heading1"/>
        <w:spacing w:after="120" w:before="320"/>
      </w:pPr>
      <w:r>
        <w:rPr>
          <w:rFonts w:ascii="Calibri" w:cs="Calibri" w:eastAsia="Calibri" w:hAnsi="Calibri"/>
          <w:b/>
          <w:bCs/>
          <w:color w:val="8B1A2B"/>
          <w:sz w:val="30"/>
          <w:szCs w:val="30"/>
        </w:rPr>
        <w:t xml:space="preserve">Part A. Windows display settings</w:t>
      </w:r>
    </w:p>
    <w:p>
      <w:pPr>
        <w:pStyle w:val="ListParagraph"/>
        <w:numPr>
          <w:ilvl w:val="0"/>
          <w:numId w:val="3"/>
        </w:numPr>
        <w:spacing w:after="90" w:line="276"/>
      </w:pPr>
      <w:r>
        <w:rPr>
          <w:rFonts w:ascii="Calibri" w:cs="Calibri" w:eastAsia="Calibri" w:hAnsi="Calibri"/>
          <w:b/>
          <w:bCs/>
          <w:sz w:val="22"/>
          <w:szCs w:val="22"/>
        </w:rPr>
        <w:t xml:space="preserve">Connect </w:t>
      </w:r>
      <w:r>
        <w:rPr>
          <w:rFonts w:ascii="Calibri" w:cs="Calibri" w:eastAsia="Calibri" w:hAnsi="Calibri"/>
          <w:sz w:val="22"/>
          <w:szCs w:val="22"/>
        </w:rPr>
        <w:t xml:space="preserve">the second monitor to the computer that runs iMotions.</w:t>
      </w:r>
    </w:p>
    <w:p>
      <w:pPr>
        <w:pStyle w:val="ListParagraph"/>
        <w:numPr>
          <w:ilvl w:val="0"/>
          <w:numId w:val="3"/>
        </w:numPr>
        <w:spacing w:after="90" w:line="276"/>
      </w:pPr>
      <w:r>
        <w:rPr>
          <w:rFonts w:ascii="Calibri" w:cs="Calibri" w:eastAsia="Calibri" w:hAnsi="Calibri"/>
          <w:sz w:val="22"/>
          <w:szCs w:val="22"/>
        </w:rPr>
        <w:t xml:space="preserve">Right-click the desktop and select </w:t>
      </w:r>
      <w:r>
        <w:rPr>
          <w:rFonts w:ascii="Calibri" w:cs="Calibri" w:eastAsia="Calibri" w:hAnsi="Calibri"/>
          <w:b/>
          <w:bCs/>
          <w:sz w:val="22"/>
          <w:szCs w:val="22"/>
        </w:rPr>
        <w:t xml:space="preserve">Display settings</w:t>
      </w:r>
      <w:r>
        <w:rPr>
          <w:rFonts w:ascii="Calibri" w:cs="Calibri" w:eastAsia="Calibri" w:hAnsi="Calibri"/>
          <w:sz w:val="22"/>
          <w:szCs w:val="22"/>
        </w:rPr>
        <w:t xml:space="preserve">.</w:t>
      </w:r>
    </w:p>
    <w:p>
      <w:pPr>
        <w:pStyle w:val="ListParagraph"/>
        <w:numPr>
          <w:ilvl w:val="0"/>
          <w:numId w:val="3"/>
        </w:numPr>
        <w:spacing w:after="90" w:line="276"/>
      </w:pPr>
      <w:r>
        <w:rPr>
          <w:rFonts w:ascii="Calibri" w:cs="Calibri" w:eastAsia="Calibri" w:hAnsi="Calibri"/>
          <w:sz w:val="22"/>
          <w:szCs w:val="22"/>
        </w:rPr>
        <w:t xml:space="preserve">Select </w:t>
      </w:r>
      <w:r>
        <w:rPr>
          <w:rFonts w:ascii="Calibri" w:cs="Calibri" w:eastAsia="Calibri" w:hAnsi="Calibri"/>
          <w:b/>
          <w:bCs/>
          <w:sz w:val="22"/>
          <w:szCs w:val="22"/>
        </w:rPr>
        <w:t xml:space="preserve">Extend these displays</w:t>
      </w:r>
      <w:r>
        <w:rPr>
          <w:rFonts w:ascii="Calibri" w:cs="Calibri" w:eastAsia="Calibri" w:hAnsi="Calibri"/>
          <w:sz w:val="22"/>
          <w:szCs w:val="22"/>
        </w:rPr>
        <w:t xml:space="preserve"> in the list next to </w:t>
      </w:r>
      <w:r>
        <w:rPr>
          <w:rFonts w:ascii="Calibri" w:cs="Calibri" w:eastAsia="Calibri" w:hAnsi="Calibri"/>
          <w:b/>
          <w:bCs/>
          <w:sz w:val="22"/>
          <w:szCs w:val="22"/>
        </w:rPr>
        <w:t xml:space="preserve">Identify</w:t>
      </w:r>
      <w:r>
        <w:rPr>
          <w:rFonts w:ascii="Calibri" w:cs="Calibri" w:eastAsia="Calibri" w:hAnsi="Calibri"/>
          <w:sz w:val="22"/>
          <w:szCs w:val="22"/>
        </w:rPr>
        <w:t xml:space="preserve">. Click </w:t>
      </w:r>
      <w:r>
        <w:rPr>
          <w:rFonts w:ascii="Calibri" w:cs="Calibri" w:eastAsia="Calibri" w:hAnsi="Calibri"/>
          <w:b/>
          <w:bCs/>
          <w:sz w:val="22"/>
          <w:szCs w:val="22"/>
        </w:rPr>
        <w:t xml:space="preserve">Identify</w:t>
      </w:r>
      <w:r>
        <w:rPr>
          <w:rFonts w:ascii="Calibri" w:cs="Calibri" w:eastAsia="Calibri" w:hAnsi="Calibri"/>
          <w:sz w:val="22"/>
          <w:szCs w:val="22"/>
        </w:rPr>
        <w:t xml:space="preserve"> to see which number belongs to which monitor.</w:t>
      </w:r>
    </w:p>
    <w:p>
      <w:pPr>
        <w:pStyle w:val="ListParagraph"/>
        <w:numPr>
          <w:ilvl w:val="0"/>
          <w:numId w:val="3"/>
        </w:numPr>
        <w:spacing w:after="90" w:line="276"/>
      </w:pPr>
      <w:r>
        <w:rPr>
          <w:rFonts w:ascii="Calibri" w:cs="Calibri" w:eastAsia="Calibri" w:hAnsi="Calibri"/>
          <w:sz w:val="22"/>
          <w:szCs w:val="22"/>
        </w:rPr>
        <w:t xml:space="preserve">Under </w:t>
      </w:r>
      <w:r>
        <w:rPr>
          <w:rFonts w:ascii="Calibri" w:cs="Calibri" w:eastAsia="Calibri" w:hAnsi="Calibri"/>
          <w:b/>
          <w:bCs/>
          <w:sz w:val="22"/>
          <w:szCs w:val="22"/>
        </w:rPr>
        <w:t xml:space="preserve">Scale &amp; layout</w:t>
      </w:r>
      <w:r>
        <w:rPr>
          <w:rFonts w:ascii="Calibri" w:cs="Calibri" w:eastAsia="Calibri" w:hAnsi="Calibri"/>
          <w:sz w:val="22"/>
          <w:szCs w:val="22"/>
        </w:rPr>
        <w:t xml:space="preserve">, select each monitor in turn and set </w:t>
      </w:r>
      <w:r>
        <w:rPr>
          <w:rFonts w:ascii="Calibri" w:cs="Calibri" w:eastAsia="Calibri" w:hAnsi="Calibri"/>
          <w:b/>
          <w:bCs/>
          <w:sz w:val="22"/>
          <w:szCs w:val="22"/>
        </w:rPr>
        <w:t xml:space="preserve">Scale</w:t>
      </w:r>
      <w:r>
        <w:rPr>
          <w:rFonts w:ascii="Calibri" w:cs="Calibri" w:eastAsia="Calibri" w:hAnsi="Calibri"/>
          <w:sz w:val="22"/>
          <w:szCs w:val="22"/>
        </w:rPr>
        <w:t xml:space="preserve"> to the same value on both. Lab convention: use 100% on both. The two-monitor article accepts any value if both match, and the survey article asks for 100% on all screens, so 100% satisfies both.</w:t>
      </w:r>
    </w:p>
    <w:p>
      <w:pPr>
        <w:pStyle w:val="ListParagraph"/>
        <w:numPr>
          <w:ilvl w:val="0"/>
          <w:numId w:val="3"/>
        </w:numPr>
        <w:spacing w:after="90" w:line="276"/>
      </w:pPr>
      <w:r>
        <w:rPr>
          <w:rFonts w:ascii="Calibri" w:cs="Calibri" w:eastAsia="Calibri" w:hAnsi="Calibri"/>
          <w:sz w:val="22"/>
          <w:szCs w:val="22"/>
        </w:rPr>
        <w:t xml:space="preserve">Select the respondent's monitor and write down its </w:t>
      </w:r>
      <w:r>
        <w:rPr>
          <w:rFonts w:ascii="Calibri" w:cs="Calibri" w:eastAsia="Calibri" w:hAnsi="Calibri"/>
          <w:b/>
          <w:bCs/>
          <w:sz w:val="22"/>
          <w:szCs w:val="22"/>
        </w:rPr>
        <w:t xml:space="preserve">Display resolution</w:t>
      </w:r>
      <w:r>
        <w:rPr>
          <w:rFonts w:ascii="Calibri" w:cs="Calibri" w:eastAsia="Calibri" w:hAnsi="Calibri"/>
          <w:sz w:val="22"/>
          <w:szCs w:val="22"/>
        </w:rPr>
        <w:t xml:space="preserve">.</w:t>
      </w:r>
    </w:p>
    <w:p>
      <w:pPr>
        <w:pStyle w:val="ListParagraph"/>
        <w:numPr>
          <w:ilvl w:val="0"/>
          <w:numId w:val="3"/>
        </w:numPr>
        <w:spacing w:after="90" w:line="276"/>
      </w:pPr>
      <w:r>
        <w:rPr>
          <w:rFonts w:ascii="Calibri" w:cs="Calibri" w:eastAsia="Calibri" w:hAnsi="Calibri"/>
          <w:sz w:val="22"/>
          <w:szCs w:val="22"/>
        </w:rPr>
        <w:t xml:space="preserve">Select the operator's monitor. Under </w:t>
      </w:r>
      <w:r>
        <w:rPr>
          <w:rFonts w:ascii="Calibri" w:cs="Calibri" w:eastAsia="Calibri" w:hAnsi="Calibri"/>
          <w:b/>
          <w:bCs/>
          <w:sz w:val="22"/>
          <w:szCs w:val="22"/>
        </w:rPr>
        <w:t xml:space="preserve">Multiple displays</w:t>
      </w:r>
      <w:r>
        <w:rPr>
          <w:rFonts w:ascii="Calibri" w:cs="Calibri" w:eastAsia="Calibri" w:hAnsi="Calibri"/>
          <w:sz w:val="22"/>
          <w:szCs w:val="22"/>
        </w:rPr>
        <w:t xml:space="preserve">, select </w:t>
      </w:r>
      <w:r>
        <w:rPr>
          <w:rFonts w:ascii="Calibri" w:cs="Calibri" w:eastAsia="Calibri" w:hAnsi="Calibri"/>
          <w:b/>
          <w:bCs/>
          <w:sz w:val="22"/>
          <w:szCs w:val="22"/>
        </w:rPr>
        <w:t xml:space="preserve">Make this my main display</w:t>
      </w:r>
      <w:r>
        <w:rPr>
          <w:rFonts w:ascii="Calibri" w:cs="Calibri" w:eastAsia="Calibri" w:hAnsi="Calibri"/>
          <w:sz w:val="22"/>
          <w:szCs w:val="22"/>
        </w:rPr>
        <w:t xml:space="preserve">.</w:t>
      </w:r>
    </w:p>
    <w:p>
      <w:pPr>
        <w:spacing w:after="120" w:before="0" w:line="276"/>
      </w:pPr>
      <w:r>
        <w:rPr>
          <w:rFonts w:ascii="Calibri" w:cs="Calibri" w:eastAsia="Calibri" w:hAnsi="Calibri"/>
          <w:b/>
          <w:bCs/>
          <w:color w:val="2E6B3A"/>
          <w:sz w:val="22"/>
          <w:szCs w:val="22"/>
        </w:rPr>
        <w:t xml:space="preserve">You should see: </w:t>
      </w:r>
      <w:r>
        <w:rPr>
          <w:rFonts w:ascii="Calibri" w:cs="Calibri" w:eastAsia="Calibri" w:hAnsi="Calibri"/>
          <w:sz w:val="22"/>
          <w:szCs w:val="22"/>
        </w:rPr>
        <w:t xml:space="preserve">two numbers when you click Identify; the operator's monitor marked as the main display; the same Scale value on both monitors.</w:t>
      </w:r>
    </w:p>
    <w:p>
      <w:pPr>
        <w:spacing w:after="160" w:before="0" w:line="276"/>
      </w:pPr>
      <w:r>
        <w:rPr>
          <w:rFonts w:ascii="Calibri" w:cs="Calibri" w:eastAsia="Calibri" w:hAnsi="Calibri"/>
          <w:b/>
          <w:bCs/>
          <w:color w:val="8B1A2B"/>
          <w:sz w:val="22"/>
          <w:szCs w:val="22"/>
        </w:rPr>
        <w:t xml:space="preserve">Common mistake: </w:t>
      </w:r>
      <w:r>
        <w:rPr>
          <w:rFonts w:ascii="Calibri" w:cs="Calibri" w:eastAsia="Calibri" w:hAnsi="Calibri"/>
          <w:sz w:val="22"/>
          <w:szCs w:val="22"/>
        </w:rPr>
        <w:t xml:space="preserve">leaving the two monitors at different Scale values. The article warns: “If the two monitors use different scale values, iMotions shows a resolution error when you start a recording.”</w:t>
      </w:r>
    </w:p>
    <w:p>
      <w:pPr>
        <w:spacing w:after="120" w:before="0" w:line="276"/>
      </w:pPr>
      <w:r>
        <w:rPr>
          <w:rFonts w:ascii="Calibri" w:cs="Calibri" w:eastAsia="Calibri" w:hAnsi="Calibri"/>
          <w:b/>
          <w:bCs/>
          <w:sz w:val="22"/>
          <w:szCs w:val="22"/>
        </w:rPr>
        <w:t xml:space="preserve">Watch the resolution after changing Scale. </w:t>
      </w:r>
      <w:r>
        <w:rPr>
          <w:rFonts w:ascii="Calibri" w:cs="Calibri" w:eastAsia="Calibri" w:hAnsi="Calibri"/>
          <w:sz w:val="22"/>
          <w:szCs w:val="22"/>
        </w:rPr>
        <w:t xml:space="preserve">iMotions reads a scaled resolution: “A screen with 1920 × 1080 px resolution scaling at 125% will be discovered as having a 1536 × 864 px resolution.” So any change to Scale changes the resolution every study must use (Part D).</w:t>
      </w:r>
    </w:p>
    <w:p>
      <w:pPr>
        <w:spacing w:after="160" w:before="0" w:line="276"/>
      </w:pPr>
      <w:r>
        <w:rPr>
          <w:rFonts w:ascii="Calibri" w:cs="Calibri" w:eastAsia="Calibri" w:hAnsi="Calibri"/>
          <w:color w:val="555555"/>
          <w:sz w:val="18"/>
          <w:szCs w:val="18"/>
        </w:rPr>
        <w:t xml:space="preserve">Source: </w:t>
      </w:r>
      <w:hyperlink w:history="1" r:id="rIdaefrihxcpxb5rkeze2chd">
        <w:r>
          <w:rPr>
            <w:rFonts w:ascii="Calibri" w:cs="Calibri" w:eastAsia="Calibri" w:hAnsi="Calibri"/>
            <w:color w:val="1F4E79"/>
            <w:sz w:val="18"/>
            <w:szCs w:val="18"/>
            <w:u w:val="single"/>
          </w:rPr>
          <w:t xml:space="preserve">How to use two monitors with iMotions</w:t>
        </w:r>
      </w:hyperlink>
    </w:p>
    <w:p>
      <w:pPr>
        <w:pStyle w:val="Heading1"/>
        <w:spacing w:after="120" w:before="320"/>
      </w:pPr>
      <w:r>
        <w:rPr>
          <w:rFonts w:ascii="Calibri" w:cs="Calibri" w:eastAsia="Calibri" w:hAnsi="Calibri"/>
          <w:b/>
          <w:bCs/>
          <w:color w:val="8B1A2B"/>
          <w:sz w:val="30"/>
          <w:szCs w:val="30"/>
        </w:rPr>
        <w:t xml:space="preserve">Part B. Smart Eye Aurora setup</w:t>
      </w:r>
    </w:p>
    <w:p>
      <w:pPr>
        <w:spacing w:after="120" w:before="0" w:line="276"/>
      </w:pPr>
      <w:r>
        <w:rPr>
          <w:rFonts w:ascii="Calibri" w:cs="Calibri" w:eastAsia="Calibri" w:hAnsi="Calibri"/>
          <w:sz w:val="22"/>
          <w:szCs w:val="22"/>
        </w:rPr>
        <w:t xml:space="preserve">The Aurora article says a new setup is needed in the Smart Eye software if </w:t>
      </w:r>
      <w:r>
        <w:rPr>
          <w:rFonts w:ascii="Calibri" w:cs="Calibri" w:eastAsia="Calibri" w:hAnsi="Calibri"/>
          <w:i/>
          <w:iCs/>
          <w:sz w:val="22"/>
          <w:szCs w:val="22"/>
        </w:rPr>
        <w:t xml:space="preserve">“Display settings are changed (e.g. different Windows display setting or monitors)”</w:t>
      </w:r>
      <w:r>
        <w:rPr>
          <w:rFonts w:ascii="Calibri" w:cs="Calibri" w:eastAsia="Calibri" w:hAnsi="Calibri"/>
          <w:sz w:val="22"/>
          <w:szCs w:val="22"/>
        </w:rPr>
        <w:t xml:space="preserve">. Skip this part only for studies without the Aurora.</w:t>
      </w:r>
    </w:p>
    <w:p>
      <w:pPr>
        <w:pStyle w:val="ListParagraph"/>
        <w:numPr>
          <w:ilvl w:val="0"/>
          <w:numId w:val="4"/>
        </w:numPr>
        <w:spacing w:after="90" w:line="276"/>
      </w:pPr>
      <w:r>
        <w:rPr>
          <w:rFonts w:ascii="Calibri" w:cs="Calibri" w:eastAsia="Calibri" w:hAnsi="Calibri"/>
          <w:sz w:val="22"/>
          <w:szCs w:val="22"/>
        </w:rPr>
        <w:t xml:space="preserve">Open the </w:t>
      </w:r>
      <w:r>
        <w:rPr>
          <w:rFonts w:ascii="Calibri" w:cs="Calibri" w:eastAsia="Calibri" w:hAnsi="Calibri"/>
          <w:b/>
          <w:bCs/>
          <w:sz w:val="22"/>
          <w:szCs w:val="22"/>
        </w:rPr>
        <w:t xml:space="preserve">Smart Eye Setup Tool</w:t>
      </w:r>
      <w:r>
        <w:rPr>
          <w:rFonts w:ascii="Calibri" w:cs="Calibri" w:eastAsia="Calibri" w:hAnsi="Calibri"/>
          <w:sz w:val="22"/>
          <w:szCs w:val="22"/>
        </w:rPr>
        <w:t xml:space="preserve"> from the Windows Start menu and select </w:t>
      </w:r>
      <w:r>
        <w:rPr>
          <w:rFonts w:ascii="Calibri" w:cs="Calibri" w:eastAsia="Calibri" w:hAnsi="Calibri"/>
          <w:b/>
          <w:bCs/>
          <w:sz w:val="22"/>
          <w:szCs w:val="22"/>
        </w:rPr>
        <w:t xml:space="preserve">Aurora</w:t>
      </w:r>
      <w:r>
        <w:rPr>
          <w:rFonts w:ascii="Calibri" w:cs="Calibri" w:eastAsia="Calibri" w:hAnsi="Calibri"/>
          <w:sz w:val="22"/>
          <w:szCs w:val="22"/>
        </w:rPr>
        <w:t xml:space="preserve">.</w:t>
      </w:r>
    </w:p>
    <w:p>
      <w:pPr>
        <w:pStyle w:val="ListParagraph"/>
        <w:numPr>
          <w:ilvl w:val="0"/>
          <w:numId w:val="4"/>
        </w:numPr>
        <w:spacing w:after="90" w:line="276"/>
      </w:pPr>
      <w:r>
        <w:rPr>
          <w:rFonts w:ascii="Calibri" w:cs="Calibri" w:eastAsia="Calibri" w:hAnsi="Calibri"/>
          <w:sz w:val="22"/>
          <w:szCs w:val="22"/>
        </w:rPr>
        <w:t xml:space="preserve">Click </w:t>
      </w:r>
      <w:r>
        <w:rPr>
          <w:rFonts w:ascii="Calibri" w:cs="Calibri" w:eastAsia="Calibri" w:hAnsi="Calibri"/>
          <w:b/>
          <w:bCs/>
          <w:sz w:val="22"/>
          <w:szCs w:val="22"/>
        </w:rPr>
        <w:t xml:space="preserve">+New setup</w:t>
      </w:r>
      <w:r>
        <w:rPr>
          <w:rFonts w:ascii="Calibri" w:cs="Calibri" w:eastAsia="Calibri" w:hAnsi="Calibri"/>
          <w:sz w:val="22"/>
          <w:szCs w:val="22"/>
        </w:rPr>
        <w:t xml:space="preserve"> and select the monitor where the stimuli will be shown.</w:t>
      </w:r>
    </w:p>
    <w:p>
      <w:pPr>
        <w:pStyle w:val="ListParagraph"/>
        <w:numPr>
          <w:ilvl w:val="0"/>
          <w:numId w:val="4"/>
        </w:numPr>
        <w:spacing w:after="90" w:line="276"/>
      </w:pPr>
      <w:r>
        <w:rPr>
          <w:rFonts w:ascii="Calibri" w:cs="Calibri" w:eastAsia="Calibri" w:hAnsi="Calibri"/>
          <w:sz w:val="22"/>
          <w:szCs w:val="22"/>
        </w:rPr>
        <w:t xml:space="preserve">Select the bracket type (the standard on-screen Metallic Bracket, or the under-screen Monitor Mount, an option for screens under 24.5 inches).</w:t>
      </w:r>
    </w:p>
    <w:p>
      <w:pPr>
        <w:pStyle w:val="ListParagraph"/>
        <w:numPr>
          <w:ilvl w:val="0"/>
          <w:numId w:val="4"/>
        </w:numPr>
        <w:spacing w:after="90" w:line="276"/>
      </w:pPr>
      <w:r>
        <w:rPr>
          <w:rFonts w:ascii="Calibri" w:cs="Calibri" w:eastAsia="Calibri" w:hAnsi="Calibri"/>
          <w:sz w:val="22"/>
          <w:szCs w:val="22"/>
        </w:rPr>
        <w:t xml:space="preserve">Click the button that shows the center mark (the article prints it as </w:t>
      </w:r>
      <w:r>
        <w:rPr>
          <w:rFonts w:ascii="Calibri" w:cs="Calibri" w:eastAsia="Calibri" w:hAnsi="Calibri"/>
          <w:b/>
          <w:bCs/>
          <w:sz w:val="22"/>
          <w:szCs w:val="22"/>
        </w:rPr>
        <w:t xml:space="preserve">Show center maker</w:t>
      </w:r>
      <w:r>
        <w:rPr>
          <w:rFonts w:ascii="Calibri" w:cs="Calibri" w:eastAsia="Calibri" w:hAnsi="Calibri"/>
          <w:sz w:val="22"/>
          <w:szCs w:val="22"/>
        </w:rPr>
        <w:t xml:space="preserve">) and follow the placement instructions.</w:t>
      </w:r>
    </w:p>
    <w:p>
      <w:pPr>
        <w:pStyle w:val="ListParagraph"/>
        <w:numPr>
          <w:ilvl w:val="0"/>
          <w:numId w:val="4"/>
        </w:numPr>
        <w:spacing w:after="90" w:line="276"/>
      </w:pPr>
      <w:r>
        <w:rPr>
          <w:rFonts w:ascii="Calibri" w:cs="Calibri" w:eastAsia="Calibri" w:hAnsi="Calibri"/>
          <w:sz w:val="22"/>
          <w:szCs w:val="22"/>
        </w:rPr>
        <w:t xml:space="preserve">Clean the bezel, then attach the mount flat and stable at the bottom center. It sits just below the display without covering it; the bezel must be at least 14 mm.</w:t>
      </w:r>
    </w:p>
    <w:p>
      <w:pPr>
        <w:pStyle w:val="ListParagraph"/>
        <w:numPr>
          <w:ilvl w:val="0"/>
          <w:numId w:val="4"/>
        </w:numPr>
        <w:spacing w:after="90" w:line="276"/>
      </w:pPr>
      <w:r>
        <w:rPr>
          <w:rFonts w:ascii="Calibri" w:cs="Calibri" w:eastAsia="Calibri" w:hAnsi="Calibri"/>
          <w:sz w:val="22"/>
          <w:szCs w:val="22"/>
        </w:rPr>
        <w:t xml:space="preserve">Seat the Aurora on the mount (square pegs into square slots), glass facing the respondent.</w:t>
      </w:r>
    </w:p>
    <w:p>
      <w:pPr>
        <w:pStyle w:val="ListParagraph"/>
        <w:numPr>
          <w:ilvl w:val="0"/>
          <w:numId w:val="4"/>
        </w:numPr>
        <w:spacing w:after="90" w:line="276"/>
      </w:pPr>
      <w:r>
        <w:rPr>
          <w:rFonts w:ascii="Calibri" w:cs="Calibri" w:eastAsia="Calibri" w:hAnsi="Calibri"/>
          <w:sz w:val="22"/>
          <w:szCs w:val="22"/>
        </w:rPr>
        <w:t xml:space="preserve">Press any key, click </w:t>
      </w:r>
      <w:r>
        <w:rPr>
          <w:rFonts w:ascii="Calibri" w:cs="Calibri" w:eastAsia="Calibri" w:hAnsi="Calibri"/>
          <w:b/>
          <w:bCs/>
          <w:sz w:val="22"/>
          <w:szCs w:val="22"/>
        </w:rPr>
        <w:t xml:space="preserve">Next</w:t>
      </w:r>
      <w:r>
        <w:rPr>
          <w:rFonts w:ascii="Calibri" w:cs="Calibri" w:eastAsia="Calibri" w:hAnsi="Calibri"/>
          <w:sz w:val="22"/>
          <w:szCs w:val="22"/>
        </w:rPr>
        <w:t xml:space="preserve">, align the guidelines to the edges of the eye tracker, and press Enter.</w:t>
      </w:r>
    </w:p>
    <w:p>
      <w:pPr>
        <w:pStyle w:val="ListParagraph"/>
        <w:numPr>
          <w:ilvl w:val="0"/>
          <w:numId w:val="4"/>
        </w:numPr>
        <w:spacing w:after="90" w:line="276"/>
      </w:pPr>
      <w:r>
        <w:rPr>
          <w:rFonts w:ascii="Calibri" w:cs="Calibri" w:eastAsia="Calibri" w:hAnsi="Calibri"/>
          <w:sz w:val="22"/>
          <w:szCs w:val="22"/>
        </w:rPr>
        <w:t xml:space="preserve">Enter a setup name and click </w:t>
      </w:r>
      <w:r>
        <w:rPr>
          <w:rFonts w:ascii="Calibri" w:cs="Calibri" w:eastAsia="Calibri" w:hAnsi="Calibri"/>
          <w:b/>
          <w:bCs/>
          <w:sz w:val="22"/>
          <w:szCs w:val="22"/>
        </w:rPr>
        <w:t xml:space="preserve">Finish</w:t>
      </w:r>
      <w:r>
        <w:rPr>
          <w:rFonts w:ascii="Calibri" w:cs="Calibri" w:eastAsia="Calibri" w:hAnsi="Calibri"/>
          <w:sz w:val="22"/>
          <w:szCs w:val="22"/>
        </w:rPr>
        <w:t xml:space="preserve">. Lab convention: name it after the monitor, resolution, and Scale, for example MARKS_2560x1440_100pct. Then close the Smart Eye Setup Tool.</w:t>
      </w:r>
    </w:p>
    <w:p>
      <w:pPr>
        <w:pStyle w:val="ListParagraph"/>
        <w:numPr>
          <w:ilvl w:val="0"/>
          <w:numId w:val="4"/>
        </w:numPr>
        <w:spacing w:after="90" w:line="276"/>
      </w:pPr>
      <w:r>
        <w:rPr>
          <w:rFonts w:ascii="Calibri" w:cs="Calibri" w:eastAsia="Calibri" w:hAnsi="Calibri"/>
          <w:sz w:val="22"/>
          <w:szCs w:val="22"/>
        </w:rPr>
        <w:t xml:space="preserve">In iMotions, open </w:t>
      </w:r>
      <w:r>
        <w:rPr>
          <w:rFonts w:ascii="Calibri" w:cs="Calibri" w:eastAsia="Calibri" w:hAnsi="Calibri"/>
          <w:b/>
          <w:bCs/>
          <w:sz w:val="22"/>
          <w:szCs w:val="22"/>
        </w:rPr>
        <w:t xml:space="preserve">Preferences</w:t>
      </w:r>
      <w:r>
        <w:rPr>
          <w:rFonts w:ascii="Calibri" w:cs="Calibri" w:eastAsia="Calibri" w:hAnsi="Calibri"/>
          <w:sz w:val="22"/>
          <w:szCs w:val="22"/>
        </w:rPr>
        <w:t xml:space="preserve"> &gt; </w:t>
      </w:r>
      <w:r>
        <w:rPr>
          <w:rFonts w:ascii="Calibri" w:cs="Calibri" w:eastAsia="Calibri" w:hAnsi="Calibri"/>
          <w:b/>
          <w:bCs/>
          <w:sz w:val="22"/>
          <w:szCs w:val="22"/>
        </w:rPr>
        <w:t xml:space="preserve">Global Settings</w:t>
      </w:r>
      <w:r>
        <w:rPr>
          <w:rFonts w:ascii="Calibri" w:cs="Calibri" w:eastAsia="Calibri" w:hAnsi="Calibri"/>
          <w:sz w:val="22"/>
          <w:szCs w:val="22"/>
        </w:rPr>
        <w:t xml:space="preserve"> (Alt+G) &gt; </w:t>
      </w:r>
      <w:r>
        <w:rPr>
          <w:rFonts w:ascii="Calibri" w:cs="Calibri" w:eastAsia="Calibri" w:hAnsi="Calibri"/>
          <w:b/>
          <w:bCs/>
          <w:sz w:val="22"/>
          <w:szCs w:val="22"/>
        </w:rPr>
        <w:t xml:space="preserve">Eye tracking</w:t>
      </w:r>
      <w:r>
        <w:rPr>
          <w:rFonts w:ascii="Calibri" w:cs="Calibri" w:eastAsia="Calibri" w:hAnsi="Calibri"/>
          <w:sz w:val="22"/>
          <w:szCs w:val="22"/>
        </w:rPr>
        <w:t xml:space="preserve">. Select </w:t>
      </w:r>
      <w:r>
        <w:rPr>
          <w:rFonts w:ascii="Calibri" w:cs="Calibri" w:eastAsia="Calibri" w:hAnsi="Calibri"/>
          <w:b/>
          <w:bCs/>
          <w:sz w:val="22"/>
          <w:szCs w:val="22"/>
        </w:rPr>
        <w:t xml:space="preserve">Smart Eye Aurora</w:t>
      </w:r>
      <w:r>
        <w:rPr>
          <w:rFonts w:ascii="Calibri" w:cs="Calibri" w:eastAsia="Calibri" w:hAnsi="Calibri"/>
          <w:sz w:val="22"/>
          <w:szCs w:val="22"/>
        </w:rPr>
        <w:t xml:space="preserve">, keep the Host Address at </w:t>
      </w:r>
      <w:r>
        <w:rPr>
          <w:rFonts w:ascii="Calibri" w:cs="Calibri" w:eastAsia="Calibri" w:hAnsi="Calibri"/>
          <w:b/>
          <w:bCs/>
          <w:sz w:val="22"/>
          <w:szCs w:val="22"/>
        </w:rPr>
        <w:t xml:space="preserve">127.0.0.1</w:t>
      </w:r>
      <w:r>
        <w:rPr>
          <w:rFonts w:ascii="Calibri" w:cs="Calibri" w:eastAsia="Calibri" w:hAnsi="Calibri"/>
          <w:sz w:val="22"/>
          <w:szCs w:val="22"/>
        </w:rPr>
        <w:t xml:space="preserve"> (USB), click </w:t>
      </w:r>
      <w:r>
        <w:rPr>
          <w:rFonts w:ascii="Calibri" w:cs="Calibri" w:eastAsia="Calibri" w:hAnsi="Calibri"/>
          <w:b/>
          <w:bCs/>
          <w:sz w:val="22"/>
          <w:szCs w:val="22"/>
        </w:rPr>
        <w:t xml:space="preserve">Test Connection</w:t>
      </w:r>
      <w:r>
        <w:rPr>
          <w:rFonts w:ascii="Calibri" w:cs="Calibri" w:eastAsia="Calibri" w:hAnsi="Calibri"/>
          <w:sz w:val="22"/>
          <w:szCs w:val="22"/>
        </w:rPr>
        <w:t xml:space="preserve">, then </w:t>
      </w:r>
      <w:r>
        <w:rPr>
          <w:rFonts w:ascii="Calibri" w:cs="Calibri" w:eastAsia="Calibri" w:hAnsi="Calibri"/>
          <w:b/>
          <w:bCs/>
          <w:sz w:val="22"/>
          <w:szCs w:val="22"/>
        </w:rPr>
        <w:t xml:space="preserve">OK</w:t>
      </w:r>
      <w:r>
        <w:rPr>
          <w:rFonts w:ascii="Calibri" w:cs="Calibri" w:eastAsia="Calibri" w:hAnsi="Calibri"/>
          <w:sz w:val="22"/>
          <w:szCs w:val="22"/>
        </w:rPr>
        <w:t xml:space="preserve">.</w:t>
      </w:r>
    </w:p>
    <w:p>
      <w:pPr>
        <w:spacing w:after="120" w:before="0" w:line="276"/>
      </w:pPr>
      <w:r>
        <w:rPr>
          <w:rFonts w:ascii="Calibri" w:cs="Calibri" w:eastAsia="Calibri" w:hAnsi="Calibri"/>
          <w:b/>
          <w:bCs/>
          <w:color w:val="2E6B3A"/>
          <w:sz w:val="22"/>
          <w:szCs w:val="22"/>
        </w:rPr>
        <w:t xml:space="preserve">You should see: </w:t>
      </w:r>
      <w:r>
        <w:rPr>
          <w:rFonts w:ascii="Calibri" w:cs="Calibri" w:eastAsia="Calibri" w:hAnsi="Calibri"/>
          <w:sz w:val="22"/>
          <w:szCs w:val="22"/>
        </w:rPr>
        <w:t xml:space="preserve">the Eye Tracker Widget in the main window showing the connection and eye detection, with no “!” warning.</w:t>
      </w:r>
    </w:p>
    <w:p>
      <w:pPr>
        <w:spacing w:after="160" w:before="0" w:line="276"/>
      </w:pPr>
      <w:r>
        <w:rPr>
          <w:rFonts w:ascii="Calibri" w:cs="Calibri" w:eastAsia="Calibri" w:hAnsi="Calibri"/>
          <w:b/>
          <w:bCs/>
          <w:color w:val="8B1A2B"/>
          <w:sz w:val="22"/>
          <w:szCs w:val="22"/>
        </w:rPr>
        <w:t xml:space="preserve">Common mistake: </w:t>
      </w:r>
      <w:r>
        <w:rPr>
          <w:rFonts w:ascii="Calibri" w:cs="Calibri" w:eastAsia="Calibri" w:hAnsi="Calibri"/>
          <w:sz w:val="22"/>
          <w:szCs w:val="22"/>
        </w:rPr>
        <w:t xml:space="preserve">keeping the old setup after a display change. A “!” in the widget means no setup matches; the fix is creating a setup as above. If the Aurora does not track a new respondent, click Re-Profile.</w:t>
      </w:r>
    </w:p>
    <w:p>
      <w:pPr>
        <w:spacing w:after="160" w:before="0" w:line="276"/>
      </w:pPr>
      <w:r>
        <w:rPr>
          <w:rFonts w:ascii="Calibri" w:cs="Calibri" w:eastAsia="Calibri" w:hAnsi="Calibri"/>
          <w:color w:val="555555"/>
          <w:sz w:val="18"/>
          <w:szCs w:val="18"/>
        </w:rPr>
        <w:t xml:space="preserve">Source: </w:t>
      </w:r>
      <w:hyperlink w:history="1" r:id="rIdtbycdcu8wgndwvv8gt_6d">
        <w:r>
          <w:rPr>
            <w:rFonts w:ascii="Calibri" w:cs="Calibri" w:eastAsia="Calibri" w:hAnsi="Calibri"/>
            <w:color w:val="1F4E79"/>
            <w:sz w:val="18"/>
            <w:szCs w:val="18"/>
            <w:u w:val="single"/>
          </w:rPr>
          <w:t xml:space="preserve">Setting up Aurora or AI-X in iMotions</w:t>
        </w:r>
      </w:hyperlink>
    </w:p>
    <w:p>
      <w:pPr>
        <w:pStyle w:val="Heading1"/>
        <w:spacing w:after="120" w:before="320"/>
      </w:pPr>
      <w:r>
        <w:rPr>
          <w:rFonts w:ascii="Calibri" w:cs="Calibri" w:eastAsia="Calibri" w:hAnsi="Calibri"/>
          <w:b/>
          <w:bCs/>
          <w:color w:val="8B1A2B"/>
          <w:sz w:val="30"/>
          <w:szCs w:val="30"/>
        </w:rPr>
        <w:t xml:space="preserve">Part C. iMotions Global Settings: the stimulus screen</w:t>
      </w:r>
    </w:p>
    <w:p>
      <w:pPr>
        <w:pStyle w:val="ListParagraph"/>
        <w:numPr>
          <w:ilvl w:val="0"/>
          <w:numId w:val="5"/>
        </w:numPr>
        <w:spacing w:after="90" w:line="276"/>
      </w:pPr>
      <w:r>
        <w:rPr>
          <w:rFonts w:ascii="Calibri" w:cs="Calibri" w:eastAsia="Calibri" w:hAnsi="Calibri"/>
          <w:sz w:val="22"/>
          <w:szCs w:val="22"/>
        </w:rPr>
        <w:t xml:space="preserve">Open </w:t>
      </w:r>
      <w:r>
        <w:rPr>
          <w:rFonts w:ascii="Calibri" w:cs="Calibri" w:eastAsia="Calibri" w:hAnsi="Calibri"/>
          <w:b/>
          <w:bCs/>
          <w:sz w:val="22"/>
          <w:szCs w:val="22"/>
        </w:rPr>
        <w:t xml:space="preserve">Preferences</w:t>
      </w:r>
      <w:r>
        <w:rPr>
          <w:rFonts w:ascii="Calibri" w:cs="Calibri" w:eastAsia="Calibri" w:hAnsi="Calibri"/>
          <w:sz w:val="22"/>
          <w:szCs w:val="22"/>
        </w:rPr>
        <w:t xml:space="preserve"> &gt; </w:t>
      </w:r>
      <w:r>
        <w:rPr>
          <w:rFonts w:ascii="Calibri" w:cs="Calibri" w:eastAsia="Calibri" w:hAnsi="Calibri"/>
          <w:b/>
          <w:bCs/>
          <w:sz w:val="22"/>
          <w:szCs w:val="22"/>
        </w:rPr>
        <w:t xml:space="preserve">Global Settings</w:t>
      </w:r>
      <w:r>
        <w:rPr>
          <w:rFonts w:ascii="Calibri" w:cs="Calibri" w:eastAsia="Calibri" w:hAnsi="Calibri"/>
          <w:sz w:val="22"/>
          <w:szCs w:val="22"/>
        </w:rPr>
        <w:t xml:space="preserve"> and go to the </w:t>
      </w:r>
      <w:r>
        <w:rPr>
          <w:rFonts w:ascii="Calibri" w:cs="Calibri" w:eastAsia="Calibri" w:hAnsi="Calibri"/>
          <w:b/>
          <w:bCs/>
          <w:sz w:val="22"/>
          <w:szCs w:val="22"/>
        </w:rPr>
        <w:t xml:space="preserve">Slide Show</w:t>
      </w:r>
      <w:r>
        <w:rPr>
          <w:rFonts w:ascii="Calibri" w:cs="Calibri" w:eastAsia="Calibri" w:hAnsi="Calibri"/>
          <w:sz w:val="22"/>
          <w:szCs w:val="22"/>
        </w:rPr>
        <w:t xml:space="preserve"> tab.</w:t>
      </w:r>
    </w:p>
    <w:p>
      <w:pPr>
        <w:pStyle w:val="ListParagraph"/>
        <w:numPr>
          <w:ilvl w:val="0"/>
          <w:numId w:val="5"/>
        </w:numPr>
        <w:spacing w:after="90" w:line="276"/>
      </w:pPr>
      <w:r>
        <w:rPr>
          <w:rFonts w:ascii="Calibri" w:cs="Calibri" w:eastAsia="Calibri" w:hAnsi="Calibri"/>
          <w:sz w:val="22"/>
          <w:szCs w:val="22"/>
        </w:rPr>
        <w:t xml:space="preserve">Under </w:t>
      </w:r>
      <w:r>
        <w:rPr>
          <w:rFonts w:ascii="Calibri" w:cs="Calibri" w:eastAsia="Calibri" w:hAnsi="Calibri"/>
          <w:b/>
          <w:bCs/>
          <w:sz w:val="22"/>
          <w:szCs w:val="22"/>
        </w:rPr>
        <w:t xml:space="preserve">Screen for stimulus display</w:t>
      </w:r>
      <w:r>
        <w:rPr>
          <w:rFonts w:ascii="Calibri" w:cs="Calibri" w:eastAsia="Calibri" w:hAnsi="Calibri"/>
          <w:sz w:val="22"/>
          <w:szCs w:val="22"/>
        </w:rPr>
        <w:t xml:space="preserve">, select </w:t>
      </w:r>
      <w:r>
        <w:rPr>
          <w:rFonts w:ascii="Calibri" w:cs="Calibri" w:eastAsia="Calibri" w:hAnsi="Calibri"/>
          <w:b/>
          <w:bCs/>
          <w:sz w:val="22"/>
          <w:szCs w:val="22"/>
        </w:rPr>
        <w:t xml:space="preserve">Use secondary screen</w:t>
      </w:r>
      <w:r>
        <w:rPr>
          <w:rFonts w:ascii="Calibri" w:cs="Calibri" w:eastAsia="Calibri" w:hAnsi="Calibri"/>
          <w:sz w:val="22"/>
          <w:szCs w:val="22"/>
        </w:rPr>
        <w:t xml:space="preserve">. The Windows main display is the iMotions primary screen, so this shows the stimuli on the respondent's monitor.</w:t>
      </w:r>
    </w:p>
    <w:p>
      <w:pPr>
        <w:pStyle w:val="ListParagraph"/>
        <w:numPr>
          <w:ilvl w:val="0"/>
          <w:numId w:val="5"/>
        </w:numPr>
        <w:spacing w:after="90" w:line="276"/>
      </w:pPr>
      <w:r>
        <w:rPr>
          <w:rFonts w:ascii="Calibri" w:cs="Calibri" w:eastAsia="Calibri" w:hAnsi="Calibri"/>
          <w:sz w:val="22"/>
          <w:szCs w:val="22"/>
        </w:rPr>
        <w:t xml:space="preserve">Check that the </w:t>
      </w:r>
      <w:r>
        <w:rPr>
          <w:rFonts w:ascii="Calibri" w:cs="Calibri" w:eastAsia="Calibri" w:hAnsi="Calibri"/>
          <w:b/>
          <w:bCs/>
          <w:sz w:val="22"/>
          <w:szCs w:val="22"/>
        </w:rPr>
        <w:t xml:space="preserve">Resolution</w:t>
      </w:r>
      <w:r>
        <w:rPr>
          <w:rFonts w:ascii="Calibri" w:cs="Calibri" w:eastAsia="Calibri" w:hAnsi="Calibri"/>
          <w:sz w:val="22"/>
          <w:szCs w:val="22"/>
        </w:rPr>
        <w:t xml:space="preserve"> shown on the tab matches the respondent's monitor, then click </w:t>
      </w:r>
      <w:r>
        <w:rPr>
          <w:rFonts w:ascii="Calibri" w:cs="Calibri" w:eastAsia="Calibri" w:hAnsi="Calibri"/>
          <w:b/>
          <w:bCs/>
          <w:sz w:val="22"/>
          <w:szCs w:val="22"/>
        </w:rPr>
        <w:t xml:space="preserve">OK</w:t>
      </w:r>
      <w:r>
        <w:rPr>
          <w:rFonts w:ascii="Calibri" w:cs="Calibri" w:eastAsia="Calibri" w:hAnsi="Calibri"/>
          <w:sz w:val="22"/>
          <w:szCs w:val="22"/>
        </w:rPr>
        <w:t xml:space="preserve">.</w:t>
      </w:r>
    </w:p>
    <w:p>
      <w:pPr>
        <w:spacing w:after="120" w:before="0" w:line="276"/>
      </w:pPr>
      <w:r>
        <w:rPr>
          <w:rFonts w:ascii="Calibri" w:cs="Calibri" w:eastAsia="Calibri" w:hAnsi="Calibri"/>
          <w:b/>
          <w:bCs/>
          <w:color w:val="2E6B3A"/>
          <w:sz w:val="22"/>
          <w:szCs w:val="22"/>
        </w:rPr>
        <w:t xml:space="preserve">You should see: </w:t>
      </w:r>
      <w:r>
        <w:rPr>
          <w:rFonts w:ascii="Calibri" w:cs="Calibri" w:eastAsia="Calibri" w:hAnsi="Calibri"/>
          <w:sz w:val="22"/>
          <w:szCs w:val="22"/>
        </w:rPr>
        <w:t xml:space="preserve">the Resolution on the Slide Show tab equal to the resolution iMotions reports for the respondent's monitor.</w:t>
      </w:r>
    </w:p>
    <w:p>
      <w:pPr>
        <w:spacing w:after="160" w:before="0" w:line="276"/>
      </w:pPr>
      <w:r>
        <w:rPr>
          <w:rFonts w:ascii="Calibri" w:cs="Calibri" w:eastAsia="Calibri" w:hAnsi="Calibri"/>
          <w:b/>
          <w:bCs/>
          <w:color w:val="8B1A2B"/>
          <w:sz w:val="22"/>
          <w:szCs w:val="22"/>
        </w:rPr>
        <w:t xml:space="preserve">Common mistake: </w:t>
      </w:r>
      <w:r>
        <w:rPr>
          <w:rFonts w:ascii="Calibri" w:cs="Calibri" w:eastAsia="Calibri" w:hAnsi="Calibri"/>
          <w:sz w:val="22"/>
          <w:szCs w:val="22"/>
        </w:rPr>
        <w:t xml:space="preserve">selecting the primary screen. The stimuli then appear on the operator's monitor.</w:t>
      </w:r>
    </w:p>
    <w:p>
      <w:pPr>
        <w:spacing w:after="160" w:before="0" w:line="276"/>
      </w:pPr>
      <w:r>
        <w:rPr>
          <w:rFonts w:ascii="Calibri" w:cs="Calibri" w:eastAsia="Calibri" w:hAnsi="Calibri"/>
          <w:color w:val="555555"/>
          <w:sz w:val="18"/>
          <w:szCs w:val="18"/>
        </w:rPr>
        <w:t xml:space="preserve">Source: </w:t>
      </w:r>
      <w:hyperlink w:history="1" r:id="rId2uyr71n7nrnzp_kmum6ep">
        <w:r>
          <w:rPr>
            <w:rFonts w:ascii="Calibri" w:cs="Calibri" w:eastAsia="Calibri" w:hAnsi="Calibri"/>
            <w:color w:val="1F4E79"/>
            <w:sz w:val="18"/>
            <w:szCs w:val="18"/>
            <w:u w:val="single"/>
          </w:rPr>
          <w:t xml:space="preserve">iMotions Global Settings</w:t>
        </w:r>
      </w:hyperlink>
    </w:p>
    <w:p>
      <w:pPr>
        <w:pStyle w:val="Heading1"/>
        <w:spacing w:after="120" w:before="320"/>
      </w:pPr>
      <w:r>
        <w:rPr>
          <w:rFonts w:ascii="Calibri" w:cs="Calibri" w:eastAsia="Calibri" w:hAnsi="Calibri"/>
          <w:b/>
          <w:bCs/>
          <w:color w:val="8B1A2B"/>
          <w:sz w:val="30"/>
          <w:szCs w:val="30"/>
        </w:rPr>
        <w:t xml:space="preserve">Part D. Each study that will be recorded</w:t>
      </w:r>
    </w:p>
    <w:p>
      <w:pPr>
        <w:spacing w:after="120" w:before="0" w:line="276"/>
      </w:pPr>
      <w:r>
        <w:rPr>
          <w:rFonts w:ascii="Calibri" w:cs="Calibri" w:eastAsia="Calibri" w:hAnsi="Calibri"/>
          <w:b/>
          <w:bCs/>
          <w:sz w:val="22"/>
          <w:szCs w:val="22"/>
        </w:rPr>
        <w:t xml:space="preserve">Screen-based studies. </w:t>
      </w:r>
      <w:r>
        <w:rPr>
          <w:rFonts w:ascii="Calibri" w:cs="Calibri" w:eastAsia="Calibri" w:hAnsi="Calibri"/>
          <w:sz w:val="22"/>
          <w:szCs w:val="22"/>
        </w:rPr>
        <w:t xml:space="preserve">These steps are what Lab - Alien showed on October 12, 2026 (Project doc 14):</w:t>
      </w:r>
    </w:p>
    <w:p>
      <w:pPr>
        <w:pStyle w:val="ListParagraph"/>
        <w:numPr>
          <w:ilvl w:val="0"/>
          <w:numId w:val="6"/>
        </w:numPr>
        <w:spacing w:after="90" w:line="276"/>
      </w:pPr>
      <w:r>
        <w:rPr>
          <w:rFonts w:ascii="Calibri" w:cs="Calibri" w:eastAsia="Calibri" w:hAnsi="Calibri"/>
          <w:sz w:val="22"/>
          <w:szCs w:val="22"/>
        </w:rPr>
        <w:t xml:space="preserve">Click the study in the Library and open </w:t>
      </w:r>
      <w:r>
        <w:rPr>
          <w:rFonts w:ascii="Calibri" w:cs="Calibri" w:eastAsia="Calibri" w:hAnsi="Calibri"/>
          <w:b/>
          <w:bCs/>
          <w:sz w:val="22"/>
          <w:szCs w:val="22"/>
        </w:rPr>
        <w:t xml:space="preserve">STUDY SETTINGS</w:t>
      </w:r>
      <w:r>
        <w:rPr>
          <w:rFonts w:ascii="Calibri" w:cs="Calibri" w:eastAsia="Calibri" w:hAnsi="Calibri"/>
          <w:sz w:val="22"/>
          <w:szCs w:val="22"/>
        </w:rPr>
        <w:t xml:space="preserve"> &gt; </w:t>
      </w:r>
      <w:r>
        <w:rPr>
          <w:rFonts w:ascii="Calibri" w:cs="Calibri" w:eastAsia="Calibri" w:hAnsi="Calibri"/>
          <w:b/>
          <w:bCs/>
          <w:sz w:val="22"/>
          <w:szCs w:val="22"/>
        </w:rPr>
        <w:t xml:space="preserve">Screen</w:t>
      </w:r>
      <w:r>
        <w:rPr>
          <w:rFonts w:ascii="Calibri" w:cs="Calibri" w:eastAsia="Calibri" w:hAnsi="Calibri"/>
          <w:sz w:val="22"/>
          <w:szCs w:val="22"/>
        </w:rPr>
        <w:t xml:space="preserve">.</w:t>
      </w:r>
    </w:p>
    <w:p>
      <w:pPr>
        <w:pStyle w:val="ListParagraph"/>
        <w:numPr>
          <w:ilvl w:val="0"/>
          <w:numId w:val="6"/>
        </w:numPr>
        <w:spacing w:after="90" w:line="276"/>
      </w:pPr>
      <w:r>
        <w:rPr>
          <w:rFonts w:ascii="Calibri" w:cs="Calibri" w:eastAsia="Calibri" w:hAnsi="Calibri"/>
          <w:sz w:val="22"/>
          <w:szCs w:val="22"/>
        </w:rPr>
        <w:t xml:space="preserve">Click </w:t>
      </w:r>
      <w:r>
        <w:rPr>
          <w:rFonts w:ascii="Calibri" w:cs="Calibri" w:eastAsia="Calibri" w:hAnsi="Calibri"/>
          <w:b/>
          <w:bCs/>
          <w:sz w:val="22"/>
          <w:szCs w:val="22"/>
        </w:rPr>
        <w:t xml:space="preserve">Edit size</w:t>
      </w:r>
      <w:r>
        <w:rPr>
          <w:rFonts w:ascii="Calibri" w:cs="Calibri" w:eastAsia="Calibri" w:hAnsi="Calibri"/>
          <w:sz w:val="22"/>
          <w:szCs w:val="22"/>
        </w:rPr>
        <w:t xml:space="preserve"> &gt; </w:t>
      </w:r>
      <w:r>
        <w:rPr>
          <w:rFonts w:ascii="Calibri" w:cs="Calibri" w:eastAsia="Calibri" w:hAnsi="Calibri"/>
          <w:b/>
          <w:bCs/>
          <w:sz w:val="22"/>
          <w:szCs w:val="22"/>
        </w:rPr>
        <w:t xml:space="preserve">Load from preset</w:t>
      </w:r>
      <w:r>
        <w:rPr>
          <w:rFonts w:ascii="Calibri" w:cs="Calibri" w:eastAsia="Calibri" w:hAnsi="Calibri"/>
          <w:sz w:val="22"/>
          <w:szCs w:val="22"/>
        </w:rPr>
        <w:t xml:space="preserve">, choose the respondent's monitor under DETECTED SCREENS, and click </w:t>
      </w:r>
      <w:r>
        <w:rPr>
          <w:rFonts w:ascii="Calibri" w:cs="Calibri" w:eastAsia="Calibri" w:hAnsi="Calibri"/>
          <w:b/>
          <w:bCs/>
          <w:sz w:val="22"/>
          <w:szCs w:val="22"/>
        </w:rPr>
        <w:t xml:space="preserve">Ok</w:t>
      </w:r>
      <w:r>
        <w:rPr>
          <w:rFonts w:ascii="Calibri" w:cs="Calibri" w:eastAsia="Calibri" w:hAnsi="Calibri"/>
          <w:sz w:val="22"/>
          <w:szCs w:val="22"/>
        </w:rPr>
        <w:t xml:space="preserve">.</w:t>
      </w:r>
    </w:p>
    <w:p>
      <w:pPr>
        <w:pStyle w:val="ListParagraph"/>
        <w:numPr>
          <w:ilvl w:val="0"/>
          <w:numId w:val="6"/>
        </w:numPr>
        <w:spacing w:after="90" w:line="276"/>
      </w:pPr>
      <w:r>
        <w:rPr>
          <w:rFonts w:ascii="Calibri" w:cs="Calibri" w:eastAsia="Calibri" w:hAnsi="Calibri"/>
          <w:sz w:val="22"/>
          <w:szCs w:val="22"/>
        </w:rPr>
        <w:t xml:space="preserve">If iMotions warns </w:t>
      </w:r>
      <w:r>
        <w:rPr>
          <w:rFonts w:ascii="Calibri" w:cs="Calibri" w:eastAsia="Calibri" w:hAnsi="Calibri"/>
          <w:i/>
          <w:iCs/>
          <w:sz w:val="22"/>
          <w:szCs w:val="22"/>
        </w:rPr>
        <w:t xml:space="preserve">“The study contains survey slides. When changing the study resolution it is recommended to preview the survey slides.”</w:t>
      </w:r>
      <w:r>
        <w:rPr>
          <w:rFonts w:ascii="Calibri" w:cs="Calibri" w:eastAsia="Calibri" w:hAnsi="Calibri"/>
          <w:sz w:val="22"/>
          <w:szCs w:val="22"/>
        </w:rPr>
        <w:t xml:space="preserve">, click </w:t>
      </w:r>
      <w:r>
        <w:rPr>
          <w:rFonts w:ascii="Calibri" w:cs="Calibri" w:eastAsia="Calibri" w:hAnsi="Calibri"/>
          <w:b/>
          <w:bCs/>
          <w:sz w:val="22"/>
          <w:szCs w:val="22"/>
        </w:rPr>
        <w:t xml:space="preserve">OK</w:t>
      </w:r>
      <w:r>
        <w:rPr>
          <w:rFonts w:ascii="Calibri" w:cs="Calibri" w:eastAsia="Calibri" w:hAnsi="Calibri"/>
          <w:sz w:val="22"/>
          <w:szCs w:val="22"/>
        </w:rPr>
        <w:t xml:space="preserve">.</w:t>
      </w:r>
    </w:p>
    <w:p>
      <w:pPr>
        <w:pStyle w:val="ListParagraph"/>
        <w:numPr>
          <w:ilvl w:val="0"/>
          <w:numId w:val="6"/>
        </w:numPr>
        <w:spacing w:after="90" w:line="276"/>
      </w:pPr>
      <w:r>
        <w:rPr>
          <w:rFonts w:ascii="Calibri" w:cs="Calibri" w:eastAsia="Calibri" w:hAnsi="Calibri"/>
          <w:sz w:val="22"/>
          <w:szCs w:val="22"/>
        </w:rPr>
        <w:t xml:space="preserve">Click </w:t>
      </w:r>
      <w:r>
        <w:rPr>
          <w:rFonts w:ascii="Calibri" w:cs="Calibri" w:eastAsia="Calibri" w:hAnsi="Calibri"/>
          <w:b/>
          <w:bCs/>
          <w:sz w:val="22"/>
          <w:szCs w:val="22"/>
        </w:rPr>
        <w:t xml:space="preserve">Update</w:t>
      </w:r>
      <w:r>
        <w:rPr>
          <w:rFonts w:ascii="Calibri" w:cs="Calibri" w:eastAsia="Calibri" w:hAnsi="Calibri"/>
          <w:sz w:val="22"/>
          <w:szCs w:val="22"/>
        </w:rPr>
        <w:t xml:space="preserve">, then </w:t>
      </w:r>
      <w:r>
        <w:rPr>
          <w:rFonts w:ascii="Calibri" w:cs="Calibri" w:eastAsia="Calibri" w:hAnsi="Calibri"/>
          <w:b/>
          <w:bCs/>
          <w:sz w:val="22"/>
          <w:szCs w:val="22"/>
        </w:rPr>
        <w:t xml:space="preserve">Preview study</w:t>
      </w:r>
      <w:r>
        <w:rPr>
          <w:rFonts w:ascii="Calibri" w:cs="Calibri" w:eastAsia="Calibri" w:hAnsi="Calibri"/>
          <w:sz w:val="22"/>
          <w:szCs w:val="22"/>
        </w:rPr>
        <w:t xml:space="preserve"> and look at every survey slide.</w:t>
      </w:r>
    </w:p>
    <w:p>
      <w:pPr>
        <w:spacing w:after="120" w:before="0" w:line="276"/>
      </w:pPr>
      <w:r>
        <w:rPr>
          <w:rFonts w:ascii="Calibri" w:cs="Calibri" w:eastAsia="Calibri" w:hAnsi="Calibri"/>
          <w:sz w:val="22"/>
          <w:szCs w:val="22"/>
        </w:rPr>
        <w:t xml:space="preserve">For full control, the Study Builder article recommends measuring the screen's width and height with a tape (in centimeters), entering the resolution in pixels, and saving it as a named custom screen, because automatic detection </w:t>
      </w:r>
      <w:r>
        <w:rPr>
          <w:rFonts w:ascii="Calibri" w:cs="Calibri" w:eastAsia="Calibri" w:hAnsi="Calibri"/>
          <w:i/>
          <w:iCs/>
          <w:sz w:val="22"/>
          <w:szCs w:val="22"/>
        </w:rPr>
        <w:t xml:space="preserve">“is not always possible”</w:t>
      </w:r>
      <w:r>
        <w:rPr>
          <w:rFonts w:ascii="Calibri" w:cs="Calibri" w:eastAsia="Calibri" w:hAnsi="Calibri"/>
          <w:sz w:val="22"/>
          <w:szCs w:val="22"/>
        </w:rPr>
        <w:t xml:space="preserve">. Lab convention: tape a card with the measured width, height, and resolution to each monitor.</w:t>
      </w:r>
    </w:p>
    <w:p>
      <w:pPr>
        <w:spacing w:after="120" w:before="0" w:line="276"/>
      </w:pPr>
      <w:r>
        <w:rPr>
          <w:rFonts w:ascii="Calibri" w:cs="Calibri" w:eastAsia="Calibri" w:hAnsi="Calibri"/>
          <w:b/>
          <w:bCs/>
          <w:color w:val="2E6B3A"/>
          <w:sz w:val="22"/>
          <w:szCs w:val="22"/>
        </w:rPr>
        <w:t xml:space="preserve">You should see: </w:t>
      </w:r>
      <w:r>
        <w:rPr>
          <w:rFonts w:ascii="Calibri" w:cs="Calibri" w:eastAsia="Calibri" w:hAnsi="Calibri"/>
          <w:sz w:val="22"/>
          <w:szCs w:val="22"/>
        </w:rPr>
        <w:t xml:space="preserve">Resolution, Width, and Height in STUDY SETTINGS matching the respondent's monitor, and survey slides that fit the screen.</w:t>
      </w:r>
    </w:p>
    <w:p>
      <w:pPr>
        <w:spacing w:after="160" w:before="0" w:line="276"/>
      </w:pPr>
      <w:r>
        <w:rPr>
          <w:rFonts w:ascii="Calibri" w:cs="Calibri" w:eastAsia="Calibri" w:hAnsi="Calibri"/>
          <w:b/>
          <w:bCs/>
          <w:color w:val="8B1A2B"/>
          <w:sz w:val="22"/>
          <w:szCs w:val="22"/>
        </w:rPr>
        <w:t xml:space="preserve">Common mistake: </w:t>
      </w:r>
      <w:r>
        <w:rPr>
          <w:rFonts w:ascii="Calibri" w:cs="Calibri" w:eastAsia="Calibri" w:hAnsi="Calibri"/>
          <w:sz w:val="22"/>
          <w:szCs w:val="22"/>
        </w:rPr>
        <w:t xml:space="preserve">changing a study that already holds recorded respondents. The screen values feed every gaze angle and fixation, so changing them under recorded data can make the eye tracking line up wrongly. Lab convention: clone the study (a clone keeps the design but not the respondents) and fix the clone.</w:t>
      </w:r>
    </w:p>
    <w:p>
      <w:pPr>
        <w:spacing w:after="120" w:before="0" w:line="276"/>
      </w:pPr>
      <w:r>
        <w:rPr>
          <w:rFonts w:ascii="Calibri" w:cs="Calibri" w:eastAsia="Calibri" w:hAnsi="Calibri"/>
          <w:b/>
          <w:bCs/>
          <w:sz w:val="22"/>
          <w:szCs w:val="22"/>
        </w:rPr>
        <w:t xml:space="preserve">Other study types:</w:t>
      </w:r>
    </w:p>
    <w:p>
      <w:pPr>
        <w:pStyle w:val="ListParagraph"/>
        <w:numPr>
          <w:ilvl w:val="0"/>
          <w:numId w:val="2"/>
        </w:numPr>
        <w:spacing w:after="80" w:line="276"/>
      </w:pPr>
      <w:r>
        <w:rPr>
          <w:rFonts w:ascii="Calibri" w:cs="Calibri" w:eastAsia="Calibri" w:hAnsi="Calibri"/>
          <w:b/>
          <w:bCs/>
          <w:sz w:val="22"/>
          <w:szCs w:val="22"/>
        </w:rPr>
        <w:t xml:space="preserve">Remote Data Collection: </w:t>
      </w:r>
      <w:r>
        <w:rPr>
          <w:rFonts w:ascii="Calibri" w:cs="Calibri" w:eastAsia="Calibri" w:hAnsi="Calibri"/>
          <w:sz w:val="22"/>
          <w:szCs w:val="22"/>
        </w:rPr>
        <w:t xml:space="preserve">not affected. iMotions fills in 1920 x 1080 and a 47.4 x 29.6 cm screen at 65 cm, “not accessible to the user for edits.”</w:t>
      </w:r>
    </w:p>
    <w:p>
      <w:pPr>
        <w:pStyle w:val="ListParagraph"/>
        <w:numPr>
          <w:ilvl w:val="0"/>
          <w:numId w:val="2"/>
        </w:numPr>
        <w:spacing w:after="80" w:line="276"/>
      </w:pPr>
      <w:r>
        <w:rPr>
          <w:rFonts w:ascii="Calibri" w:cs="Calibri" w:eastAsia="Calibri" w:hAnsi="Calibri"/>
          <w:b/>
          <w:bCs/>
          <w:sz w:val="22"/>
          <w:szCs w:val="22"/>
        </w:rPr>
        <w:t xml:space="preserve">Glasses live recording and glasses import: </w:t>
      </w:r>
      <w:r>
        <w:rPr>
          <w:rFonts w:ascii="Calibri" w:cs="Calibri" w:eastAsia="Calibri" w:hAnsi="Calibri"/>
          <w:sz w:val="22"/>
          <w:szCs w:val="22"/>
        </w:rPr>
        <w:t xml:space="preserve">not affected. They use the glasses' world camera.</w:t>
      </w:r>
    </w:p>
    <w:p>
      <w:pPr>
        <w:pStyle w:val="ListParagraph"/>
        <w:numPr>
          <w:ilvl w:val="0"/>
          <w:numId w:val="2"/>
        </w:numPr>
        <w:spacing w:after="80" w:line="276"/>
      </w:pPr>
      <w:r>
        <w:rPr>
          <w:rFonts w:ascii="Calibri" w:cs="Calibri" w:eastAsia="Calibri" w:hAnsi="Calibri"/>
          <w:b/>
          <w:bCs/>
          <w:sz w:val="22"/>
          <w:szCs w:val="22"/>
        </w:rPr>
        <w:t xml:space="preserve">Sensor Sync for Glasses </w:t>
      </w:r>
      <w:r>
        <w:rPr>
          <w:rFonts w:ascii="Calibri" w:cs="Calibri" w:eastAsia="Calibri" w:hAnsi="Calibri"/>
          <w:sz w:val="22"/>
          <w:szCs w:val="22"/>
        </w:rPr>
        <w:t xml:space="preserve">(for example Snack Launch Lab - Shelf Detective): affected. It uses the Global Settings screen, and the article recommends updating the study settings when the study runs on a computer with a different resolution, so the synchronization stimulus displays correctly.</w:t>
      </w:r>
    </w:p>
    <w:p>
      <w:pPr>
        <w:pStyle w:val="ListParagraph"/>
        <w:numPr>
          <w:ilvl w:val="0"/>
          <w:numId w:val="2"/>
        </w:numPr>
        <w:spacing w:after="80" w:line="276"/>
      </w:pPr>
      <w:r>
        <w:rPr>
          <w:rFonts w:ascii="Calibri" w:cs="Calibri" w:eastAsia="Calibri" w:hAnsi="Calibri"/>
          <w:b/>
          <w:bCs/>
          <w:sz w:val="22"/>
          <w:szCs w:val="22"/>
        </w:rPr>
        <w:t xml:space="preserve">Two computers: </w:t>
      </w:r>
      <w:r>
        <w:rPr>
          <w:rFonts w:ascii="Calibri" w:cs="Calibri" w:eastAsia="Calibri" w:hAnsi="Calibri"/>
          <w:sz w:val="22"/>
          <w:szCs w:val="22"/>
        </w:rPr>
        <w:t xml:space="preserve">the distribution article requires the same respondent screen resolution on every computer, matching the study settings. Set the screen before saving the study for distribution, and do not change it afterward.</w:t>
      </w:r>
    </w:p>
    <w:p>
      <w:pPr>
        <w:spacing w:after="160" w:before="0" w:line="276"/>
      </w:pPr>
      <w:r>
        <w:rPr>
          <w:rFonts w:ascii="Calibri" w:cs="Calibri" w:eastAsia="Calibri" w:hAnsi="Calibri"/>
          <w:color w:val="555555"/>
          <w:sz w:val="18"/>
          <w:szCs w:val="18"/>
        </w:rPr>
        <w:t xml:space="preserve">Source: </w:t>
      </w:r>
      <w:hyperlink w:history="1" r:id="rId7eloapknua9ekpl3gvwed">
        <w:r>
          <w:rPr>
            <w:rFonts w:ascii="Calibri" w:cs="Calibri" w:eastAsia="Calibri" w:hAnsi="Calibri"/>
            <w:color w:val="1F4E79"/>
            <w:sz w:val="18"/>
            <w:szCs w:val="18"/>
            <w:u w:val="single"/>
          </w:rPr>
          <w:t xml:space="preserve">Using the iMotions Study Builder (Configuration of the screen size)</w:t>
        </w:r>
      </w:hyperlink>
    </w:p>
    <w:p>
      <w:pPr>
        <w:pStyle w:val="Heading1"/>
        <w:spacing w:after="120" w:before="320"/>
      </w:pPr>
      <w:r>
        <w:rPr>
          <w:rFonts w:ascii="Calibri" w:cs="Calibri" w:eastAsia="Calibri" w:hAnsi="Calibri"/>
          <w:b/>
          <w:bCs/>
          <w:color w:val="8B1A2B"/>
          <w:sz w:val="30"/>
          <w:szCs w:val="30"/>
        </w:rPr>
        <w:t xml:space="preserve">Part E. Test, then record what you set</w:t>
      </w:r>
    </w:p>
    <w:p>
      <w:pPr>
        <w:pStyle w:val="ListParagraph"/>
        <w:numPr>
          <w:ilvl w:val="0"/>
          <w:numId w:val="7"/>
        </w:numPr>
        <w:spacing w:after="90" w:line="276"/>
      </w:pPr>
      <w:r>
        <w:rPr>
          <w:rFonts w:ascii="Calibri" w:cs="Calibri" w:eastAsia="Calibri" w:hAnsi="Calibri"/>
          <w:sz w:val="22"/>
          <w:szCs w:val="22"/>
        </w:rPr>
        <w:t xml:space="preserve">On a copy of the study, add a test respondent and click </w:t>
      </w:r>
      <w:r>
        <w:rPr>
          <w:rFonts w:ascii="Calibri" w:cs="Calibri" w:eastAsia="Calibri" w:hAnsi="Calibri"/>
          <w:b/>
          <w:bCs/>
          <w:sz w:val="22"/>
          <w:szCs w:val="22"/>
        </w:rPr>
        <w:t xml:space="preserve">Start Recording</w:t>
      </w:r>
      <w:r>
        <w:rPr>
          <w:rFonts w:ascii="Calibri" w:cs="Calibri" w:eastAsia="Calibri" w:hAnsi="Calibri"/>
          <w:sz w:val="22"/>
          <w:szCs w:val="22"/>
        </w:rPr>
        <w:t xml:space="preserve">.</w:t>
      </w:r>
    </w:p>
    <w:p>
      <w:pPr>
        <w:pStyle w:val="ListParagraph"/>
        <w:numPr>
          <w:ilvl w:val="0"/>
          <w:numId w:val="7"/>
        </w:numPr>
        <w:spacing w:after="90" w:line="276"/>
      </w:pPr>
      <w:r>
        <w:rPr>
          <w:rFonts w:ascii="Calibri" w:cs="Calibri" w:eastAsia="Calibri" w:hAnsi="Calibri"/>
          <w:sz w:val="22"/>
          <w:szCs w:val="22"/>
        </w:rPr>
        <w:t xml:space="preserve">Calibrate. Accept only “Excellent” or “Good”; recalibrate once or twice on anything less.</w:t>
      </w:r>
    </w:p>
    <w:p>
      <w:pPr>
        <w:pStyle w:val="ListParagraph"/>
        <w:numPr>
          <w:ilvl w:val="0"/>
          <w:numId w:val="7"/>
        </w:numPr>
        <w:spacing w:after="90" w:line="276"/>
      </w:pPr>
      <w:r>
        <w:rPr>
          <w:rFonts w:ascii="Calibri" w:cs="Calibri" w:eastAsia="Calibri" w:hAnsi="Calibri"/>
          <w:sz w:val="22"/>
          <w:szCs w:val="22"/>
        </w:rPr>
        <w:t xml:space="preserve">Let one image and one survey slide play, then end the recording (Shift+F1).</w:t>
      </w:r>
    </w:p>
    <w:p>
      <w:pPr>
        <w:pStyle w:val="ListParagraph"/>
        <w:numPr>
          <w:ilvl w:val="0"/>
          <w:numId w:val="7"/>
        </w:numPr>
        <w:spacing w:after="90" w:line="276"/>
      </w:pPr>
      <w:r>
        <w:rPr>
          <w:rFonts w:ascii="Calibri" w:cs="Calibri" w:eastAsia="Calibri" w:hAnsi="Calibri"/>
          <w:sz w:val="22"/>
          <w:szCs w:val="22"/>
        </w:rPr>
        <w:t xml:space="preserve">Write in the study README: the screen name, resolution, width and height, viewing distance, Windows Scale value, Smart Eye setup name, and iMotions version.</w:t>
      </w:r>
    </w:p>
    <w:p>
      <w:pPr>
        <w:spacing w:after="120" w:before="0" w:line="276"/>
      </w:pPr>
      <w:r>
        <w:rPr>
          <w:rFonts w:ascii="Calibri" w:cs="Calibri" w:eastAsia="Calibri" w:hAnsi="Calibri"/>
          <w:b/>
          <w:bCs/>
          <w:color w:val="2E6B3A"/>
          <w:sz w:val="22"/>
          <w:szCs w:val="22"/>
        </w:rPr>
        <w:t xml:space="preserve">You should see: </w:t>
      </w:r>
      <w:r>
        <w:rPr>
          <w:rFonts w:ascii="Calibri" w:cs="Calibri" w:eastAsia="Calibri" w:hAnsi="Calibri"/>
          <w:sz w:val="22"/>
          <w:szCs w:val="22"/>
        </w:rPr>
        <w:t xml:space="preserve">the recording starts without “Inconsistent screen resolutions”, and the stimuli fill the respondent's monitor.</w:t>
      </w:r>
    </w:p>
    <w:p>
      <w:pPr>
        <w:pStyle w:val="Heading1"/>
        <w:spacing w:after="120" w:before="320"/>
      </w:pPr>
      <w:r>
        <w:rPr>
          <w:rFonts w:ascii="Calibri" w:cs="Calibri" w:eastAsia="Calibri" w:hAnsi="Calibri"/>
          <w:b/>
          <w:bCs/>
          <w:color w:val="8B1A2B"/>
          <w:sz w:val="30"/>
          <w:szCs w:val="30"/>
        </w:rPr>
        <w:t xml:space="preserve">Items to verify on the lab computer</w:t>
      </w:r>
    </w:p>
    <w:p>
      <w:pPr>
        <w:pStyle w:val="ListParagraph"/>
        <w:numPr>
          <w:ilvl w:val="0"/>
          <w:numId w:val="2"/>
        </w:numPr>
        <w:spacing w:after="80" w:line="276"/>
      </w:pPr>
      <w:r>
        <w:rPr>
          <w:rFonts w:ascii="Calibri" w:cs="Calibri" w:eastAsia="Calibri" w:hAnsi="Calibri"/>
          <w:sz w:val="22"/>
          <w:szCs w:val="22"/>
        </w:rPr>
        <w:t xml:space="preserve">Why iMotions reads the Dell as 3200 x 1800, when the U2717D's native resolution is 2560 x 1440. A likely cause is the two monitors using different Scale values, which Part A forbids.</w:t>
      </w:r>
    </w:p>
    <w:p>
      <w:pPr>
        <w:pStyle w:val="ListParagraph"/>
        <w:numPr>
          <w:ilvl w:val="0"/>
          <w:numId w:val="2"/>
        </w:numPr>
        <w:spacing w:after="80" w:line="276"/>
      </w:pPr>
      <w:r>
        <w:rPr>
          <w:rFonts w:ascii="Calibri" w:cs="Calibri" w:eastAsia="Calibri" w:hAnsi="Calibri"/>
          <w:sz w:val="22"/>
          <w:szCs w:val="22"/>
        </w:rPr>
        <w:t xml:space="preserve">The Scale value on each monitor now, and what resolution iMotions reports for MARKS once both are equal. If it changes, every study needs Part D with the new value.</w:t>
      </w:r>
    </w:p>
    <w:p>
      <w:pPr>
        <w:pStyle w:val="ListParagraph"/>
        <w:numPr>
          <w:ilvl w:val="0"/>
          <w:numId w:val="2"/>
        </w:numPr>
        <w:spacing w:after="80" w:line="276"/>
      </w:pPr>
      <w:r>
        <w:rPr>
          <w:rFonts w:ascii="Calibri" w:cs="Calibri" w:eastAsia="Calibri" w:hAnsi="Calibri"/>
          <w:sz w:val="22"/>
          <w:szCs w:val="22"/>
        </w:rPr>
        <w:t xml:space="preserve">That the Dell is the Windows main display and the Slide Show tab reads “Use secondary screen”.</w:t>
      </w:r>
    </w:p>
    <w:p>
      <w:pPr>
        <w:pStyle w:val="ListParagraph"/>
        <w:numPr>
          <w:ilvl w:val="0"/>
          <w:numId w:val="2"/>
        </w:numPr>
        <w:spacing w:after="80" w:line="276"/>
      </w:pPr>
      <w:r>
        <w:rPr>
          <w:rFonts w:ascii="Calibri" w:cs="Calibri" w:eastAsia="Calibri" w:hAnsi="Calibri"/>
          <w:sz w:val="22"/>
          <w:szCs w:val="22"/>
        </w:rPr>
        <w:t xml:space="preserve">The exact labels on the Lab - Alien Slide Show tab (the article calls the setting “Screen for stimulus display”).</w:t>
      </w:r>
    </w:p>
    <w:p>
      <w:pPr>
        <w:pStyle w:val="ListParagraph"/>
        <w:numPr>
          <w:ilvl w:val="0"/>
          <w:numId w:val="2"/>
        </w:numPr>
        <w:spacing w:after="80" w:line="276"/>
      </w:pPr>
      <w:r>
        <w:rPr>
          <w:rFonts w:ascii="Calibri" w:cs="Calibri" w:eastAsia="Calibri" w:hAnsi="Calibri"/>
          <w:sz w:val="22"/>
          <w:szCs w:val="22"/>
        </w:rPr>
        <w:t xml:space="preserve">The Smart Eye software version installed. The current Aurora article links installer 16.0.0.</w:t>
      </w:r>
    </w:p>
    <w:p>
      <w:pPr>
        <w:pStyle w:val="ListParagraph"/>
        <w:numPr>
          <w:ilvl w:val="0"/>
          <w:numId w:val="2"/>
        </w:numPr>
        <w:spacing w:after="80" w:line="276"/>
      </w:pPr>
      <w:r>
        <w:rPr>
          <w:rFonts w:ascii="Calibri" w:cs="Calibri" w:eastAsia="Calibri" w:hAnsi="Calibri"/>
          <w:sz w:val="22"/>
          <w:szCs w:val="22"/>
        </w:rPr>
        <w:t xml:space="preserve">The viewing distance in the studies: the imported studies read 65 cm, and the calibration article positions the head about 60 cm from the screen.</w:t>
      </w:r>
    </w:p>
    <w:p>
      <w:pPr>
        <w:pStyle w:val="Heading1"/>
        <w:spacing w:after="120" w:before="320"/>
      </w:pPr>
      <w:r>
        <w:rPr>
          <w:rFonts w:ascii="Calibri" w:cs="Calibri" w:eastAsia="Calibri" w:hAnsi="Calibri"/>
          <w:b/>
          <w:bCs/>
          <w:color w:val="8B1A2B"/>
          <w:sz w:val="30"/>
          <w:szCs w:val="30"/>
        </w:rPr>
        <w:t xml:space="preserve">Sources</w:t>
      </w:r>
    </w:p>
    <w:p>
      <w:pPr>
        <w:pStyle w:val="ListParagraph"/>
        <w:numPr>
          <w:ilvl w:val="0"/>
          <w:numId w:val="2"/>
        </w:numPr>
        <w:spacing w:after="80" w:line="276"/>
      </w:pPr>
      <w:r>
        <w:rPr>
          <w:rFonts w:ascii="Calibri" w:cs="Calibri" w:eastAsia="Calibri" w:hAnsi="Calibri"/>
          <w:sz w:val="20"/>
          <w:szCs w:val="20"/>
        </w:rPr>
        <w:t xml:space="preserve">How to use two monitors with iMotions. </w:t>
      </w:r>
      <w:hyperlink w:history="1" r:id="rIddfql2s_krt978-qol0ubu">
        <w:r>
          <w:rPr>
            <w:rFonts w:ascii="Calibri" w:cs="Calibri" w:eastAsia="Calibri" w:hAnsi="Calibri"/>
            <w:color w:val="1F4E79"/>
            <w:sz w:val="20"/>
            <w:szCs w:val="20"/>
            <w:u w:val="single"/>
          </w:rPr>
          <w:t xml:space="preserve">https://help.imotions.com/lab/sensor-setup/lab-setup-how-to-use-two-monitors-with-imotions</w:t>
        </w:r>
      </w:hyperlink>
    </w:p>
    <w:p>
      <w:pPr>
        <w:pStyle w:val="ListParagraph"/>
        <w:numPr>
          <w:ilvl w:val="0"/>
          <w:numId w:val="2"/>
        </w:numPr>
        <w:spacing w:after="80" w:line="276"/>
      </w:pPr>
      <w:r>
        <w:rPr>
          <w:rFonts w:ascii="Calibri" w:cs="Calibri" w:eastAsia="Calibri" w:hAnsi="Calibri"/>
          <w:sz w:val="20"/>
          <w:szCs w:val="20"/>
        </w:rPr>
        <w:t xml:space="preserve">iMotions Global Settings. </w:t>
      </w:r>
      <w:hyperlink w:history="1" r:id="rIdyzrvkm2gmtrhfykhmh9e0">
        <w:r>
          <w:rPr>
            <w:rFonts w:ascii="Calibri" w:cs="Calibri" w:eastAsia="Calibri" w:hAnsi="Calibri"/>
            <w:color w:val="1F4E79"/>
            <w:sz w:val="20"/>
            <w:szCs w:val="20"/>
            <w:u w:val="single"/>
          </w:rPr>
          <w:t xml:space="preserve">https://help.imotions.com/lab/getting-started/imotions-global-settings</w:t>
        </w:r>
      </w:hyperlink>
    </w:p>
    <w:p>
      <w:pPr>
        <w:pStyle w:val="ListParagraph"/>
        <w:numPr>
          <w:ilvl w:val="0"/>
          <w:numId w:val="2"/>
        </w:numPr>
        <w:spacing w:after="80" w:line="276"/>
      </w:pPr>
      <w:r>
        <w:rPr>
          <w:rFonts w:ascii="Calibri" w:cs="Calibri" w:eastAsia="Calibri" w:hAnsi="Calibri"/>
          <w:sz w:val="20"/>
          <w:szCs w:val="20"/>
        </w:rPr>
        <w:t xml:space="preserve">Setting up Aurora or AI-X in iMotions. </w:t>
      </w:r>
      <w:hyperlink w:history="1" r:id="rIdyzcqrbvuaqzyf0zfx5x5w">
        <w:r>
          <w:rPr>
            <w:rFonts w:ascii="Calibri" w:cs="Calibri" w:eastAsia="Calibri" w:hAnsi="Calibri"/>
            <w:color w:val="1F4E79"/>
            <w:sz w:val="20"/>
            <w:szCs w:val="20"/>
            <w:u w:val="single"/>
          </w:rPr>
          <w:t xml:space="preserve">https://help.imotions.com/lab/sensor-setup/screen-based-eye-trackers/smart-eye/setting-up-aurora-or-ai-x-in-imotions</w:t>
        </w:r>
      </w:hyperlink>
    </w:p>
    <w:p>
      <w:pPr>
        <w:pStyle w:val="ListParagraph"/>
        <w:numPr>
          <w:ilvl w:val="0"/>
          <w:numId w:val="2"/>
        </w:numPr>
        <w:spacing w:after="80" w:line="276"/>
      </w:pPr>
      <w:r>
        <w:rPr>
          <w:rFonts w:ascii="Calibri" w:cs="Calibri" w:eastAsia="Calibri" w:hAnsi="Calibri"/>
          <w:sz w:val="20"/>
          <w:szCs w:val="20"/>
        </w:rPr>
        <w:t xml:space="preserve">Using the iMotions Study Builder. </w:t>
      </w:r>
      <w:hyperlink w:history="1" r:id="rIdm0ol5grchk7v0rmko-wyt">
        <w:r>
          <w:rPr>
            <w:rFonts w:ascii="Calibri" w:cs="Calibri" w:eastAsia="Calibri" w:hAnsi="Calibri"/>
            <w:color w:val="1F4E79"/>
            <w:sz w:val="20"/>
            <w:szCs w:val="20"/>
            <w:u w:val="single"/>
          </w:rPr>
          <w:t xml:space="preserve">https://help.imotions.com/lab/getting-started/using-the-imotions-study-builder</w:t>
        </w:r>
      </w:hyperlink>
    </w:p>
    <w:p>
      <w:pPr>
        <w:pStyle w:val="ListParagraph"/>
        <w:numPr>
          <w:ilvl w:val="0"/>
          <w:numId w:val="2"/>
        </w:numPr>
        <w:spacing w:after="80" w:line="276"/>
      </w:pPr>
      <w:r>
        <w:rPr>
          <w:rFonts w:ascii="Calibri" w:cs="Calibri" w:eastAsia="Calibri" w:hAnsi="Calibri"/>
          <w:sz w:val="20"/>
          <w:szCs w:val="20"/>
        </w:rPr>
        <w:t xml:space="preserve">iMotions Survey Stimuli and Elements. </w:t>
      </w:r>
      <w:hyperlink w:history="1" r:id="rIdivb7fd3ukamf1-wbmvbhv">
        <w:r>
          <w:rPr>
            <w:rFonts w:ascii="Calibri" w:cs="Calibri" w:eastAsia="Calibri" w:hAnsi="Calibri"/>
            <w:color w:val="1F4E79"/>
            <w:sz w:val="20"/>
            <w:szCs w:val="20"/>
            <w:u w:val="single"/>
          </w:rPr>
          <w:t xml:space="preserve">https://help.imotions.com/lab/study-setup-and-design/stimuli/survey/imotions-survey-stimuli-and-elements</w:t>
        </w:r>
      </w:hyperlink>
    </w:p>
    <w:p>
      <w:pPr>
        <w:pStyle w:val="ListParagraph"/>
        <w:numPr>
          <w:ilvl w:val="0"/>
          <w:numId w:val="2"/>
        </w:numPr>
        <w:spacing w:after="80" w:line="276"/>
      </w:pPr>
      <w:r>
        <w:rPr>
          <w:rFonts w:ascii="Calibri" w:cs="Calibri" w:eastAsia="Calibri" w:hAnsi="Calibri"/>
          <w:sz w:val="20"/>
          <w:szCs w:val="20"/>
        </w:rPr>
        <w:t xml:space="preserve">Windows Settings Recommendations. </w:t>
      </w:r>
      <w:hyperlink w:history="1" r:id="rIdfwttkoilrnof9m4kgjicv">
        <w:r>
          <w:rPr>
            <w:rFonts w:ascii="Calibri" w:cs="Calibri" w:eastAsia="Calibri" w:hAnsi="Calibri"/>
            <w:color w:val="1F4E79"/>
            <w:sz w:val="20"/>
            <w:szCs w:val="20"/>
            <w:u w:val="single"/>
          </w:rPr>
          <w:t xml:space="preserve">https://help.imotions.com/lab/support-and-troubleshooting/windows-settings-recommendations</w:t>
        </w:r>
      </w:hyperlink>
    </w:p>
    <w:p>
      <w:pPr>
        <w:pStyle w:val="ListParagraph"/>
        <w:numPr>
          <w:ilvl w:val="0"/>
          <w:numId w:val="2"/>
        </w:numPr>
        <w:spacing w:after="80" w:line="276"/>
      </w:pPr>
      <w:r>
        <w:rPr>
          <w:rFonts w:ascii="Calibri" w:cs="Calibri" w:eastAsia="Calibri" w:hAnsi="Calibri"/>
          <w:sz w:val="20"/>
          <w:szCs w:val="20"/>
        </w:rPr>
        <w:t xml:space="preserve">Planning for Eye Tracker Calibration. </w:t>
      </w:r>
      <w:hyperlink w:history="1" r:id="rIdnhh9lo6ylqro528buzjcg">
        <w:r>
          <w:rPr>
            <w:rFonts w:ascii="Calibri" w:cs="Calibri" w:eastAsia="Calibri" w:hAnsi="Calibri"/>
            <w:color w:val="1F4E79"/>
            <w:sz w:val="20"/>
            <w:szCs w:val="20"/>
            <w:u w:val="single"/>
          </w:rPr>
          <w:t xml:space="preserve">https://help.imotions.com/lab/sensor-setup/screen-based-eye-trackers/planning-for-eye-tracker-calibration</w:t>
        </w:r>
      </w:hyperlink>
    </w:p>
    <w:p>
      <w:pPr>
        <w:pStyle w:val="ListParagraph"/>
        <w:numPr>
          <w:ilvl w:val="0"/>
          <w:numId w:val="2"/>
        </w:numPr>
        <w:spacing w:after="80" w:line="276"/>
      </w:pPr>
      <w:r>
        <w:rPr>
          <w:rFonts w:ascii="Calibri" w:cs="Calibri" w:eastAsia="Calibri" w:hAnsi="Calibri"/>
          <w:sz w:val="20"/>
          <w:szCs w:val="20"/>
        </w:rPr>
        <w:t xml:space="preserve">Distributing an iMotions Study for Data Collection on Multiple Computers. </w:t>
      </w:r>
      <w:hyperlink w:history="1" r:id="rIdndezmfmc33snvyspuu_uf">
        <w:r>
          <w:rPr>
            <w:rFonts w:ascii="Calibri" w:cs="Calibri" w:eastAsia="Calibri" w:hAnsi="Calibri"/>
            <w:color w:val="1F4E79"/>
            <w:sz w:val="20"/>
            <w:szCs w:val="20"/>
            <w:u w:val="single"/>
          </w:rPr>
          <w:t xml:space="preserve">https://help.imotions.com/lab/study-setup-and-design/imotions-setup/distributing-an-imotions-study-for-data-collection-on-multiple-computers</w:t>
        </w:r>
      </w:hyperlink>
    </w:p>
    <w:p>
      <w:pPr>
        <w:pStyle w:val="ListParagraph"/>
        <w:numPr>
          <w:ilvl w:val="0"/>
          <w:numId w:val="2"/>
        </w:numPr>
        <w:spacing w:after="80" w:line="276"/>
      </w:pPr>
      <w:r>
        <w:rPr>
          <w:rFonts w:ascii="Calibri" w:cs="Calibri" w:eastAsia="Calibri" w:hAnsi="Calibri"/>
          <w:sz w:val="20"/>
          <w:szCs w:val="20"/>
        </w:rPr>
        <w:t xml:space="preserve">Clone, Save, and Import iMotions Studies. </w:t>
      </w:r>
      <w:hyperlink w:history="1" r:id="rIddhi0ldegf9lscvbr_hxlx">
        <w:r>
          <w:rPr>
            <w:rFonts w:ascii="Calibri" w:cs="Calibri" w:eastAsia="Calibri" w:hAnsi="Calibri"/>
            <w:color w:val="1F4E79"/>
            <w:sz w:val="20"/>
            <w:szCs w:val="20"/>
            <w:u w:val="single"/>
          </w:rPr>
          <w:t xml:space="preserve">https://help.imotions.com/lab/study-setup-and-design/imotions-setup/clone-save-and-import-imotions-studies</w:t>
        </w:r>
      </w:hyperlink>
    </w:p>
    <w:p>
      <w:pPr>
        <w:spacing w:after="120" w:before="120" w:line="276"/>
      </w:pPr>
      <w:r>
        <w:rPr>
          <w:rFonts w:ascii="Calibri" w:cs="Calibri" w:eastAsia="Calibri" w:hAnsi="Calibri"/>
          <w:sz w:val="20"/>
          <w:szCs w:val="20"/>
        </w:rPr>
        <w:t xml:space="preserve">Lab records: Project doc 14 (screen size mismatch found October 12, 2026) and doc 02a (Aurora pipeline).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6"/>
        <w:szCs w:val="16"/>
      </w:rPr>
      <w:t xml:space="preserve">Setting Up the Stimulus Screen  |  October 13,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abstractNum w:abstractNumId="6" w15:restartNumberingAfterBreak="0">
    <w:multiLevelType w:val="hybridMultilevel"/>
    <w:lvl w:ilvl="0" w15:tentative="1">
      <w:start w:val="1"/>
      <w:numFmt w:val="decimal"/>
      <w:lvlText w:val="%1."/>
      <w:lvlJc w:val="left"/>
      <w:pPr>
        <w:ind w:left="360" w:hanging="300"/>
      </w:pPr>
    </w:lvl>
  </w:abstractNum>
  <w:abstractNum w:abstractNumId="7"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aefrihxcpxb5rkeze2chd" Type="http://schemas.openxmlformats.org/officeDocument/2006/relationships/hyperlink" Target="https://help.imotions.com/lab/sensor-setup/lab-setup-how-to-use-two-monitors-with-imotions" TargetMode="External"/><Relationship Id="rIdtbycdcu8wgndwvv8gt_6d" Type="http://schemas.openxmlformats.org/officeDocument/2006/relationships/hyperlink" Target="https://help.imotions.com/lab/sensor-setup/screen-based-eye-trackers/smart-eye/setting-up-aurora-or-ai-x-in-imotions" TargetMode="External"/><Relationship Id="rId2uyr71n7nrnzp_kmum6ep" Type="http://schemas.openxmlformats.org/officeDocument/2006/relationships/hyperlink" Target="https://help.imotions.com/lab/getting-started/imotions-global-settings" TargetMode="External"/><Relationship Id="rId7eloapknua9ekpl3gvwed" Type="http://schemas.openxmlformats.org/officeDocument/2006/relationships/hyperlink" Target="https://help.imotions.com/lab/getting-started/using-the-imotions-study-builder" TargetMode="External"/><Relationship Id="rIddfql2s_krt978-qol0ubu" Type="http://schemas.openxmlformats.org/officeDocument/2006/relationships/hyperlink" Target="https://help.imotions.com/lab/sensor-setup/lab-setup-how-to-use-two-monitors-with-imotions" TargetMode="External"/><Relationship Id="rIdyzrvkm2gmtrhfykhmh9e0" Type="http://schemas.openxmlformats.org/officeDocument/2006/relationships/hyperlink" Target="https://help.imotions.com/lab/getting-started/imotions-global-settings" TargetMode="External"/><Relationship Id="rIdyzcqrbvuaqzyf0zfx5x5w" Type="http://schemas.openxmlformats.org/officeDocument/2006/relationships/hyperlink" Target="https://help.imotions.com/lab/sensor-setup/screen-based-eye-trackers/smart-eye/setting-up-aurora-or-ai-x-in-imotions" TargetMode="External"/><Relationship Id="rIdm0ol5grchk7v0rmko-wyt" Type="http://schemas.openxmlformats.org/officeDocument/2006/relationships/hyperlink" Target="https://help.imotions.com/lab/getting-started/using-the-imotions-study-builder" TargetMode="External"/><Relationship Id="rIdivb7fd3ukamf1-wbmvbhv" Type="http://schemas.openxmlformats.org/officeDocument/2006/relationships/hyperlink" Target="https://help.imotions.com/lab/study-setup-and-design/stimuli/survey/imotions-survey-stimuli-and-elements" TargetMode="External"/><Relationship Id="rIdfwttkoilrnof9m4kgjicv" Type="http://schemas.openxmlformats.org/officeDocument/2006/relationships/hyperlink" Target="https://help.imotions.com/lab/support-and-troubleshooting/windows-settings-recommendations" TargetMode="External"/><Relationship Id="rIdnhh9lo6ylqro528buzjcg" Type="http://schemas.openxmlformats.org/officeDocument/2006/relationships/hyperlink" Target="https://help.imotions.com/lab/sensor-setup/screen-based-eye-trackers/planning-for-eye-tracker-calibration" TargetMode="External"/><Relationship Id="rIdndezmfmc33snvyspuu_uf" Type="http://schemas.openxmlformats.org/officeDocument/2006/relationships/hyperlink" Target="https://help.imotions.com/lab/study-setup-and-design/imotions-setup/distributing-an-imotions-study-for-data-collection-on-multiple-computers" TargetMode="External"/><Relationship Id="rIddhi0ldegf9lscvbr_hxlx" Type="http://schemas.openxmlformats.org/officeDocument/2006/relationships/hyperlink" Target="https://help.imotions.com/lab/study-setup-and-design/imotions-setup/clone-save-and-import-imotions-studies"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Setting Up the Stimulus Screen</dc:title>
  <dc:creator>Martin's Family Clothing Consumer Behavior Research Laboratory</dc:creator>
  <cp:lastModifiedBy>Un-named</cp:lastModifiedBy>
  <cp:revision>1</cp:revision>
  <dcterms:created xsi:type="dcterms:W3CDTF">2026-10-13T04:02:58.072Z</dcterms:created>
  <dcterms:modified xsi:type="dcterms:W3CDTF">2026-10-13T04:02:58.078Z</dcterms:modified>
</cp:coreProperties>
</file>

<file path=docProps/custom.xml><?xml version="1.0" encoding="utf-8"?>
<Properties xmlns="http://schemas.openxmlformats.org/officeDocument/2006/custom-properties" xmlns:vt="http://schemas.openxmlformats.org/officeDocument/2006/docPropsVTypes"/>
</file>