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80"/>
        <w:jc w:val="center"/>
      </w:pPr>
      <w:r>
        <w:rPr>
          <w:rFonts w:ascii="Arial" w:cs="Arial" w:eastAsia="Arial" w:hAnsi="Arial"/>
          <w:b/>
          <w:bCs/>
          <w:color w:val="152168"/>
          <w:sz w:val="52"/>
          <w:szCs w:val="52"/>
        </w:rPr>
        <w:t xml:space="preserve">[ORGANIZATION NAME]</w:t>
      </w:r>
    </w:p>
    <w:p>
      <w:pPr>
        <w:spacing w:after="240"/>
        <w:jc w:val="center"/>
      </w:pPr>
      <w:r>
        <w:rPr>
          <w:rFonts w:ascii="Arial" w:cs="Arial" w:eastAsia="Arial" w:hAnsi="Arial"/>
          <w:color w:val="07B4D9"/>
          <w:sz w:val="30"/>
          <w:szCs w:val="30"/>
        </w:rPr>
        <w:t xml:space="preserve">Information Security</w:t>
      </w:r>
    </w:p>
    <w:p>
      <w:pPr>
        <w:pBdr>
          <w:bottom w:val="single" w:color="07B4D9" w:sz="8" w:space="1"/>
        </w:pBdr>
        <w:spacing w:after="240"/>
      </w:pPr>
      <w:r>
        <w:t xml:space="preserve"/>
      </w:r>
    </w:p>
    <w:p>
      <w:pPr>
        <w:spacing w:after="60"/>
        <w:jc w:val="center"/>
      </w:pPr>
      <w:r>
        <w:rPr>
          <w:rFonts w:ascii="Arial" w:cs="Arial" w:eastAsia="Arial" w:hAnsi="Arial"/>
          <w:b/>
          <w:bCs/>
          <w:color w:val="152168"/>
          <w:sz w:val="48"/>
          <w:szCs w:val="48"/>
        </w:rPr>
        <w:t xml:space="preserve">Acceptable Use</w:t>
      </w:r>
    </w:p>
    <w:p>
      <w:pPr>
        <w:spacing w:after="240"/>
        <w:jc w:val="center"/>
      </w:pPr>
      <w:r>
        <w:rPr>
          <w:rFonts w:ascii="Arial" w:cs="Arial" w:eastAsia="Arial" w:hAnsi="Arial"/>
          <w:b/>
          <w:bCs/>
          <w:color w:val="152168"/>
          <w:sz w:val="48"/>
          <w:szCs w:val="48"/>
        </w:rPr>
        <w:t xml:space="preserve">Policy</w:t>
      </w:r>
    </w:p>
    <w:p>
      <w:pPr>
        <w:spacing w:after="60"/>
        <w:jc w:val="center"/>
      </w:pPr>
      <w:r>
        <w:rPr>
          <w:rFonts w:ascii="Arial" w:cs="Arial" w:eastAsia="Arial" w:hAnsi="Arial"/>
          <w:color w:val="5A6A8A"/>
          <w:sz w:val="24"/>
          <w:szCs w:val="24"/>
        </w:rPr>
        <w:t xml:space="preserve">ENT-Draft-POL-AUP-Comprehensive-6.26</w:t>
      </w:r>
    </w:p>
    <w:p>
      <w:pPr>
        <w:spacing w:after="400"/>
        <w:jc w:val="center"/>
      </w:pPr>
      <w:r>
        <w:rPr>
          <w:rFonts w:ascii="Arial" w:cs="Arial" w:eastAsia="Arial" w:hAnsi="Arial"/>
          <w:color w:val="5A6A8A"/>
          <w:sz w:val="22"/>
          <w:szCs w:val="22"/>
        </w:rPr>
        <w:t xml:space="preserve">Version 1.0  |  DRAFT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160"/>
        <w:gridCol w:w="2520"/>
      </w:tblGrid>
      <w:tr>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Document ID</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ENT-Draft-POL-AUP-Comprehensive-6.26</w:t>
            </w:r>
          </w:p>
        </w:tc>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Classification</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Internal — Confidential</w:t>
            </w:r>
          </w:p>
        </w:tc>
      </w:tr>
      <w:tr>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Title</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Acceptable Use Policy</w:t>
            </w:r>
          </w:p>
        </w:tc>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Status</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DRAFT</w:t>
            </w:r>
          </w:p>
        </w:tc>
      </w:tr>
      <w:tr>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Version</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1.0</w:t>
            </w:r>
          </w:p>
        </w:tc>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Effective Date</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[TO BE SET ON APPROVAL]</w:t>
            </w:r>
          </w:p>
        </w:tc>
      </w:tr>
      <w:tr>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Policy Owner</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[CISO / vCISO]</w:t>
            </w:r>
          </w:p>
        </w:tc>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Review Cycle</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Annual (or after material policy incident)</w:t>
            </w:r>
          </w:p>
        </w:tc>
      </w:tr>
      <w:tr>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Approved By</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[Executive Leadership / Board]</w:t>
            </w:r>
          </w:p>
        </w:tc>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Next Review Date</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[DATE + 1 YEAR]</w:t>
            </w:r>
          </w:p>
        </w:tc>
      </w:tr>
      <w:tr>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Frameworks</w:t>
            </w:r>
          </w:p>
        </w:tc>
        <w:tc>
          <w:tcPr>
            <w:tcW w:type="dxa" w:w="7200"/>
            <w:gridSpan w:val="3"/>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9"/>
                <w:szCs w:val="19"/>
              </w:rPr>
              <w:t xml:space="preserve">NIST SP 800-53 Rev 5  |  ISO/IEC 27001:2022  |  CIS Controls v8</w:t>
            </w:r>
          </w:p>
        </w:tc>
      </w:tr>
    </w:tbl>
    <w:p>
      <w:pPr>
        <w:spacing w:after="240" w:before="0"/>
      </w:pPr>
      <w:r>
        <w:t xml:space="preserve"/>
      </w:r>
    </w:p>
    <w:p>
      <w:pPr>
        <w:spacing w:after="60" w:before="40"/>
        <w:jc w:val="both"/>
      </w:pPr>
      <w:r>
        <w:rPr>
          <w:rFonts w:ascii="Arial" w:cs="Arial" w:eastAsia="Arial" w:hAnsi="Arial"/>
          <w:i/>
          <w:iCs/>
          <w:color w:val="5A6A8A"/>
          <w:sz w:val="19"/>
          <w:szCs w:val="19"/>
        </w:rPr>
        <w:t xml:space="preserve">This policy governs the acceptable use of all [ORGANIZATION NAME] systems, devices, networks, and data by employees, contractors, and third parties. It is a foundational control aligned to NIST SP 800-53 Rev 5 and ISO/IEC 27001:2022.</w:t>
      </w:r>
    </w:p>
    <w:p>
      <w:r>
        <w:br w:type="page"/>
      </w:r>
    </w:p>
    <w:p>
      <w:pPr>
        <w:pStyle w:val="Heading1"/>
        <w:pBdr>
          <w:bottom w:val="single" w:color="07B4D9" w:sz="8" w:space="4"/>
        </w:pBdr>
        <w:spacing w:after="120" w:before="400"/>
      </w:pPr>
      <w:r>
        <w:rPr>
          <w:rFonts w:ascii="Arial" w:cs="Arial" w:eastAsia="Arial" w:hAnsi="Arial"/>
          <w:b/>
          <w:bCs/>
          <w:color w:val="152168"/>
          <w:sz w:val="30"/>
          <w:szCs w:val="30"/>
        </w:rPr>
        <w:t xml:space="preserve">Table of Contents</w:t>
      </w:r>
    </w:p>
    <w:tbl>
      <w:tblPr>
        <w:tblW w:type="dxa" w:w="9360"/>
        <w:tblBorders>
          <w:top w:val="none"/>
          <w:left w:val="none"/>
          <w:bottom w:val="none"/>
          <w:right w:val="none"/>
          <w:insideH w:val="single" w:color="auto" w:sz="4"/>
          <w:insideV w:val="single" w:color="auto" w:sz="4"/>
        </w:tblBorders>
      </w:tblPr>
      <w:tblGrid>
        <w:gridCol w:w="1440"/>
        <w:gridCol w:w="6480"/>
        <w:gridCol w:w="1440"/>
      </w:tblGrid>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1</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Purpose</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3</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2</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Scope</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3</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3</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Policy Statement</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4</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4</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Definitions</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4</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5</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Roles and Responsibilities</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7</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  5.1</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Executive Leadership / Policy Owner</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7</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  5.2</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IT / Security (CISO / vCISO)</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7</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  5.3</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Managers and Supervisors</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8</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  5.4</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All Employees and Contractors</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8</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6</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Policy Requirements</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9</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  6.1</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Authorized Use of Company Systems</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9</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  6.2</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Internet and Web Browsing</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9</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  6.3</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Email and Electronic Communications</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10</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  6.4</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Device Management — Company-Owned</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11</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  6.5</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Device Management — BYOD</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12</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  6.6</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Data Classification and Handling</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13</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  6.7</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Social Media</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14</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  6.8</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Remote Access and VPN</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15</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  6.9</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Software Installation and Licensing</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16</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  6.10</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Cloud Services and Third-Party Applications</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16</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  6.11</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Artificial Intelligence Tools</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17</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  6.12</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Password and Account Security</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18</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  6.13</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Privacy and Monitoring</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19</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  6.14</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Physical Security of Devices</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20</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  6.15</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Intellectual Property and Confidentiality</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20</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7</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Compliance and Enforcement</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21</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8</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Policy Exceptions</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22</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9</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Related Documents</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22</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10</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Document Control and Revision History</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23</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Appendix A</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Prohibited Use Categories</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24</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Appendix B</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Personal Use Guidelines</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25</w:t>
            </w:r>
          </w:p>
        </w:tc>
      </w:tr>
      <w:tr>
        <w:tc>
          <w:tcPr>
            <w:tcW w:type="dxa" w:w="1440"/>
            <w:tcBorders>
              <w:top w:val="single" w:color="FFFFFF" w:sz="4"/>
              <w:left w:val="single" w:color="FFFFFF" w:sz="4"/>
              <w:bottom w:val="single" w:color="FFFFFF" w:sz="4"/>
              <w:right w:val="single" w:color="FFFFFF" w:sz="4"/>
            </w:tcBorders>
            <w:tcMar>
              <w:top w:type="dxa" w:w="40"/>
              <w:left w:type="dxa" w:w="0"/>
              <w:bottom w:type="dxa" w:w="40"/>
              <w:right w:type="dxa" w:w="60"/>
            </w:tcMar>
          </w:tcPr>
          <w:p>
            <w:pPr>
              <w:spacing w:after="20" w:before="20"/>
            </w:pPr>
            <w:r>
              <w:rPr>
                <w:rFonts w:ascii="Arial" w:cs="Arial" w:eastAsia="Arial" w:hAnsi="Arial"/>
                <w:color w:val="5A6A8A"/>
                <w:sz w:val="20"/>
                <w:szCs w:val="20"/>
              </w:rPr>
              <w:t xml:space="preserve">Appendix C</w:t>
            </w:r>
          </w:p>
        </w:tc>
        <w:tc>
          <w:tcPr>
            <w:tcW w:type="dxa" w:w="6480"/>
            <w:tcBorders>
              <w:top w:val="single" w:color="FFFFFF" w:sz="4"/>
              <w:left w:val="single" w:color="FFFFFF" w:sz="4"/>
              <w:bottom w:val="single" w:color="FFFFFF" w:sz="4"/>
              <w:right w:val="single" w:color="FFFFFF" w:sz="4"/>
            </w:tcBorders>
            <w:tcMar>
              <w:top w:type="dxa" w:w="40"/>
              <w:left w:type="dxa" w:w="60"/>
              <w:bottom w:type="dxa" w:w="40"/>
              <w:right w:type="dxa" w:w="60"/>
            </w:tcMar>
          </w:tcPr>
          <w:p>
            <w:pPr>
              <w:spacing w:after="20" w:before="20"/>
            </w:pPr>
            <w:r>
              <w:rPr>
                <w:rFonts w:ascii="Arial" w:cs="Arial" w:eastAsia="Arial" w:hAnsi="Arial"/>
                <w:color w:val="1A2340"/>
                <w:sz w:val="20"/>
                <w:szCs w:val="20"/>
              </w:rPr>
              <w:t xml:space="preserve">Framework Mapping</w:t>
            </w:r>
          </w:p>
        </w:tc>
        <w:tc>
          <w:tcPr>
            <w:tcW w:type="dxa" w:w="1440"/>
            <w:tcBorders>
              <w:top w:val="single" w:color="FFFFFF" w:sz="4"/>
              <w:left w:val="single" w:color="FFFFFF" w:sz="4"/>
              <w:bottom w:val="single" w:color="FFFFFF" w:sz="4"/>
              <w:right w:val="single" w:color="FFFFFF" w:sz="4"/>
            </w:tcBorders>
            <w:tcMar>
              <w:top w:type="dxa" w:w="40"/>
              <w:left w:type="dxa" w:w="60"/>
              <w:bottom w:type="dxa" w:w="40"/>
              <w:right w:type="dxa" w:w="0"/>
            </w:tcMar>
          </w:tcPr>
          <w:p>
            <w:pPr>
              <w:spacing w:after="20" w:before="20"/>
              <w:jc w:val="right"/>
            </w:pPr>
            <w:r>
              <w:rPr>
                <w:rFonts w:ascii="Arial" w:cs="Arial" w:eastAsia="Arial" w:hAnsi="Arial"/>
                <w:color w:val="5A6A8A"/>
                <w:sz w:val="20"/>
                <w:szCs w:val="20"/>
              </w:rPr>
              <w:t xml:space="preserve">26</w:t>
            </w:r>
          </w:p>
        </w:tc>
      </w:tr>
    </w:tbl>
    <w:p>
      <w:r>
        <w:br w:type="page"/>
      </w:r>
    </w:p>
    <w:p>
      <w:pPr>
        <w:pStyle w:val="Heading1"/>
        <w:pBdr>
          <w:bottom w:val="single" w:color="07B4D9" w:sz="8" w:space="4"/>
        </w:pBdr>
        <w:spacing w:after="120" w:before="400"/>
      </w:pPr>
      <w:bookmarkStart w:name="s1" w:id="1"/>
      <w:r>
        <w:rPr>
          <w:rFonts w:ascii="Arial" w:cs="Arial" w:eastAsia="Arial" w:hAnsi="Arial"/>
          <w:b/>
          <w:bCs/>
          <w:color w:val="152168"/>
          <w:sz w:val="30"/>
          <w:szCs w:val="30"/>
        </w:rPr>
        <w:t xml:space="preserve">1. Purpose</w:t>
      </w:r>
      <w:bookmarkEnd w:id="2"/>
    </w:p>
    <w:p>
      <w:pPr>
        <w:spacing w:after="80" w:before="60"/>
        <w:jc w:val="both"/>
      </w:pPr>
      <w:r>
        <w:rPr>
          <w:rFonts w:ascii="Arial" w:cs="Arial" w:eastAsia="Arial" w:hAnsi="Arial"/>
          <w:color w:val="1A2340"/>
          <w:sz w:val="22"/>
          <w:szCs w:val="22"/>
        </w:rPr>
        <w:t xml:space="preserve">This Acceptable Use Policy (AUP) establishes the rules and standards governing the use of [ORGANIZATION NAME]'s information systems, technology resources, networks, devices, and data by all authorized users. The purpose of this policy is to:</w:t>
      </w:r>
    </w:p>
    <w:p>
      <w:pPr>
        <w:pStyle w:val="ListParagraph"/>
        <w:numPr>
          <w:ilvl w:val="0"/>
          <w:numId w:val="2"/>
        </w:numPr>
        <w:spacing w:after="40" w:before="40"/>
      </w:pPr>
      <w:r>
        <w:rPr>
          <w:rFonts w:ascii="Arial" w:cs="Arial" w:eastAsia="Arial" w:hAnsi="Arial"/>
          <w:color w:val="1A2340"/>
          <w:sz w:val="22"/>
          <w:szCs w:val="22"/>
        </w:rPr>
        <w:t xml:space="preserve">Protect the confidentiality, integrity, and availability of [ORGANIZATION NAME]'s information assets and those of its clients.</w:t>
      </w:r>
    </w:p>
    <w:p>
      <w:pPr>
        <w:pStyle w:val="ListParagraph"/>
        <w:numPr>
          <w:ilvl w:val="0"/>
          <w:numId w:val="2"/>
        </w:numPr>
        <w:spacing w:after="40" w:before="40"/>
      </w:pPr>
      <w:r>
        <w:rPr>
          <w:rFonts w:ascii="Arial" w:cs="Arial" w:eastAsia="Arial" w:hAnsi="Arial"/>
          <w:color w:val="1A2340"/>
          <w:sz w:val="22"/>
          <w:szCs w:val="22"/>
        </w:rPr>
        <w:t xml:space="preserve">Ensure technology resources are used primarily for legitimate business purposes.</w:t>
      </w:r>
    </w:p>
    <w:p>
      <w:pPr>
        <w:pStyle w:val="ListParagraph"/>
        <w:numPr>
          <w:ilvl w:val="0"/>
          <w:numId w:val="2"/>
        </w:numPr>
        <w:spacing w:after="40" w:before="40"/>
      </w:pPr>
      <w:r>
        <w:rPr>
          <w:rFonts w:ascii="Arial" w:cs="Arial" w:eastAsia="Arial" w:hAnsi="Arial"/>
          <w:color w:val="1A2340"/>
          <w:sz w:val="22"/>
          <w:szCs w:val="22"/>
        </w:rPr>
        <w:t xml:space="preserve">Minimize the risk of security incidents, data breaches, legal liability, and reputational harm arising from misuse of company systems.</w:t>
      </w:r>
    </w:p>
    <w:p>
      <w:pPr>
        <w:pStyle w:val="ListParagraph"/>
        <w:numPr>
          <w:ilvl w:val="0"/>
          <w:numId w:val="2"/>
        </w:numPr>
        <w:spacing w:after="40" w:before="40"/>
      </w:pPr>
      <w:r>
        <w:rPr>
          <w:rFonts w:ascii="Arial" w:cs="Arial" w:eastAsia="Arial" w:hAnsi="Arial"/>
          <w:color w:val="1A2340"/>
          <w:sz w:val="22"/>
          <w:szCs w:val="22"/>
        </w:rPr>
        <w:t xml:space="preserve">Establish clear expectations, accountabilities, and consequences for all users of company technology.</w:t>
      </w:r>
    </w:p>
    <w:p>
      <w:pPr>
        <w:pStyle w:val="ListParagraph"/>
        <w:numPr>
          <w:ilvl w:val="0"/>
          <w:numId w:val="2"/>
        </w:numPr>
        <w:spacing w:after="40" w:before="40"/>
      </w:pPr>
      <w:r>
        <w:rPr>
          <w:rFonts w:ascii="Arial" w:cs="Arial" w:eastAsia="Arial" w:hAnsi="Arial"/>
          <w:color w:val="1A2340"/>
          <w:sz w:val="22"/>
          <w:szCs w:val="22"/>
        </w:rPr>
        <w:t xml:space="preserve">Demonstrate compliance with applicable regulatory, legal, and contractual obligations.</w:t>
      </w:r>
    </w:p>
    <w:p>
      <w:pPr>
        <w:spacing w:after="80" w:before="0"/>
      </w:pPr>
      <w:r>
        <w:t xml:space="preserve"/>
      </w:r>
    </w:p>
    <w:p>
      <w:pPr>
        <w:spacing w:after="80" w:before="60"/>
        <w:jc w:val="both"/>
      </w:pPr>
      <w:r>
        <w:rPr>
          <w:rFonts w:ascii="Arial" w:cs="Arial" w:eastAsia="Arial" w:hAnsi="Arial"/>
          <w:color w:val="1A2340"/>
          <w:sz w:val="22"/>
          <w:szCs w:val="22"/>
        </w:rPr>
        <w:t xml:space="preserve">This policy applies alongside and in support of all other information security policies. Where a more specific policy exists (e.g., the AI Governance Policy, Data Classification Policy, or Incident Response Policy), that policy governs its subject matter; this AUP provides the overarching acceptable use framework.</w:t>
      </w:r>
    </w:p>
    <w:p>
      <w:pPr>
        <w:pStyle w:val="Heading1"/>
        <w:pBdr>
          <w:bottom w:val="single" w:color="07B4D9" w:sz="8" w:space="4"/>
        </w:pBdr>
        <w:spacing w:after="120" w:before="400"/>
      </w:pPr>
      <w:bookmarkStart w:name="s2" w:id="3"/>
      <w:r>
        <w:rPr>
          <w:rFonts w:ascii="Arial" w:cs="Arial" w:eastAsia="Arial" w:hAnsi="Arial"/>
          <w:b/>
          <w:bCs/>
          <w:color w:val="152168"/>
          <w:sz w:val="30"/>
          <w:szCs w:val="30"/>
        </w:rPr>
        <w:t xml:space="preserve">2. Scope</w:t>
      </w:r>
      <w:bookmarkEnd w:id="4"/>
    </w:p>
    <w:p>
      <w:pPr>
        <w:spacing w:after="80" w:before="60"/>
        <w:jc w:val="both"/>
      </w:pPr>
      <w:r>
        <w:rPr>
          <w:rFonts w:ascii="Arial" w:cs="Arial" w:eastAsia="Arial" w:hAnsi="Arial"/>
          <w:color w:val="1A2340"/>
          <w:sz w:val="22"/>
          <w:szCs w:val="22"/>
        </w:rPr>
        <w:t xml:space="preserve">This policy applies to:</w:t>
      </w:r>
    </w:p>
    <w:p>
      <w:pPr>
        <w:pStyle w:val="ListParagraph"/>
        <w:numPr>
          <w:ilvl w:val="0"/>
          <w:numId w:val="2"/>
        </w:numPr>
        <w:spacing w:after="40" w:before="40"/>
      </w:pPr>
      <w:r>
        <w:rPr>
          <w:rFonts w:ascii="Arial" w:cs="Arial" w:eastAsia="Arial" w:hAnsi="Arial"/>
          <w:color w:val="1A2340"/>
          <w:sz w:val="22"/>
          <w:szCs w:val="22"/>
        </w:rPr>
        <w:t xml:space="preserve">All full-time and part-time employees of [ORGANIZATION NAME].</w:t>
      </w:r>
    </w:p>
    <w:p>
      <w:pPr>
        <w:pStyle w:val="ListParagraph"/>
        <w:numPr>
          <w:ilvl w:val="0"/>
          <w:numId w:val="2"/>
        </w:numPr>
        <w:spacing w:after="40" w:before="40"/>
      </w:pPr>
      <w:r>
        <w:rPr>
          <w:rFonts w:ascii="Arial" w:cs="Arial" w:eastAsia="Arial" w:hAnsi="Arial"/>
          <w:color w:val="1A2340"/>
          <w:sz w:val="22"/>
          <w:szCs w:val="22"/>
        </w:rPr>
        <w:t xml:space="preserve">Contractors, consultants, temporary workers, and third-party service providers with access to company systems.</w:t>
      </w:r>
    </w:p>
    <w:p>
      <w:pPr>
        <w:pStyle w:val="ListParagraph"/>
        <w:numPr>
          <w:ilvl w:val="0"/>
          <w:numId w:val="2"/>
        </w:numPr>
        <w:spacing w:after="40" w:before="40"/>
      </w:pPr>
      <w:r>
        <w:rPr>
          <w:rFonts w:ascii="Arial" w:cs="Arial" w:eastAsia="Arial" w:hAnsi="Arial"/>
          <w:color w:val="1A2340"/>
          <w:sz w:val="22"/>
          <w:szCs w:val="22"/>
        </w:rPr>
        <w:t xml:space="preserve">Board members, advisors, and volunteers with access to company technology resources.</w:t>
      </w:r>
    </w:p>
    <w:p>
      <w:pPr>
        <w:pStyle w:val="ListParagraph"/>
        <w:numPr>
          <w:ilvl w:val="0"/>
          <w:numId w:val="2"/>
        </w:numPr>
        <w:spacing w:after="40" w:before="40"/>
      </w:pPr>
      <w:r>
        <w:rPr>
          <w:rFonts w:ascii="Arial" w:cs="Arial" w:eastAsia="Arial" w:hAnsi="Arial"/>
          <w:color w:val="1A2340"/>
          <w:sz w:val="22"/>
          <w:szCs w:val="22"/>
        </w:rPr>
        <w:t xml:space="preserve">Any individual who accesses [ORGANIZATION NAME]'s networks, systems, or data — regardless of device ownership or physical location.</w:t>
      </w:r>
    </w:p>
    <w:p>
      <w:pPr>
        <w:spacing w:after="80" w:before="0"/>
      </w:pPr>
      <w:r>
        <w:t xml:space="preserve"/>
      </w:r>
    </w:p>
    <w:p>
      <w:pPr>
        <w:spacing w:after="80" w:before="60"/>
        <w:jc w:val="both"/>
      </w:pPr>
      <w:r>
        <w:rPr>
          <w:rFonts w:ascii="Arial" w:cs="Arial" w:eastAsia="Arial" w:hAnsi="Arial"/>
          <w:color w:val="1A2340"/>
          <w:sz w:val="22"/>
          <w:szCs w:val="22"/>
        </w:rPr>
        <w:t xml:space="preserve">This policy covers:</w:t>
      </w:r>
    </w:p>
    <w:p>
      <w:pPr>
        <w:pStyle w:val="ListParagraph"/>
        <w:numPr>
          <w:ilvl w:val="0"/>
          <w:numId w:val="2"/>
        </w:numPr>
        <w:spacing w:after="40" w:before="40"/>
      </w:pPr>
      <w:r>
        <w:rPr>
          <w:rFonts w:ascii="Arial" w:cs="Arial" w:eastAsia="Arial" w:hAnsi="Arial"/>
          <w:color w:val="1A2340"/>
          <w:sz w:val="22"/>
          <w:szCs w:val="22"/>
        </w:rPr>
        <w:t xml:space="preserve">All company-owned or managed hardware (desktops, laptops, mobile devices, servers, networking equipment).</w:t>
      </w:r>
    </w:p>
    <w:p>
      <w:pPr>
        <w:pStyle w:val="ListParagraph"/>
        <w:numPr>
          <w:ilvl w:val="0"/>
          <w:numId w:val="2"/>
        </w:numPr>
        <w:spacing w:after="40" w:before="40"/>
      </w:pPr>
      <w:r>
        <w:rPr>
          <w:rFonts w:ascii="Arial" w:cs="Arial" w:eastAsia="Arial" w:hAnsi="Arial"/>
          <w:color w:val="1A2340"/>
          <w:sz w:val="22"/>
          <w:szCs w:val="22"/>
        </w:rPr>
        <w:t xml:space="preserve">Personally owned devices used to access company systems (BYOD) as governed by Section 6.5.</w:t>
      </w:r>
    </w:p>
    <w:p>
      <w:pPr>
        <w:pStyle w:val="ListParagraph"/>
        <w:numPr>
          <w:ilvl w:val="0"/>
          <w:numId w:val="2"/>
        </w:numPr>
        <w:spacing w:after="40" w:before="40"/>
      </w:pPr>
      <w:r>
        <w:rPr>
          <w:rFonts w:ascii="Arial" w:cs="Arial" w:eastAsia="Arial" w:hAnsi="Arial"/>
          <w:color w:val="1A2340"/>
          <w:sz w:val="22"/>
          <w:szCs w:val="22"/>
        </w:rPr>
        <w:t xml:space="preserve">All company networks (wired, wireless, VPN) including those accessed remotely.</w:t>
      </w:r>
    </w:p>
    <w:p>
      <w:pPr>
        <w:pStyle w:val="ListParagraph"/>
        <w:numPr>
          <w:ilvl w:val="0"/>
          <w:numId w:val="2"/>
        </w:numPr>
        <w:spacing w:after="40" w:before="40"/>
      </w:pPr>
      <w:r>
        <w:rPr>
          <w:rFonts w:ascii="Arial" w:cs="Arial" w:eastAsia="Arial" w:hAnsi="Arial"/>
          <w:color w:val="1A2340"/>
          <w:sz w:val="22"/>
          <w:szCs w:val="22"/>
        </w:rPr>
        <w:t xml:space="preserve">All software, applications, and cloud services — whether company-licensed, approved third-party, or accessed via a personal account for business purposes.</w:t>
      </w:r>
    </w:p>
    <w:p>
      <w:pPr>
        <w:pStyle w:val="ListParagraph"/>
        <w:numPr>
          <w:ilvl w:val="0"/>
          <w:numId w:val="2"/>
        </w:numPr>
        <w:spacing w:after="40" w:before="40"/>
      </w:pPr>
      <w:r>
        <w:rPr>
          <w:rFonts w:ascii="Arial" w:cs="Arial" w:eastAsia="Arial" w:hAnsi="Arial"/>
          <w:color w:val="1A2340"/>
          <w:sz w:val="22"/>
          <w:szCs w:val="22"/>
        </w:rPr>
        <w:t xml:space="preserve">All company data at rest, in transit, and in use — regardless of storage location.</w:t>
      </w:r>
    </w:p>
    <w:p>
      <w:pPr>
        <w:pStyle w:val="ListParagraph"/>
        <w:numPr>
          <w:ilvl w:val="0"/>
          <w:numId w:val="2"/>
        </w:numPr>
        <w:spacing w:after="40" w:before="40"/>
      </w:pPr>
      <w:r>
        <w:rPr>
          <w:rFonts w:ascii="Arial" w:cs="Arial" w:eastAsia="Arial" w:hAnsi="Arial"/>
          <w:color w:val="1A2340"/>
          <w:sz w:val="22"/>
          <w:szCs w:val="22"/>
        </w:rPr>
        <w:t xml:space="preserve">All electronic communications sent or received using company systems or accounts.</w:t>
      </w:r>
    </w:p>
    <w:p>
      <w:pPr>
        <w:spacing w:after="80" w:before="0"/>
      </w:pPr>
      <w:r>
        <w:t xml:space="preserve"/>
      </w:r>
    </w:p>
    <w:p>
      <w:pPr>
        <w:spacing w:after="80" w:before="60"/>
        <w:jc w:val="both"/>
      </w:pPr>
      <w:r>
        <w:rPr>
          <w:rFonts w:ascii="Arial" w:cs="Arial" w:eastAsia="Arial" w:hAnsi="Arial"/>
          <w:color w:val="1A2340"/>
          <w:sz w:val="22"/>
          <w:szCs w:val="22"/>
        </w:rPr>
        <w:t xml:space="preserve">Geographic scope: This policy applies globally to all locations where [ORGANIZATION NAME] operates and to all remote/home working environments where company systems are accessed.</w:t>
      </w:r>
    </w:p>
    <w:p>
      <w:pPr>
        <w:pStyle w:val="Heading1"/>
        <w:pBdr>
          <w:bottom w:val="single" w:color="07B4D9" w:sz="8" w:space="4"/>
        </w:pBdr>
        <w:spacing w:after="120" w:before="400"/>
      </w:pPr>
      <w:bookmarkStart w:name="s3" w:id="5"/>
      <w:r>
        <w:rPr>
          <w:rFonts w:ascii="Arial" w:cs="Arial" w:eastAsia="Arial" w:hAnsi="Arial"/>
          <w:b/>
          <w:bCs/>
          <w:color w:val="152168"/>
          <w:sz w:val="30"/>
          <w:szCs w:val="30"/>
        </w:rPr>
        <w:t xml:space="preserve">3. Policy Statement</w:t>
      </w:r>
      <w:bookmarkEnd w:id="6"/>
    </w:p>
    <w:p>
      <w:pPr>
        <w:spacing w:after="80" w:before="60"/>
        <w:jc w:val="both"/>
      </w:pPr>
      <w:r>
        <w:rPr>
          <w:rFonts w:ascii="Arial" w:cs="Arial" w:eastAsia="Arial" w:hAnsi="Arial"/>
          <w:color w:val="1A2340"/>
          <w:sz w:val="22"/>
          <w:szCs w:val="22"/>
        </w:rPr>
        <w:t xml:space="preserve">[ORGANIZATION NAME] provides technology resources to enable employees and authorized users to perform their work effectively and professionally. All users are granted access to these resources as a business tool, not as a personal entitlement.</w:t>
      </w:r>
    </w:p>
    <w:p>
      <w:pPr>
        <w:spacing w:after="40" w:before="0"/>
      </w:pPr>
      <w:r>
        <w:t xml:space="preserve"/>
      </w:r>
    </w:p>
    <w:p>
      <w:pPr>
        <w:spacing w:after="80" w:before="60"/>
        <w:jc w:val="both"/>
      </w:pPr>
      <w:r>
        <w:rPr>
          <w:rFonts w:ascii="Arial" w:cs="Arial" w:eastAsia="Arial" w:hAnsi="Arial"/>
          <w:color w:val="1A2340"/>
          <w:sz w:val="22"/>
          <w:szCs w:val="22"/>
        </w:rPr>
        <w:t xml:space="preserve">The following principles govern the use of all company systems and data:</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Principle</w:t>
            </w:r>
          </w:p>
        </w:tc>
        <w:tc>
          <w:tcPr>
            <w:tcW w:type="dxa" w:w="79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Statement</w:t>
            </w:r>
          </w:p>
        </w:tc>
      </w:tr>
      <w:tr>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Business Purpose First</w:t>
            </w:r>
          </w:p>
        </w:tc>
        <w:tc>
          <w:tcPr>
            <w:tcW w:type="dxa" w:w="7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Company systems are provided primarily for business use. Limited personal use is tolerated where it does not interfere with productivity, consume excessive resources, or create security risk. See Appendix B for personal use guidance.</w:t>
            </w:r>
          </w:p>
        </w:tc>
      </w:tr>
      <w:tr>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Least Privilege</w:t>
            </w:r>
          </w:p>
        </w:tc>
        <w:tc>
          <w:tcPr>
            <w:tcW w:type="dxa" w:w="7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Access to systems and data shall be granted on a need-to-know, least-privilege basis. Users shall not attempt to access systems, data, or functions beyond those required for their role.</w:t>
            </w:r>
          </w:p>
        </w:tc>
      </w:tr>
      <w:tr>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No Expectation of Privacy</w:t>
            </w:r>
          </w:p>
        </w:tc>
        <w:tc>
          <w:tcPr>
            <w:tcW w:type="dxa" w:w="7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Users have no expectation of privacy when using company systems, networks, or devices. All activity may be logged, monitored, and audited in accordance with Section 6.13.</w:t>
            </w:r>
          </w:p>
        </w:tc>
      </w:tr>
      <w:tr>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Security is Everyone's Responsibility</w:t>
            </w:r>
          </w:p>
        </w:tc>
        <w:tc>
          <w:tcPr>
            <w:tcW w:type="dxa" w:w="7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All users share responsibility for the security of company systems. Users must report suspected security incidents, policy violations, and suspicious activity promptly.</w:t>
            </w:r>
          </w:p>
        </w:tc>
      </w:tr>
      <w:tr>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Compliance with Law</w:t>
            </w:r>
          </w:p>
        </w:tc>
        <w:tc>
          <w:tcPr>
            <w:tcW w:type="dxa" w:w="7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No use of company systems for any purpose that is illegal under applicable local, national, or international law. This includes copyright infringement, fraud, harassment, and unauthorized access.</w:t>
            </w:r>
          </w:p>
        </w:tc>
      </w:tr>
      <w:tr>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Protection of Confidential Information</w:t>
            </w:r>
          </w:p>
        </w:tc>
        <w:tc>
          <w:tcPr>
            <w:tcW w:type="dxa" w:w="7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Users must protect the confidentiality of company and client information and may not disclose such information to unauthorized parties.</w:t>
            </w:r>
          </w:p>
        </w:tc>
      </w:tr>
      <w:tr>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Integrity of Systems</w:t>
            </w:r>
          </w:p>
        </w:tc>
        <w:tc>
          <w:tcPr>
            <w:tcW w:type="dxa" w:w="7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Users must not take actions that could damage, degrade, or compromise the security of company systems, including installing unauthorized software, circumventing security controls, or introducing malware.</w:t>
            </w:r>
          </w:p>
        </w:tc>
      </w:tr>
    </w:tbl>
    <w:p>
      <w:r>
        <w:br w:type="page"/>
      </w:r>
    </w:p>
    <w:p>
      <w:pPr>
        <w:pStyle w:val="Heading1"/>
        <w:pBdr>
          <w:bottom w:val="single" w:color="07B4D9" w:sz="8" w:space="4"/>
        </w:pBdr>
        <w:spacing w:after="120" w:before="400"/>
      </w:pPr>
      <w:bookmarkStart w:name="s4" w:id="7"/>
      <w:r>
        <w:rPr>
          <w:rFonts w:ascii="Arial" w:cs="Arial" w:eastAsia="Arial" w:hAnsi="Arial"/>
          <w:b/>
          <w:bCs/>
          <w:color w:val="152168"/>
          <w:sz w:val="30"/>
          <w:szCs w:val="30"/>
        </w:rPr>
        <w:t xml:space="preserve">4. Definitions</w:t>
      </w:r>
      <w:bookmarkEnd w:id="8"/>
    </w:p>
    <w:p>
      <w:pPr>
        <w:spacing w:after="80" w:before="60"/>
        <w:jc w:val="both"/>
      </w:pPr>
      <w:r>
        <w:rPr>
          <w:rFonts w:ascii="Arial" w:cs="Arial" w:eastAsia="Arial" w:hAnsi="Arial"/>
          <w:color w:val="1A2340"/>
          <w:sz w:val="22"/>
          <w:szCs w:val="22"/>
        </w:rPr>
        <w:t xml:space="preserve">The following terms are used throughout this policy: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Term</w:t>
            </w:r>
          </w:p>
        </w:tc>
        <w:tc>
          <w:tcPr>
            <w:tcW w:type="dxa" w:w="7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Definition</w:t>
            </w:r>
          </w:p>
        </w:tc>
      </w:tr>
      <w:tr>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Acceptable Use</w:t>
            </w:r>
          </w:p>
        </w:tc>
        <w:tc>
          <w:tcPr>
            <w:tcW w:type="dxa" w:w="7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The use of [ORGANIZATION NAME] technology resources in a manner consistent with business objectives, this policy, and all applicable laws and regulations.</w:t>
            </w:r>
          </w:p>
        </w:tc>
      </w:tr>
      <w:tr>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Authorized User</w:t>
            </w:r>
          </w:p>
        </w:tc>
        <w:tc>
          <w:tcPr>
            <w:tcW w:type="dxa" w:w="7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Any individual who has been granted explicit permission by [ORGANIZATION NAME] to access company systems, networks, or data, subject to the terms of this policy.</w:t>
            </w:r>
          </w:p>
        </w:tc>
      </w:tr>
      <w:tr>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BYOD (Bring Your Own Device)</w:t>
            </w:r>
          </w:p>
        </w:tc>
        <w:tc>
          <w:tcPr>
            <w:tcW w:type="dxa" w:w="7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 personally owned computing device (laptop, smartphone, tablet, etc.) used by an authorized user to access [ORGANIZATION NAME] systems, applications, or data under the terms of Section 6.5.</w:t>
            </w:r>
          </w:p>
        </w:tc>
      </w:tr>
      <w:tr>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Company Systems</w:t>
            </w:r>
          </w:p>
        </w:tc>
        <w:tc>
          <w:tcPr>
            <w:tcW w:type="dxa" w:w="7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All information technology resources owned, leased, managed, or operated by [ORGANIZATION NAME], including but not limited to hardware, software, networks, cloud services, data repositories, and communication platforms.</w:t>
            </w:r>
          </w:p>
        </w:tc>
      </w:tr>
      <w:tr>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Data Classification</w:t>
            </w:r>
          </w:p>
        </w:tc>
        <w:tc>
          <w:tcPr>
            <w:tcW w:type="dxa" w:w="7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The process of categorizing data based on its sensitivity level to determine the appropriate handling, access, and protection controls. [ORGANIZATION NAME] uses four tiers: Public, Internal, Confidential, and Restricted (see Section 6.6).</w:t>
            </w:r>
          </w:p>
        </w:tc>
      </w:tr>
      <w:tr>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Electronic Communications</w:t>
            </w:r>
          </w:p>
        </w:tc>
        <w:tc>
          <w:tcPr>
            <w:tcW w:type="dxa" w:w="7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All digital messages sent or received using company systems or accounts, including email, instant messaging, collaboration platform messages, video/voice calls, SMS, and file transfers.</w:t>
            </w:r>
          </w:p>
        </w:tc>
      </w:tr>
      <w:tr>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Incident</w:t>
            </w:r>
          </w:p>
        </w:tc>
        <w:tc>
          <w:tcPr>
            <w:tcW w:type="dxa" w:w="7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Any event or condition that violates this policy or any other security policy, or that poses a risk to the confidentiality, integrity, or availability of company systems or data. Also referred to as a Security Incident.</w:t>
            </w:r>
          </w:p>
        </w:tc>
      </w:tr>
      <w:tr>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Intellectual Property</w:t>
            </w:r>
          </w:p>
        </w:tc>
        <w:tc>
          <w:tcPr>
            <w:tcW w:type="dxa" w:w="7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Creative work or inventions developed by employees in the course of their employment, including source code, reports, methodologies, processes, designs, and content, which are the property of [ORGANIZATION NAME] unless otherwise agreed in writing.</w:t>
            </w:r>
          </w:p>
        </w:tc>
      </w:tr>
      <w:tr>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Mobile Device Management (MDM)</w:t>
            </w:r>
          </w:p>
        </w:tc>
        <w:tc>
          <w:tcPr>
            <w:tcW w:type="dxa" w:w="7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Software used by [ORGANIZATION NAME] to enforce security policies on company-owned and BYOD mobile devices, including remote wipe, encryption enforcement, and app management.</w:t>
            </w:r>
          </w:p>
        </w:tc>
      </w:tr>
      <w:tr>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Monitoring</w:t>
            </w:r>
          </w:p>
        </w:tc>
        <w:tc>
          <w:tcPr>
            <w:tcW w:type="dxa" w:w="7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The systematic observation, logging, and review of user activity on company systems for security, compliance, and performance purposes, as disclosed in Section 6.13.</w:t>
            </w:r>
          </w:p>
        </w:tc>
      </w:tr>
      <w:tr>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Personal Use</w:t>
            </w:r>
          </w:p>
        </w:tc>
        <w:tc>
          <w:tcPr>
            <w:tcW w:type="dxa" w:w="7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Use of company systems for non-business purposes. Limited personal use is tolerated within the parameters defined in Appendix B.</w:t>
            </w:r>
          </w:p>
        </w:tc>
      </w:tr>
      <w:tr>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Prohibited Use</w:t>
            </w:r>
          </w:p>
        </w:tc>
        <w:tc>
          <w:tcPr>
            <w:tcW w:type="dxa" w:w="7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Any use of company systems that violates this policy, applicable law, or acceptable professional standards. A detailed list of prohibited activities is provided in Appendix A.</w:t>
            </w:r>
          </w:p>
        </w:tc>
      </w:tr>
      <w:tr>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Remote Access</w:t>
            </w:r>
          </w:p>
        </w:tc>
        <w:tc>
          <w:tcPr>
            <w:tcW w:type="dxa" w:w="7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Any method by which an authorized user connects to company systems from a location other than a company-managed office network, including VPN, Remote Desktop, or cloud-based application access.</w:t>
            </w:r>
          </w:p>
        </w:tc>
      </w:tr>
      <w:tr>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Shadow IT</w:t>
            </w:r>
          </w:p>
        </w:tc>
        <w:tc>
          <w:tcPr>
            <w:tcW w:type="dxa" w:w="7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Hardware, software, cloud services, or applications used within [ORGANIZATION NAME] without the knowledge, approval, or oversight of the IT / Security function. Shadow IT is prohibited under Section 6.9.</w:t>
            </w:r>
          </w:p>
        </w:tc>
      </w:tr>
      <w:tr>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Social Media</w:t>
            </w:r>
          </w:p>
        </w:tc>
        <w:tc>
          <w:tcPr>
            <w:tcW w:type="dxa" w:w="7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Public-facing digital platforms used to share content and engage with audiences, including but not limited to LinkedIn, X (Twitter), Facebook, Instagram, YouTube, and industry forums. Governed by Section 6.7.</w:t>
            </w:r>
          </w:p>
        </w:tc>
      </w:tr>
      <w:tr>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Authorized Software</w:t>
            </w:r>
          </w:p>
        </w:tc>
        <w:tc>
          <w:tcPr>
            <w:tcW w:type="dxa" w:w="7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Software explicitly approved for installation and use on company systems by the IT / Security function, as maintained in the Approved Software Register. See Section 6.9.</w:t>
            </w:r>
          </w:p>
        </w:tc>
      </w:tr>
    </w:tbl>
    <w:p>
      <w:r>
        <w:br w:type="page"/>
      </w:r>
    </w:p>
    <w:p>
      <w:pPr>
        <w:pStyle w:val="Heading1"/>
        <w:pBdr>
          <w:bottom w:val="single" w:color="07B4D9" w:sz="8" w:space="4"/>
        </w:pBdr>
        <w:spacing w:after="120" w:before="400"/>
      </w:pPr>
      <w:bookmarkStart w:name="s5" w:id="9"/>
      <w:r>
        <w:rPr>
          <w:rFonts w:ascii="Arial" w:cs="Arial" w:eastAsia="Arial" w:hAnsi="Arial"/>
          <w:b/>
          <w:bCs/>
          <w:color w:val="152168"/>
          <w:sz w:val="30"/>
          <w:szCs w:val="30"/>
        </w:rPr>
        <w:t xml:space="preserve">5. Roles and Responsibilities</w:t>
      </w:r>
      <w:bookmarkEnd w:id="10"/>
    </w:p>
    <w:p>
      <w:pPr>
        <w:spacing w:after="80" w:before="60"/>
        <w:jc w:val="both"/>
      </w:pPr>
      <w:r>
        <w:rPr>
          <w:rFonts w:ascii="Arial" w:cs="Arial" w:eastAsia="Arial" w:hAnsi="Arial"/>
          <w:color w:val="1A2340"/>
          <w:sz w:val="22"/>
          <w:szCs w:val="22"/>
        </w:rPr>
        <w:t xml:space="preserve">Effective implementation of this policy requires clearly defined roles and accountabilities at every level of the organization.</w:t>
      </w:r>
    </w:p>
    <w:p>
      <w:pPr>
        <w:pStyle w:val="Heading2"/>
        <w:spacing w:after="80" w:before="280"/>
      </w:pPr>
      <w:bookmarkStart w:name="s51" w:id="11"/>
      <w:r>
        <w:rPr>
          <w:rFonts w:ascii="Arial" w:cs="Arial" w:eastAsia="Arial" w:hAnsi="Arial"/>
          <w:b/>
          <w:bCs/>
          <w:color w:val="152168"/>
          <w:sz w:val="26"/>
          <w:szCs w:val="26"/>
        </w:rPr>
        <w:t xml:space="preserve">5.1  Executive Leadership / Policy Owner</w:t>
      </w:r>
      <w:bookmarkEnd w:id="12"/>
    </w:p>
    <w:p>
      <w:pPr>
        <w:pStyle w:val="ListParagraph"/>
        <w:numPr>
          <w:ilvl w:val="0"/>
          <w:numId w:val="2"/>
        </w:numPr>
        <w:spacing w:after="40" w:before="40"/>
      </w:pPr>
      <w:r>
        <w:rPr>
          <w:rFonts w:ascii="Arial" w:cs="Arial" w:eastAsia="Arial" w:hAnsi="Arial"/>
          <w:color w:val="1A2340"/>
          <w:sz w:val="22"/>
          <w:szCs w:val="22"/>
        </w:rPr>
        <w:t xml:space="preserve">Approve this policy and any material amendments.</w:t>
      </w:r>
    </w:p>
    <w:p>
      <w:pPr>
        <w:pStyle w:val="ListParagraph"/>
        <w:numPr>
          <w:ilvl w:val="0"/>
          <w:numId w:val="2"/>
        </w:numPr>
        <w:spacing w:after="40" w:before="40"/>
      </w:pPr>
      <w:r>
        <w:rPr>
          <w:rFonts w:ascii="Arial" w:cs="Arial" w:eastAsia="Arial" w:hAnsi="Arial"/>
          <w:color w:val="1A2340"/>
          <w:sz w:val="22"/>
          <w:szCs w:val="22"/>
        </w:rPr>
        <w:t xml:space="preserve">Champion a culture of security awareness and ethical technology use at all levels of the organization.</w:t>
      </w:r>
    </w:p>
    <w:p>
      <w:pPr>
        <w:pStyle w:val="ListParagraph"/>
        <w:numPr>
          <w:ilvl w:val="0"/>
          <w:numId w:val="2"/>
        </w:numPr>
        <w:spacing w:after="40" w:before="40"/>
      </w:pPr>
      <w:r>
        <w:rPr>
          <w:rFonts w:ascii="Arial" w:cs="Arial" w:eastAsia="Arial" w:hAnsi="Arial"/>
          <w:color w:val="1A2340"/>
          <w:sz w:val="22"/>
          <w:szCs w:val="22"/>
        </w:rPr>
        <w:t xml:space="preserve">Ensure adequate resources (budget, personnel, tooling) are allocated to enforce this policy.</w:t>
      </w:r>
    </w:p>
    <w:p>
      <w:pPr>
        <w:pStyle w:val="ListParagraph"/>
        <w:numPr>
          <w:ilvl w:val="0"/>
          <w:numId w:val="2"/>
        </w:numPr>
        <w:spacing w:after="40" w:before="40"/>
      </w:pPr>
      <w:r>
        <w:rPr>
          <w:rFonts w:ascii="Arial" w:cs="Arial" w:eastAsia="Arial" w:hAnsi="Arial"/>
          <w:color w:val="1A2340"/>
          <w:sz w:val="22"/>
          <w:szCs w:val="22"/>
        </w:rPr>
        <w:t xml:space="preserve">Receive and review reports on policy violations, enforcement actions, and material security incidents.</w:t>
      </w:r>
    </w:p>
    <w:p>
      <w:pPr>
        <w:pStyle w:val="ListParagraph"/>
        <w:numPr>
          <w:ilvl w:val="0"/>
          <w:numId w:val="2"/>
        </w:numPr>
        <w:spacing w:after="40" w:before="40"/>
      </w:pPr>
      <w:r>
        <w:rPr>
          <w:rFonts w:ascii="Arial" w:cs="Arial" w:eastAsia="Arial" w:hAnsi="Arial"/>
          <w:color w:val="1A2340"/>
          <w:sz w:val="22"/>
          <w:szCs w:val="22"/>
        </w:rPr>
        <w:t xml:space="preserve">Oversee the annual review cycle and approve exception requests that exceed defined authority levels.</w:t>
      </w:r>
    </w:p>
    <w:p>
      <w:pPr>
        <w:pStyle w:val="Heading2"/>
        <w:spacing w:after="80" w:before="280"/>
      </w:pPr>
      <w:bookmarkStart w:name="s52" w:id="13"/>
      <w:r>
        <w:rPr>
          <w:rFonts w:ascii="Arial" w:cs="Arial" w:eastAsia="Arial" w:hAnsi="Arial"/>
          <w:b/>
          <w:bCs/>
          <w:color w:val="152168"/>
          <w:sz w:val="26"/>
          <w:szCs w:val="26"/>
        </w:rPr>
        <w:t xml:space="preserve">5.2  IT / Security (CISO / vCISO)</w:t>
      </w:r>
      <w:bookmarkEnd w:id="14"/>
    </w:p>
    <w:p>
      <w:pPr>
        <w:pStyle w:val="ListParagraph"/>
        <w:numPr>
          <w:ilvl w:val="0"/>
          <w:numId w:val="2"/>
        </w:numPr>
        <w:spacing w:after="40" w:before="40"/>
      </w:pPr>
      <w:r>
        <w:rPr>
          <w:rFonts w:ascii="Arial" w:cs="Arial" w:eastAsia="Arial" w:hAnsi="Arial"/>
          <w:color w:val="1A2340"/>
          <w:sz w:val="22"/>
          <w:szCs w:val="22"/>
        </w:rPr>
        <w:t xml:space="preserve">Own, maintain, and enforce this policy on a day-to-day basis.</w:t>
      </w:r>
    </w:p>
    <w:p>
      <w:pPr>
        <w:pStyle w:val="ListParagraph"/>
        <w:numPr>
          <w:ilvl w:val="0"/>
          <w:numId w:val="2"/>
        </w:numPr>
        <w:spacing w:after="40" w:before="40"/>
      </w:pPr>
      <w:r>
        <w:rPr>
          <w:rFonts w:ascii="Arial" w:cs="Arial" w:eastAsia="Arial" w:hAnsi="Arial"/>
          <w:color w:val="1A2340"/>
          <w:sz w:val="22"/>
          <w:szCs w:val="22"/>
        </w:rPr>
        <w:t xml:space="preserve">Manage the Approved Software Register, Approved Cloud Services list, and MDM enrollment process.</w:t>
      </w:r>
    </w:p>
    <w:p>
      <w:pPr>
        <w:pStyle w:val="ListParagraph"/>
        <w:numPr>
          <w:ilvl w:val="0"/>
          <w:numId w:val="2"/>
        </w:numPr>
        <w:spacing w:after="40" w:before="40"/>
      </w:pPr>
      <w:r>
        <w:rPr>
          <w:rFonts w:ascii="Arial" w:cs="Arial" w:eastAsia="Arial" w:hAnsi="Arial"/>
          <w:color w:val="1A2340"/>
          <w:sz w:val="22"/>
          <w:szCs w:val="22"/>
        </w:rPr>
        <w:t xml:space="preserve">Implement and maintain technical controls that enforce policy requirements (e.g., web filtering, email security, endpoint protection, DLP, monitoring).</w:t>
      </w:r>
    </w:p>
    <w:p>
      <w:pPr>
        <w:pStyle w:val="ListParagraph"/>
        <w:numPr>
          <w:ilvl w:val="0"/>
          <w:numId w:val="2"/>
        </w:numPr>
        <w:spacing w:after="40" w:before="40"/>
      </w:pPr>
      <w:r>
        <w:rPr>
          <w:rFonts w:ascii="Arial" w:cs="Arial" w:eastAsia="Arial" w:hAnsi="Arial"/>
          <w:color w:val="1A2340"/>
          <w:sz w:val="22"/>
          <w:szCs w:val="22"/>
        </w:rPr>
        <w:t xml:space="preserve">Conduct security awareness training and communicate policy updates to all users.</w:t>
      </w:r>
    </w:p>
    <w:p>
      <w:pPr>
        <w:pStyle w:val="ListParagraph"/>
        <w:numPr>
          <w:ilvl w:val="0"/>
          <w:numId w:val="2"/>
        </w:numPr>
        <w:spacing w:after="40" w:before="40"/>
      </w:pPr>
      <w:r>
        <w:rPr>
          <w:rFonts w:ascii="Arial" w:cs="Arial" w:eastAsia="Arial" w:hAnsi="Arial"/>
          <w:color w:val="1A2340"/>
          <w:sz w:val="22"/>
          <w:szCs w:val="22"/>
        </w:rPr>
        <w:t xml:space="preserve">Investigate policy violations and suspected security incidents; escalate to HR and Legal as appropriate.</w:t>
      </w:r>
    </w:p>
    <w:p>
      <w:pPr>
        <w:pStyle w:val="ListParagraph"/>
        <w:numPr>
          <w:ilvl w:val="0"/>
          <w:numId w:val="2"/>
        </w:numPr>
        <w:spacing w:after="40" w:before="40"/>
      </w:pPr>
      <w:r>
        <w:rPr>
          <w:rFonts w:ascii="Arial" w:cs="Arial" w:eastAsia="Arial" w:hAnsi="Arial"/>
          <w:color w:val="1A2340"/>
          <w:sz w:val="22"/>
          <w:szCs w:val="22"/>
        </w:rPr>
        <w:t xml:space="preserve">Review and act on exception requests in accordance with Section 8.</w:t>
      </w:r>
    </w:p>
    <w:p>
      <w:pPr>
        <w:pStyle w:val="ListParagraph"/>
        <w:numPr>
          <w:ilvl w:val="0"/>
          <w:numId w:val="2"/>
        </w:numPr>
        <w:spacing w:after="40" w:before="40"/>
      </w:pPr>
      <w:r>
        <w:rPr>
          <w:rFonts w:ascii="Arial" w:cs="Arial" w:eastAsia="Arial" w:hAnsi="Arial"/>
          <w:color w:val="1A2340"/>
          <w:sz w:val="22"/>
          <w:szCs w:val="22"/>
        </w:rPr>
        <w:t xml:space="preserve">Perform or commission an annual policy review and update.</w:t>
      </w:r>
    </w:p>
    <w:p>
      <w:pPr>
        <w:pStyle w:val="Heading2"/>
        <w:spacing w:after="80" w:before="280"/>
      </w:pPr>
      <w:bookmarkStart w:name="s53" w:id="15"/>
      <w:r>
        <w:rPr>
          <w:rFonts w:ascii="Arial" w:cs="Arial" w:eastAsia="Arial" w:hAnsi="Arial"/>
          <w:b/>
          <w:bCs/>
          <w:color w:val="152168"/>
          <w:sz w:val="26"/>
          <w:szCs w:val="26"/>
        </w:rPr>
        <w:t xml:space="preserve">5.3  Managers and Supervisors</w:t>
      </w:r>
      <w:bookmarkEnd w:id="16"/>
    </w:p>
    <w:p>
      <w:pPr>
        <w:pStyle w:val="ListParagraph"/>
        <w:numPr>
          <w:ilvl w:val="0"/>
          <w:numId w:val="2"/>
        </w:numPr>
        <w:spacing w:after="40" w:before="40"/>
      </w:pPr>
      <w:r>
        <w:rPr>
          <w:rFonts w:ascii="Arial" w:cs="Arial" w:eastAsia="Arial" w:hAnsi="Arial"/>
          <w:color w:val="1A2340"/>
          <w:sz w:val="22"/>
          <w:szCs w:val="22"/>
        </w:rPr>
        <w:t xml:space="preserve">Ensure that all direct reports read, understand, and acknowledge this policy at onboarding and upon each revision.</w:t>
      </w:r>
    </w:p>
    <w:p>
      <w:pPr>
        <w:pStyle w:val="ListParagraph"/>
        <w:numPr>
          <w:ilvl w:val="0"/>
          <w:numId w:val="2"/>
        </w:numPr>
        <w:spacing w:after="40" w:before="40"/>
      </w:pPr>
      <w:r>
        <w:rPr>
          <w:rFonts w:ascii="Arial" w:cs="Arial" w:eastAsia="Arial" w:hAnsi="Arial"/>
          <w:color w:val="1A2340"/>
          <w:sz w:val="22"/>
          <w:szCs w:val="22"/>
        </w:rPr>
        <w:t xml:space="preserve">Model compliant technology use behaviour at all times.</w:t>
      </w:r>
    </w:p>
    <w:p>
      <w:pPr>
        <w:pStyle w:val="ListParagraph"/>
        <w:numPr>
          <w:ilvl w:val="0"/>
          <w:numId w:val="2"/>
        </w:numPr>
        <w:spacing w:after="40" w:before="40"/>
      </w:pPr>
      <w:r>
        <w:rPr>
          <w:rFonts w:ascii="Arial" w:cs="Arial" w:eastAsia="Arial" w:hAnsi="Arial"/>
          <w:color w:val="1A2340"/>
          <w:sz w:val="22"/>
          <w:szCs w:val="22"/>
        </w:rPr>
        <w:t xml:space="preserve">Report suspected policy violations by direct reports to IT / Security and HR without undue delay.</w:t>
      </w:r>
    </w:p>
    <w:p>
      <w:pPr>
        <w:pStyle w:val="ListParagraph"/>
        <w:numPr>
          <w:ilvl w:val="0"/>
          <w:numId w:val="2"/>
        </w:numPr>
        <w:spacing w:after="40" w:before="40"/>
      </w:pPr>
      <w:r>
        <w:rPr>
          <w:rFonts w:ascii="Arial" w:cs="Arial" w:eastAsia="Arial" w:hAnsi="Arial"/>
          <w:color w:val="1A2340"/>
          <w:sz w:val="22"/>
          <w:szCs w:val="22"/>
        </w:rPr>
        <w:t xml:space="preserve">Approve or forward exception requests from their team in accordance with Section 8.</w:t>
      </w:r>
    </w:p>
    <w:p>
      <w:pPr>
        <w:pStyle w:val="ListParagraph"/>
        <w:numPr>
          <w:ilvl w:val="0"/>
          <w:numId w:val="2"/>
        </w:numPr>
        <w:spacing w:after="40" w:before="40"/>
      </w:pPr>
      <w:r>
        <w:rPr>
          <w:rFonts w:ascii="Arial" w:cs="Arial" w:eastAsia="Arial" w:hAnsi="Arial"/>
          <w:color w:val="1A2340"/>
          <w:sz w:val="22"/>
          <w:szCs w:val="22"/>
        </w:rPr>
        <w:t xml:space="preserve">Notify IT / Security immediately when an employee's access should be modified or terminated (role change, resignation, termination, leave of absence).</w:t>
      </w:r>
    </w:p>
    <w:p>
      <w:pPr>
        <w:pStyle w:val="Heading2"/>
        <w:spacing w:after="80" w:before="280"/>
      </w:pPr>
      <w:bookmarkStart w:name="s54" w:id="17"/>
      <w:r>
        <w:rPr>
          <w:rFonts w:ascii="Arial" w:cs="Arial" w:eastAsia="Arial" w:hAnsi="Arial"/>
          <w:b/>
          <w:bCs/>
          <w:color w:val="152168"/>
          <w:sz w:val="26"/>
          <w:szCs w:val="26"/>
        </w:rPr>
        <w:t xml:space="preserve">5.4  All Employees and Contractors</w:t>
      </w:r>
      <w:bookmarkEnd w:id="18"/>
    </w:p>
    <w:p>
      <w:pPr>
        <w:pStyle w:val="ListParagraph"/>
        <w:numPr>
          <w:ilvl w:val="0"/>
          <w:numId w:val="2"/>
        </w:numPr>
        <w:spacing w:after="40" w:before="40"/>
      </w:pPr>
      <w:r>
        <w:rPr>
          <w:rFonts w:ascii="Arial" w:cs="Arial" w:eastAsia="Arial" w:hAnsi="Arial"/>
          <w:color w:val="1A2340"/>
          <w:sz w:val="22"/>
          <w:szCs w:val="22"/>
        </w:rPr>
        <w:t xml:space="preserve">Read, understand, and acknowledge this policy at onboarding and upon each revision.</w:t>
      </w:r>
    </w:p>
    <w:p>
      <w:pPr>
        <w:pStyle w:val="ListParagraph"/>
        <w:numPr>
          <w:ilvl w:val="0"/>
          <w:numId w:val="2"/>
        </w:numPr>
        <w:spacing w:after="40" w:before="40"/>
      </w:pPr>
      <w:r>
        <w:rPr>
          <w:rFonts w:ascii="Arial" w:cs="Arial" w:eastAsia="Arial" w:hAnsi="Arial"/>
          <w:color w:val="1A2340"/>
          <w:sz w:val="22"/>
          <w:szCs w:val="22"/>
        </w:rPr>
        <w:t xml:space="preserve">Use company systems only for authorized and legitimate business purposes, subject to the limited personal use guidance in Appendix B.</w:t>
      </w:r>
    </w:p>
    <w:p>
      <w:pPr>
        <w:pStyle w:val="ListParagraph"/>
        <w:numPr>
          <w:ilvl w:val="0"/>
          <w:numId w:val="2"/>
        </w:numPr>
        <w:spacing w:after="40" w:before="40"/>
      </w:pPr>
      <w:r>
        <w:rPr>
          <w:rFonts w:ascii="Arial" w:cs="Arial" w:eastAsia="Arial" w:hAnsi="Arial"/>
          <w:color w:val="1A2340"/>
          <w:sz w:val="22"/>
          <w:szCs w:val="22"/>
        </w:rPr>
        <w:t xml:space="preserve">Protect company assets, data, and access credentials at all times.</w:t>
      </w:r>
    </w:p>
    <w:p>
      <w:pPr>
        <w:pStyle w:val="ListParagraph"/>
        <w:numPr>
          <w:ilvl w:val="0"/>
          <w:numId w:val="2"/>
        </w:numPr>
        <w:spacing w:after="40" w:before="40"/>
      </w:pPr>
      <w:r>
        <w:rPr>
          <w:rFonts w:ascii="Arial" w:cs="Arial" w:eastAsia="Arial" w:hAnsi="Arial"/>
          <w:color w:val="1A2340"/>
          <w:sz w:val="22"/>
          <w:szCs w:val="22"/>
        </w:rPr>
        <w:t xml:space="preserve">Report suspected security incidents, policy violations, phishing attempts, and lost or stolen devices to IT / Security immediately.</w:t>
      </w:r>
    </w:p>
    <w:p>
      <w:pPr>
        <w:pStyle w:val="ListParagraph"/>
        <w:numPr>
          <w:ilvl w:val="0"/>
          <w:numId w:val="2"/>
        </w:numPr>
        <w:spacing w:after="40" w:before="40"/>
      </w:pPr>
      <w:r>
        <w:rPr>
          <w:rFonts w:ascii="Arial" w:cs="Arial" w:eastAsia="Arial" w:hAnsi="Arial"/>
          <w:color w:val="1A2340"/>
          <w:sz w:val="22"/>
          <w:szCs w:val="22"/>
        </w:rPr>
        <w:t xml:space="preserve">Complete all mandatory security awareness training within timelines specified by IT / Security.</w:t>
      </w:r>
    </w:p>
    <w:p>
      <w:pPr>
        <w:pStyle w:val="ListParagraph"/>
        <w:numPr>
          <w:ilvl w:val="0"/>
          <w:numId w:val="2"/>
        </w:numPr>
        <w:spacing w:after="40" w:before="40"/>
      </w:pPr>
      <w:r>
        <w:rPr>
          <w:rFonts w:ascii="Arial" w:cs="Arial" w:eastAsia="Arial" w:hAnsi="Arial"/>
          <w:color w:val="1A2340"/>
          <w:sz w:val="22"/>
          <w:szCs w:val="22"/>
        </w:rPr>
        <w:t xml:space="preserve">Comply with this policy and all related policies listed in Section 9.</w:t>
      </w:r>
    </w:p>
    <w:p>
      <w:pPr>
        <w:pStyle w:val="ListParagraph"/>
        <w:numPr>
          <w:ilvl w:val="0"/>
          <w:numId w:val="2"/>
        </w:numPr>
        <w:spacing w:after="40" w:before="40"/>
      </w:pPr>
      <w:r>
        <w:rPr>
          <w:rFonts w:ascii="Arial" w:cs="Arial" w:eastAsia="Arial" w:hAnsi="Arial"/>
          <w:color w:val="1A2340"/>
          <w:sz w:val="22"/>
          <w:szCs w:val="22"/>
        </w:rPr>
        <w:t xml:space="preserve">Not share access credentials with any other person, including colleagues and managers.</w:t>
      </w:r>
    </w:p>
    <w:p>
      <w:r>
        <w:br w:type="page"/>
      </w:r>
    </w:p>
    <w:p>
      <w:pPr>
        <w:pStyle w:val="Heading1"/>
        <w:pBdr>
          <w:bottom w:val="single" w:color="07B4D9" w:sz="8" w:space="4"/>
        </w:pBdr>
        <w:spacing w:after="120" w:before="400"/>
      </w:pPr>
      <w:bookmarkStart w:name="s6" w:id="19"/>
      <w:r>
        <w:rPr>
          <w:rFonts w:ascii="Arial" w:cs="Arial" w:eastAsia="Arial" w:hAnsi="Arial"/>
          <w:b/>
          <w:bCs/>
          <w:color w:val="152168"/>
          <w:sz w:val="30"/>
          <w:szCs w:val="30"/>
        </w:rPr>
        <w:t xml:space="preserve">6. Policy Requirements</w:t>
      </w:r>
      <w:bookmarkEnd w:id="20"/>
    </w:p>
    <w:p>
      <w:pPr>
        <w:pStyle w:val="Heading2"/>
        <w:spacing w:after="80" w:before="280"/>
      </w:pPr>
      <w:bookmarkStart w:name="s61" w:id="21"/>
      <w:r>
        <w:rPr>
          <w:rFonts w:ascii="Arial" w:cs="Arial" w:eastAsia="Arial" w:hAnsi="Arial"/>
          <w:b/>
          <w:bCs/>
          <w:color w:val="152168"/>
          <w:sz w:val="26"/>
          <w:szCs w:val="26"/>
        </w:rPr>
        <w:t xml:space="preserve">6.1  Authorized Use of Company Systems</w:t>
      </w:r>
      <w:bookmarkEnd w:id="22"/>
    </w:p>
    <w:p>
      <w:pPr>
        <w:pBdr>
          <w:left w:val="single" w:color="07B4D9" w:sz="12" w:space="8"/>
        </w:pBdr>
        <w:spacing w:after="80" w:before="40"/>
      </w:pPr>
      <w:r>
        <w:rPr>
          <w:rFonts w:ascii="Arial" w:cs="Arial" w:eastAsia="Arial" w:hAnsi="Arial"/>
          <w:i/>
          <w:iCs/>
          <w:color w:val="4F46E5"/>
          <w:sz w:val="18"/>
          <w:szCs w:val="18"/>
        </w:rPr>
        <w:t xml:space="preserve">ISO 27001 Ref: A.5.10 (Acceptable use of information), A.6.2 (Terms and conditions of employment) | NIST SP 800-53 Ref: AC-2 (Account Management), PL-4 (Rules of Behavior)</w:t>
      </w:r>
    </w:p>
    <w:p>
      <w:pPr>
        <w:spacing w:after="80" w:before="60"/>
        <w:jc w:val="both"/>
      </w:pPr>
      <w:r>
        <w:rPr>
          <w:rFonts w:ascii="Arial" w:cs="Arial" w:eastAsia="Arial" w:hAnsi="Arial"/>
          <w:color w:val="1A2340"/>
          <w:sz w:val="22"/>
          <w:szCs w:val="22"/>
        </w:rPr>
        <w:t xml:space="preserve">Company systems are provided to support the performance of authorized business activities. The primary purpose of all system access is the conduct of [ORGANIZATION NAME] business.</w:t>
      </w:r>
    </w:p>
    <w:p>
      <w:pPr>
        <w:spacing w:after="40" w:before="0"/>
      </w:pPr>
      <w:r>
        <w:t xml:space="preserve"/>
      </w:r>
    </w:p>
    <w:p>
      <w:pPr>
        <w:spacing w:after="80" w:before="60"/>
        <w:jc w:val="both"/>
      </w:pPr>
      <w:r>
        <w:rPr>
          <w:rFonts w:ascii="Arial" w:cs="Arial" w:eastAsia="Arial" w:hAnsi="Arial"/>
          <w:color w:val="1A2340"/>
          <w:sz w:val="22"/>
          <w:szCs w:val="22"/>
        </w:rPr>
        <w:t xml:space="preserve">Authorized use includes:</w:t>
      </w:r>
    </w:p>
    <w:p>
      <w:pPr>
        <w:pStyle w:val="ListParagraph"/>
        <w:numPr>
          <w:ilvl w:val="0"/>
          <w:numId w:val="2"/>
        </w:numPr>
        <w:spacing w:after="40" w:before="40"/>
      </w:pPr>
      <w:r>
        <w:rPr>
          <w:rFonts w:ascii="Arial" w:cs="Arial" w:eastAsia="Arial" w:hAnsi="Arial"/>
          <w:color w:val="1A2340"/>
          <w:sz w:val="22"/>
          <w:szCs w:val="22"/>
        </w:rPr>
        <w:t xml:space="preserve">Performing assigned job duties and responsibilities.</w:t>
      </w:r>
    </w:p>
    <w:p>
      <w:pPr>
        <w:pStyle w:val="ListParagraph"/>
        <w:numPr>
          <w:ilvl w:val="0"/>
          <w:numId w:val="2"/>
        </w:numPr>
        <w:spacing w:after="40" w:before="40"/>
      </w:pPr>
      <w:r>
        <w:rPr>
          <w:rFonts w:ascii="Arial" w:cs="Arial" w:eastAsia="Arial" w:hAnsi="Arial"/>
          <w:color w:val="1A2340"/>
          <w:sz w:val="22"/>
          <w:szCs w:val="22"/>
        </w:rPr>
        <w:t xml:space="preserve">Communicating with colleagues, clients, vendors, and partners for legitimate business purposes.</w:t>
      </w:r>
    </w:p>
    <w:p>
      <w:pPr>
        <w:pStyle w:val="ListParagraph"/>
        <w:numPr>
          <w:ilvl w:val="0"/>
          <w:numId w:val="2"/>
        </w:numPr>
        <w:spacing w:after="40" w:before="40"/>
      </w:pPr>
      <w:r>
        <w:rPr>
          <w:rFonts w:ascii="Arial" w:cs="Arial" w:eastAsia="Arial" w:hAnsi="Arial"/>
          <w:color w:val="1A2340"/>
          <w:sz w:val="22"/>
          <w:szCs w:val="22"/>
        </w:rPr>
        <w:t xml:space="preserve">Accessing and processing company and client data in accordance with the user's assigned role and access level.</w:t>
      </w:r>
    </w:p>
    <w:p>
      <w:pPr>
        <w:pStyle w:val="ListParagraph"/>
        <w:numPr>
          <w:ilvl w:val="0"/>
          <w:numId w:val="2"/>
        </w:numPr>
        <w:spacing w:after="40" w:before="40"/>
      </w:pPr>
      <w:r>
        <w:rPr>
          <w:rFonts w:ascii="Arial" w:cs="Arial" w:eastAsia="Arial" w:hAnsi="Arial"/>
          <w:color w:val="1A2340"/>
          <w:sz w:val="22"/>
          <w:szCs w:val="22"/>
        </w:rPr>
        <w:t xml:space="preserve">Using approved software applications to create, edit, and store work product.</w:t>
      </w:r>
    </w:p>
    <w:p>
      <w:pPr>
        <w:pStyle w:val="ListParagraph"/>
        <w:numPr>
          <w:ilvl w:val="0"/>
          <w:numId w:val="2"/>
        </w:numPr>
        <w:spacing w:after="40" w:before="40"/>
      </w:pPr>
      <w:r>
        <w:rPr>
          <w:rFonts w:ascii="Arial" w:cs="Arial" w:eastAsia="Arial" w:hAnsi="Arial"/>
          <w:color w:val="1A2340"/>
          <w:sz w:val="22"/>
          <w:szCs w:val="22"/>
        </w:rPr>
        <w:t xml:space="preserve">Participating in company-approved training and professional development.</w:t>
      </w:r>
    </w:p>
    <w:p>
      <w:pPr>
        <w:spacing w:after="40" w:before="0"/>
      </w:pPr>
      <w:r>
        <w:t xml:space="preserve"/>
      </w:r>
    </w:p>
    <w:p>
      <w:pPr>
        <w:spacing w:after="80" w:before="60"/>
        <w:jc w:val="both"/>
      </w:pPr>
      <w:r>
        <w:rPr>
          <w:rFonts w:ascii="Arial" w:cs="Arial" w:eastAsia="Arial" w:hAnsi="Arial"/>
          <w:color w:val="1A2340"/>
          <w:sz w:val="22"/>
          <w:szCs w:val="22"/>
        </w:rPr>
        <w:t xml:space="preserve">Limited personal use of company systems is tolerated at [ORGANIZATION NAME]'s discretion, subject to the conditions set out in Appendix B. Personal use must not:</w:t>
      </w:r>
    </w:p>
    <w:p>
      <w:pPr>
        <w:pStyle w:val="ListParagraph"/>
        <w:numPr>
          <w:ilvl w:val="0"/>
          <w:numId w:val="2"/>
        </w:numPr>
        <w:spacing w:after="40" w:before="40"/>
      </w:pPr>
      <w:r>
        <w:rPr>
          <w:rFonts w:ascii="Arial" w:cs="Arial" w:eastAsia="Arial" w:hAnsi="Arial"/>
          <w:color w:val="1A2340"/>
          <w:sz w:val="22"/>
          <w:szCs w:val="22"/>
        </w:rPr>
        <w:t xml:space="preserve">Interfere with the user's work performance or productivity.</w:t>
      </w:r>
    </w:p>
    <w:p>
      <w:pPr>
        <w:pStyle w:val="ListParagraph"/>
        <w:numPr>
          <w:ilvl w:val="0"/>
          <w:numId w:val="2"/>
        </w:numPr>
        <w:spacing w:after="40" w:before="40"/>
      </w:pPr>
      <w:r>
        <w:rPr>
          <w:rFonts w:ascii="Arial" w:cs="Arial" w:eastAsia="Arial" w:hAnsi="Arial"/>
          <w:color w:val="1A2340"/>
          <w:sz w:val="22"/>
          <w:szCs w:val="22"/>
        </w:rPr>
        <w:t xml:space="preserve">Consume excessive network bandwidth, storage, or processing resources.</w:t>
      </w:r>
    </w:p>
    <w:p>
      <w:pPr>
        <w:pStyle w:val="ListParagraph"/>
        <w:numPr>
          <w:ilvl w:val="0"/>
          <w:numId w:val="2"/>
        </w:numPr>
        <w:spacing w:after="40" w:before="40"/>
      </w:pPr>
      <w:r>
        <w:rPr>
          <w:rFonts w:ascii="Arial" w:cs="Arial" w:eastAsia="Arial" w:hAnsi="Arial"/>
          <w:color w:val="1A2340"/>
          <w:sz w:val="22"/>
          <w:szCs w:val="22"/>
        </w:rPr>
        <w:t xml:space="preserve">Introduce security risk to company systems or data.</w:t>
      </w:r>
    </w:p>
    <w:p>
      <w:pPr>
        <w:pStyle w:val="ListParagraph"/>
        <w:numPr>
          <w:ilvl w:val="0"/>
          <w:numId w:val="2"/>
        </w:numPr>
        <w:spacing w:after="40" w:before="40"/>
      </w:pPr>
      <w:r>
        <w:rPr>
          <w:rFonts w:ascii="Arial" w:cs="Arial" w:eastAsia="Arial" w:hAnsi="Arial"/>
          <w:color w:val="1A2340"/>
          <w:sz w:val="22"/>
          <w:szCs w:val="22"/>
        </w:rPr>
        <w:t xml:space="preserve">Involve access to, or transmission of, content that would constitute Prohibited Use as defined in Appendix A.</w:t>
      </w:r>
    </w:p>
    <w:p>
      <w:pPr>
        <w:spacing w:after="40" w:before="0"/>
      </w:pPr>
      <w:r>
        <w:t xml:space="preserve"/>
      </w:r>
    </w:p>
    <w:p>
      <w:pPr>
        <w:spacing w:after="60" w:before="40"/>
        <w:jc w:val="both"/>
      </w:pPr>
      <w:r>
        <w:rPr>
          <w:rFonts w:ascii="Arial" w:cs="Arial" w:eastAsia="Arial" w:hAnsi="Arial"/>
          <w:i/>
          <w:iCs/>
          <w:color w:val="5A6A8A"/>
          <w:sz w:val="19"/>
          <w:szCs w:val="19"/>
        </w:rPr>
        <w:t xml:space="preserve">The tolerance of personal use does not create an entitlement. [ORGANIZATION NAME] reserves the right to restrict or withdraw personal use access at any time without notice.</w:t>
      </w:r>
    </w:p>
    <w:p>
      <w:pPr>
        <w:pStyle w:val="Heading2"/>
        <w:spacing w:after="80" w:before="280"/>
      </w:pPr>
      <w:bookmarkStart w:name="s62" w:id="23"/>
      <w:r>
        <w:rPr>
          <w:rFonts w:ascii="Arial" w:cs="Arial" w:eastAsia="Arial" w:hAnsi="Arial"/>
          <w:b/>
          <w:bCs/>
          <w:color w:val="152168"/>
          <w:sz w:val="26"/>
          <w:szCs w:val="26"/>
        </w:rPr>
        <w:t xml:space="preserve">6.2  Internet and Web Browsing</w:t>
      </w:r>
      <w:bookmarkEnd w:id="24"/>
    </w:p>
    <w:p>
      <w:pPr>
        <w:pBdr>
          <w:left w:val="single" w:color="07B4D9" w:sz="12" w:space="8"/>
        </w:pBdr>
        <w:spacing w:after="80" w:before="40"/>
      </w:pPr>
      <w:r>
        <w:rPr>
          <w:rFonts w:ascii="Arial" w:cs="Arial" w:eastAsia="Arial" w:hAnsi="Arial"/>
          <w:i/>
          <w:iCs/>
          <w:color w:val="4F46E5"/>
          <w:sz w:val="18"/>
          <w:szCs w:val="18"/>
        </w:rPr>
        <w:t xml:space="preserve">ISO 27001 Ref: A.5.10 (Acceptable use), A.8.20 (Networks security) | NIST SP 800-53 Ref: AC-4 (Information Flow Enforcement), SC-7 (Boundary Protection), SI-3 (Malicious Code Protection)</w:t>
      </w:r>
    </w:p>
    <w:p>
      <w:pPr>
        <w:spacing w:after="80" w:before="60"/>
        <w:jc w:val="both"/>
      </w:pPr>
      <w:r>
        <w:rPr>
          <w:rFonts w:ascii="Arial" w:cs="Arial" w:eastAsia="Arial" w:hAnsi="Arial"/>
          <w:color w:val="1A2340"/>
          <w:sz w:val="22"/>
          <w:szCs w:val="22"/>
        </w:rPr>
        <w:t xml:space="preserve">Internet access is provided on company systems for business use. Users must exercise judgment and conduct themselves as professional representatives of [ORGANIZATION NAME] when browsing the web.</w:t>
      </w:r>
    </w:p>
    <w:p>
      <w:pPr>
        <w:spacing w:after="40" w:before="0"/>
      </w:pPr>
      <w:r>
        <w:t xml:space="preserve"/>
      </w:r>
    </w:p>
    <w:p>
      <w:pPr>
        <w:spacing w:after="80" w:before="60"/>
        <w:jc w:val="both"/>
      </w:pPr>
      <w:r>
        <w:rPr>
          <w:rFonts w:ascii="Arial" w:cs="Arial" w:eastAsia="Arial" w:hAnsi="Arial"/>
          <w:color w:val="1A2340"/>
          <w:sz w:val="22"/>
          <w:szCs w:val="22"/>
        </w:rPr>
        <w:t xml:space="preserve">The following categories of website are prohibited on company systems and networks:</w:t>
      </w:r>
    </w:p>
    <w:p>
      <w:pPr>
        <w:pStyle w:val="ListParagraph"/>
        <w:numPr>
          <w:ilvl w:val="0"/>
          <w:numId w:val="2"/>
        </w:numPr>
        <w:spacing w:after="40" w:before="40"/>
      </w:pPr>
      <w:r>
        <w:rPr>
          <w:rFonts w:ascii="Arial" w:cs="Arial" w:eastAsia="Arial" w:hAnsi="Arial"/>
          <w:color w:val="1A2340"/>
          <w:sz w:val="22"/>
          <w:szCs w:val="22"/>
        </w:rPr>
        <w:t xml:space="preserve">Sites hosting or distributing malware, hacking tools, exploit kits, or unauthorized software.</w:t>
      </w:r>
    </w:p>
    <w:p>
      <w:pPr>
        <w:pStyle w:val="ListParagraph"/>
        <w:numPr>
          <w:ilvl w:val="0"/>
          <w:numId w:val="2"/>
        </w:numPr>
        <w:spacing w:after="40" w:before="40"/>
      </w:pPr>
      <w:r>
        <w:rPr>
          <w:rFonts w:ascii="Arial" w:cs="Arial" w:eastAsia="Arial" w:hAnsi="Arial"/>
          <w:color w:val="1A2340"/>
          <w:sz w:val="22"/>
          <w:szCs w:val="22"/>
        </w:rPr>
        <w:t xml:space="preserve">Illegal content of any type, including sites facilitating fraud, drug trade, weapons trafficking, or child exploitation.</w:t>
      </w:r>
    </w:p>
    <w:p>
      <w:pPr>
        <w:pStyle w:val="ListParagraph"/>
        <w:numPr>
          <w:ilvl w:val="0"/>
          <w:numId w:val="2"/>
        </w:numPr>
        <w:spacing w:after="40" w:before="40"/>
      </w:pPr>
      <w:r>
        <w:rPr>
          <w:rFonts w:ascii="Arial" w:cs="Arial" w:eastAsia="Arial" w:hAnsi="Arial"/>
          <w:color w:val="1A2340"/>
          <w:sz w:val="22"/>
          <w:szCs w:val="22"/>
        </w:rPr>
        <w:t xml:space="preserve">Sites hosting or distributing sexually explicit or pornographic material.</w:t>
      </w:r>
    </w:p>
    <w:p>
      <w:pPr>
        <w:pStyle w:val="ListParagraph"/>
        <w:numPr>
          <w:ilvl w:val="0"/>
          <w:numId w:val="2"/>
        </w:numPr>
        <w:spacing w:after="40" w:before="40"/>
      </w:pPr>
      <w:r>
        <w:rPr>
          <w:rFonts w:ascii="Arial" w:cs="Arial" w:eastAsia="Arial" w:hAnsi="Arial"/>
          <w:color w:val="1A2340"/>
          <w:sz w:val="22"/>
          <w:szCs w:val="22"/>
        </w:rPr>
        <w:t xml:space="preserve">Gambling or online gaming sites (except where directly relevant to a business task).</w:t>
      </w:r>
    </w:p>
    <w:p>
      <w:pPr>
        <w:pStyle w:val="ListParagraph"/>
        <w:numPr>
          <w:ilvl w:val="0"/>
          <w:numId w:val="2"/>
        </w:numPr>
        <w:spacing w:after="40" w:before="40"/>
      </w:pPr>
      <w:r>
        <w:rPr>
          <w:rFonts w:ascii="Arial" w:cs="Arial" w:eastAsia="Arial" w:hAnsi="Arial"/>
          <w:color w:val="1A2340"/>
          <w:sz w:val="22"/>
          <w:szCs w:val="22"/>
        </w:rPr>
        <w:t xml:space="preserve">Sites promoting hate speech, discrimination, or violence.</w:t>
      </w:r>
    </w:p>
    <w:p>
      <w:pPr>
        <w:pStyle w:val="ListParagraph"/>
        <w:numPr>
          <w:ilvl w:val="0"/>
          <w:numId w:val="2"/>
        </w:numPr>
        <w:spacing w:after="40" w:before="40"/>
      </w:pPr>
      <w:r>
        <w:rPr>
          <w:rFonts w:ascii="Arial" w:cs="Arial" w:eastAsia="Arial" w:hAnsi="Arial"/>
          <w:color w:val="1A2340"/>
          <w:sz w:val="22"/>
          <w:szCs w:val="22"/>
        </w:rPr>
        <w:t xml:space="preserve">Sites used to bypass or circumvent web filtering or monitoring controls (e.g., anonymizing proxies, VPN bypass tools).</w:t>
      </w:r>
    </w:p>
    <w:p>
      <w:pPr>
        <w:pStyle w:val="ListParagraph"/>
        <w:numPr>
          <w:ilvl w:val="0"/>
          <w:numId w:val="2"/>
        </w:numPr>
        <w:spacing w:after="40" w:before="40"/>
      </w:pPr>
      <w:r>
        <w:rPr>
          <w:rFonts w:ascii="Arial" w:cs="Arial" w:eastAsia="Arial" w:hAnsi="Arial"/>
          <w:color w:val="1A2340"/>
          <w:sz w:val="22"/>
          <w:szCs w:val="22"/>
        </w:rPr>
        <w:t xml:space="preserve">Piracy, warez, or copyright-infringing download sites.</w:t>
      </w:r>
    </w:p>
    <w:p>
      <w:pPr>
        <w:pStyle w:val="ListParagraph"/>
        <w:numPr>
          <w:ilvl w:val="0"/>
          <w:numId w:val="2"/>
        </w:numPr>
        <w:spacing w:after="40" w:before="40"/>
      </w:pPr>
      <w:r>
        <w:rPr>
          <w:rFonts w:ascii="Arial" w:cs="Arial" w:eastAsia="Arial" w:hAnsi="Arial"/>
          <w:color w:val="1A2340"/>
          <w:sz w:val="22"/>
          <w:szCs w:val="22"/>
        </w:rPr>
        <w:t xml:space="preserve">Sites used for unauthorized cryptocurrency mining.</w:t>
      </w:r>
    </w:p>
    <w:p>
      <w:pPr>
        <w:spacing w:after="40" w:before="0"/>
      </w:pPr>
      <w:r>
        <w:t xml:space="preserve"/>
      </w:r>
    </w:p>
    <w:p>
      <w:pPr>
        <w:spacing w:after="80" w:before="60"/>
        <w:jc w:val="both"/>
      </w:pPr>
      <w:r>
        <w:rPr>
          <w:rFonts w:ascii="Arial" w:cs="Arial" w:eastAsia="Arial" w:hAnsi="Arial"/>
          <w:color w:val="1A2340"/>
          <w:sz w:val="22"/>
          <w:szCs w:val="22"/>
        </w:rPr>
        <w:t xml:space="preserve">[ORGANIZATION NAME] employs web filtering technology to block categories of prohibited content and to monitor browsing activity on company networks. Users accessing the internet via company systems — including VPN — should be aware that their browsing activity is visible to and may be reviewed by IT / Security.</w:t>
      </w:r>
    </w:p>
    <w:p>
      <w:pPr>
        <w:spacing w:after="40" w:before="0"/>
      </w:pPr>
      <w:r>
        <w:t xml:space="preserve"/>
      </w:r>
    </w:p>
    <w:p>
      <w:pPr>
        <w:spacing w:after="80" w:before="60"/>
        <w:jc w:val="both"/>
      </w:pPr>
      <w:r>
        <w:rPr>
          <w:rFonts w:ascii="Arial" w:cs="Arial" w:eastAsia="Arial" w:hAnsi="Arial"/>
          <w:color w:val="1A2340"/>
          <w:sz w:val="22"/>
          <w:szCs w:val="22"/>
        </w:rPr>
        <w:t xml:space="preserve">Users who inadvertently access a prohibited or suspicious site must close the browser immediately and report the incident to IT / Security. Users must not attempt to circumvent web filtering controls under any circumstances.</w:t>
      </w:r>
    </w:p>
    <w:p>
      <w:pPr>
        <w:pStyle w:val="Heading2"/>
        <w:spacing w:after="80" w:before="280"/>
      </w:pPr>
      <w:bookmarkStart w:name="s63" w:id="25"/>
      <w:r>
        <w:rPr>
          <w:rFonts w:ascii="Arial" w:cs="Arial" w:eastAsia="Arial" w:hAnsi="Arial"/>
          <w:b/>
          <w:bCs/>
          <w:color w:val="152168"/>
          <w:sz w:val="26"/>
          <w:szCs w:val="26"/>
        </w:rPr>
        <w:t xml:space="preserve">6.3  Email and Electronic Communications</w:t>
      </w:r>
      <w:bookmarkEnd w:id="26"/>
    </w:p>
    <w:p>
      <w:pPr>
        <w:pBdr>
          <w:left w:val="single" w:color="07B4D9" w:sz="12" w:space="8"/>
        </w:pBdr>
        <w:spacing w:after="80" w:before="40"/>
      </w:pPr>
      <w:r>
        <w:rPr>
          <w:rFonts w:ascii="Arial" w:cs="Arial" w:eastAsia="Arial" w:hAnsi="Arial"/>
          <w:i/>
          <w:iCs/>
          <w:color w:val="4F46E5"/>
          <w:sz w:val="18"/>
          <w:szCs w:val="18"/>
        </w:rPr>
        <w:t xml:space="preserve">ISO 27001 Ref: A.5.14 (Information transfer), A.8.20 (Networks security) | NIST SP 800-53 Ref: SC-8 (Transmission Confidentiality), AU-2 (Event Logging), SI-8 (Spam Protection)</w:t>
      </w:r>
    </w:p>
    <w:p>
      <w:pPr>
        <w:spacing w:after="80" w:before="60"/>
        <w:jc w:val="both"/>
      </w:pPr>
      <w:r>
        <w:rPr>
          <w:rFonts w:ascii="Arial" w:cs="Arial" w:eastAsia="Arial" w:hAnsi="Arial"/>
          <w:color w:val="1A2340"/>
          <w:sz w:val="22"/>
          <w:szCs w:val="22"/>
        </w:rPr>
        <w:t xml:space="preserve">Company email and electronic communication platforms are provided for business use. Users are expected to communicate professionally and in accordance with this policy at all times.</w:t>
      </w:r>
    </w:p>
    <w:p>
      <w:pPr>
        <w:spacing w:after="40" w:before="0"/>
      </w:pPr>
      <w:r>
        <w:t xml:space="preserve"/>
      </w:r>
    </w:p>
    <w:p>
      <w:pPr>
        <w:pStyle w:val="Heading3"/>
        <w:spacing w:after="60" w:before="220"/>
      </w:pPr>
      <w:r>
        <w:rPr>
          <w:rFonts w:ascii="Arial" w:cs="Arial" w:eastAsia="Arial" w:hAnsi="Arial"/>
          <w:b/>
          <w:bCs/>
          <w:color w:val="4F46E5"/>
          <w:sz w:val="23"/>
          <w:szCs w:val="23"/>
        </w:rPr>
        <w:t xml:space="preserve">Professional Use Standards</w:t>
      </w:r>
    </w:p>
    <w:p>
      <w:pPr>
        <w:pStyle w:val="ListParagraph"/>
        <w:numPr>
          <w:ilvl w:val="0"/>
          <w:numId w:val="2"/>
        </w:numPr>
        <w:spacing w:after="40" w:before="40"/>
      </w:pPr>
      <w:r>
        <w:rPr>
          <w:rFonts w:ascii="Arial" w:cs="Arial" w:eastAsia="Arial" w:hAnsi="Arial"/>
          <w:color w:val="1A2340"/>
          <w:sz w:val="22"/>
          <w:szCs w:val="22"/>
        </w:rPr>
        <w:t xml:space="preserve">All communications sent using company accounts must be professional, respectful, and representative of [ORGANIZATION NAME]'s values.</w:t>
      </w:r>
    </w:p>
    <w:p>
      <w:pPr>
        <w:pStyle w:val="ListParagraph"/>
        <w:numPr>
          <w:ilvl w:val="0"/>
          <w:numId w:val="2"/>
        </w:numPr>
        <w:spacing w:after="40" w:before="40"/>
      </w:pPr>
      <w:r>
        <w:rPr>
          <w:rFonts w:ascii="Arial" w:cs="Arial" w:eastAsia="Arial" w:hAnsi="Arial"/>
          <w:color w:val="1A2340"/>
          <w:sz w:val="22"/>
          <w:szCs w:val="22"/>
        </w:rPr>
        <w:t xml:space="preserve">Users must not send communications that are harassing, discriminatory, threatening, defamatory, or otherwise unprofessional.</w:t>
      </w:r>
    </w:p>
    <w:p>
      <w:pPr>
        <w:pStyle w:val="ListParagraph"/>
        <w:numPr>
          <w:ilvl w:val="0"/>
          <w:numId w:val="2"/>
        </w:numPr>
        <w:spacing w:after="40" w:before="40"/>
      </w:pPr>
      <w:r>
        <w:rPr>
          <w:rFonts w:ascii="Arial" w:cs="Arial" w:eastAsia="Arial" w:hAnsi="Arial"/>
          <w:color w:val="1A2340"/>
          <w:sz w:val="22"/>
          <w:szCs w:val="22"/>
        </w:rPr>
        <w:t xml:space="preserve">Confidential or Restricted information must not be transmitted via email without appropriate encryption or secure file transfer (see Section 6.6).</w:t>
      </w:r>
    </w:p>
    <w:p>
      <w:pPr>
        <w:pStyle w:val="ListParagraph"/>
        <w:numPr>
          <w:ilvl w:val="0"/>
          <w:numId w:val="2"/>
        </w:numPr>
        <w:spacing w:after="40" w:before="40"/>
      </w:pPr>
      <w:r>
        <w:rPr>
          <w:rFonts w:ascii="Arial" w:cs="Arial" w:eastAsia="Arial" w:hAnsi="Arial"/>
          <w:color w:val="1A2340"/>
          <w:sz w:val="22"/>
          <w:szCs w:val="22"/>
        </w:rPr>
        <w:t xml:space="preserve">Users must not forward company emails to personal accounts as a routine practice. Incidental forwarding for legitimate business reasons must comply with data classification requirements.</w:t>
      </w:r>
    </w:p>
    <w:p>
      <w:pPr>
        <w:spacing w:after="40" w:before="0"/>
      </w:pPr>
      <w:r>
        <w:t xml:space="preserve"/>
      </w:r>
    </w:p>
    <w:p>
      <w:pPr>
        <w:pStyle w:val="Heading3"/>
        <w:spacing w:after="60" w:before="220"/>
      </w:pPr>
      <w:r>
        <w:rPr>
          <w:rFonts w:ascii="Arial" w:cs="Arial" w:eastAsia="Arial" w:hAnsi="Arial"/>
          <w:b/>
          <w:bCs/>
          <w:color w:val="4F46E5"/>
          <w:sz w:val="23"/>
          <w:szCs w:val="23"/>
        </w:rPr>
        <w:t xml:space="preserve">Phishing Awareness</w:t>
      </w:r>
    </w:p>
    <w:p>
      <w:pPr>
        <w:pStyle w:val="ListParagraph"/>
        <w:numPr>
          <w:ilvl w:val="0"/>
          <w:numId w:val="2"/>
        </w:numPr>
        <w:spacing w:after="40" w:before="40"/>
      </w:pPr>
      <w:r>
        <w:rPr>
          <w:rFonts w:ascii="Arial" w:cs="Arial" w:eastAsia="Arial" w:hAnsi="Arial"/>
          <w:color w:val="1A2340"/>
          <w:sz w:val="22"/>
          <w:szCs w:val="22"/>
        </w:rPr>
        <w:t xml:space="preserve">Users must not open attachments or click links in emails from unknown or unverified senders.</w:t>
      </w:r>
    </w:p>
    <w:p>
      <w:pPr>
        <w:pStyle w:val="ListParagraph"/>
        <w:numPr>
          <w:ilvl w:val="0"/>
          <w:numId w:val="2"/>
        </w:numPr>
        <w:spacing w:after="40" w:before="40"/>
      </w:pPr>
      <w:r>
        <w:rPr>
          <w:rFonts w:ascii="Arial" w:cs="Arial" w:eastAsia="Arial" w:hAnsi="Arial"/>
          <w:color w:val="1A2340"/>
          <w:sz w:val="22"/>
          <w:szCs w:val="22"/>
        </w:rPr>
        <w:t xml:space="preserve">Users must report suspected phishing emails to IT / Security immediately and must not respond to, forward, or act on the contents of suspected phishing messages.</w:t>
      </w:r>
    </w:p>
    <w:p>
      <w:pPr>
        <w:pStyle w:val="ListParagraph"/>
        <w:numPr>
          <w:ilvl w:val="0"/>
          <w:numId w:val="2"/>
        </w:numPr>
        <w:spacing w:after="40" w:before="40"/>
      </w:pPr>
      <w:r>
        <w:rPr>
          <w:rFonts w:ascii="Arial" w:cs="Arial" w:eastAsia="Arial" w:hAnsi="Arial"/>
          <w:color w:val="1A2340"/>
          <w:sz w:val="22"/>
          <w:szCs w:val="22"/>
        </w:rPr>
        <w:t xml:space="preserve">Users must be aware that threat actors may impersonate known contacts. When in doubt, verify the sender's identity through a secondary channel before acting on any request involving data access, financial transactions, or credential changes.</w:t>
      </w:r>
    </w:p>
    <w:p>
      <w:pPr>
        <w:spacing w:after="40" w:before="0"/>
      </w:pPr>
      <w:r>
        <w:t xml:space="preserve"/>
      </w:r>
    </w:p>
    <w:p>
      <w:pPr>
        <w:pStyle w:val="Heading3"/>
        <w:spacing w:after="60" w:before="220"/>
      </w:pPr>
      <w:r>
        <w:rPr>
          <w:rFonts w:ascii="Arial" w:cs="Arial" w:eastAsia="Arial" w:hAnsi="Arial"/>
          <w:b/>
          <w:bCs/>
          <w:color w:val="4F46E5"/>
          <w:sz w:val="23"/>
          <w:szCs w:val="23"/>
        </w:rPr>
        <w:t xml:space="preserve">No Expectation of Privacy</w:t>
      </w:r>
    </w:p>
    <w:p>
      <w:pPr>
        <w:spacing w:after="80" w:before="60"/>
        <w:jc w:val="both"/>
      </w:pPr>
      <w:r>
        <w:rPr>
          <w:rFonts w:ascii="Arial" w:cs="Arial" w:eastAsia="Arial" w:hAnsi="Arial"/>
          <w:color w:val="1A2340"/>
          <w:sz w:val="22"/>
          <w:szCs w:val="22"/>
        </w:rPr>
        <w:t xml:space="preserve">Electronic communications sent or received using company accounts or systems are the property of [ORGANIZATION NAME] and are subject to monitoring, logging, and review as described in Section 6.13. Users have no expectation of privacy in their use of company communication platforms.</w:t>
      </w:r>
    </w:p>
    <w:p>
      <w:pPr>
        <w:spacing w:after="40" w:before="0"/>
      </w:pPr>
      <w:r>
        <w:t xml:space="preserve"/>
      </w:r>
    </w:p>
    <w:p>
      <w:pPr>
        <w:spacing w:after="80" w:before="60"/>
        <w:jc w:val="both"/>
      </w:pPr>
      <w:r>
        <w:rPr>
          <w:rFonts w:ascii="Arial" w:cs="Arial" w:eastAsia="Arial" w:hAnsi="Arial"/>
          <w:color w:val="1A2340"/>
          <w:sz w:val="22"/>
          <w:szCs w:val="22"/>
        </w:rPr>
        <w:t xml:space="preserve">Email and collaboration platform accounts are business tools. Use of company accounts for personal correspondence is subject to the personal use guidelines in Appendix B.</w:t>
      </w:r>
    </w:p>
    <w:p>
      <w:pPr>
        <w:pStyle w:val="Heading2"/>
        <w:spacing w:after="80" w:before="280"/>
      </w:pPr>
      <w:bookmarkStart w:name="s64" w:id="27"/>
      <w:r>
        <w:rPr>
          <w:rFonts w:ascii="Arial" w:cs="Arial" w:eastAsia="Arial" w:hAnsi="Arial"/>
          <w:b/>
          <w:bCs/>
          <w:color w:val="152168"/>
          <w:sz w:val="26"/>
          <w:szCs w:val="26"/>
        </w:rPr>
        <w:t xml:space="preserve">6.4  Device Management — Company-Owned</w:t>
      </w:r>
      <w:bookmarkEnd w:id="28"/>
    </w:p>
    <w:p>
      <w:pPr>
        <w:pBdr>
          <w:left w:val="single" w:color="07B4D9" w:sz="12" w:space="8"/>
        </w:pBdr>
        <w:spacing w:after="80" w:before="40"/>
      </w:pPr>
      <w:r>
        <w:rPr>
          <w:rFonts w:ascii="Arial" w:cs="Arial" w:eastAsia="Arial" w:hAnsi="Arial"/>
          <w:i/>
          <w:iCs/>
          <w:color w:val="4F46E5"/>
          <w:sz w:val="18"/>
          <w:szCs w:val="18"/>
        </w:rPr>
        <w:t xml:space="preserve">ISO 27001 Ref: A.7.8 (Clear desk and clear screen), A.8.1 (User endpoint devices) | NIST SP 800-53 Ref: AC-19 (Access Control for Mobile Devices), MP-4 (Media Storage), SC-28 (Protection of Information at Rest)</w:t>
      </w:r>
    </w:p>
    <w:p>
      <w:pPr>
        <w:spacing w:after="80" w:before="60"/>
        <w:jc w:val="both"/>
      </w:pPr>
      <w:r>
        <w:rPr>
          <w:rFonts w:ascii="Arial" w:cs="Arial" w:eastAsia="Arial" w:hAnsi="Arial"/>
          <w:color w:val="1A2340"/>
          <w:sz w:val="22"/>
          <w:szCs w:val="22"/>
        </w:rPr>
        <w:t xml:space="preserve">All company-owned devices must be managed in accordance with this policy and the technical standards maintained by IT / Security.</w:t>
      </w:r>
    </w:p>
    <w:p>
      <w:pPr>
        <w:spacing w:after="40" w:before="0"/>
      </w:pPr>
      <w:r>
        <w:t xml:space="preserve"/>
      </w:r>
    </w:p>
    <w:p>
      <w:pPr>
        <w:pStyle w:val="Heading3"/>
        <w:spacing w:after="60" w:before="220"/>
      </w:pPr>
      <w:r>
        <w:rPr>
          <w:rFonts w:ascii="Arial" w:cs="Arial" w:eastAsia="Arial" w:hAnsi="Arial"/>
          <w:b/>
          <w:bCs/>
          <w:color w:val="4F46E5"/>
          <w:sz w:val="23"/>
          <w:szCs w:val="23"/>
        </w:rPr>
        <w:t xml:space="preserve">Security Requirements — All Company Devices</w:t>
      </w:r>
    </w:p>
    <w:p>
      <w:pPr>
        <w:pStyle w:val="ListParagraph"/>
        <w:numPr>
          <w:ilvl w:val="0"/>
          <w:numId w:val="2"/>
        </w:numPr>
        <w:spacing w:after="40" w:before="40"/>
      </w:pPr>
      <w:r>
        <w:rPr>
          <w:rFonts w:ascii="Arial" w:cs="Arial" w:eastAsia="Arial" w:hAnsi="Arial"/>
          <w:color w:val="1A2340"/>
          <w:sz w:val="22"/>
          <w:szCs w:val="22"/>
        </w:rPr>
        <w:t xml:space="preserve">Full-disk encryption must be enabled on all laptops and mobile devices. Encryption will be enforced via MDM where applicable.</w:t>
      </w:r>
    </w:p>
    <w:p>
      <w:pPr>
        <w:pStyle w:val="ListParagraph"/>
        <w:numPr>
          <w:ilvl w:val="0"/>
          <w:numId w:val="2"/>
        </w:numPr>
        <w:spacing w:after="40" w:before="40"/>
      </w:pPr>
      <w:r>
        <w:rPr>
          <w:rFonts w:ascii="Arial" w:cs="Arial" w:eastAsia="Arial" w:hAnsi="Arial"/>
          <w:color w:val="1A2340"/>
          <w:sz w:val="22"/>
          <w:szCs w:val="22"/>
        </w:rPr>
        <w:t xml:space="preserve">Automatic screen lock must be enabled and configured to activate after no more than [5] minutes of inactivity. Passwords must be required to unlock.</w:t>
      </w:r>
    </w:p>
    <w:p>
      <w:pPr>
        <w:pStyle w:val="ListParagraph"/>
        <w:numPr>
          <w:ilvl w:val="0"/>
          <w:numId w:val="2"/>
        </w:numPr>
        <w:spacing w:after="40" w:before="40"/>
      </w:pPr>
      <w:r>
        <w:rPr>
          <w:rFonts w:ascii="Arial" w:cs="Arial" w:eastAsia="Arial" w:hAnsi="Arial"/>
          <w:color w:val="1A2340"/>
          <w:sz w:val="22"/>
          <w:szCs w:val="22"/>
        </w:rPr>
        <w:t xml:space="preserve">All company devices must run current, supported operating system versions. End-of-life operating systems are prohibited.</w:t>
      </w:r>
    </w:p>
    <w:p>
      <w:pPr>
        <w:pStyle w:val="ListParagraph"/>
        <w:numPr>
          <w:ilvl w:val="0"/>
          <w:numId w:val="2"/>
        </w:numPr>
        <w:spacing w:after="40" w:before="40"/>
      </w:pPr>
      <w:r>
        <w:rPr>
          <w:rFonts w:ascii="Arial" w:cs="Arial" w:eastAsia="Arial" w:hAnsi="Arial"/>
          <w:color w:val="1A2340"/>
          <w:sz w:val="22"/>
          <w:szCs w:val="22"/>
        </w:rPr>
        <w:t xml:space="preserve">Endpoint protection (antivirus/EDR) must be installed, active, and kept current on all company-managed devices.</w:t>
      </w:r>
    </w:p>
    <w:p>
      <w:pPr>
        <w:pStyle w:val="ListParagraph"/>
        <w:numPr>
          <w:ilvl w:val="0"/>
          <w:numId w:val="2"/>
        </w:numPr>
        <w:spacing w:after="40" w:before="40"/>
      </w:pPr>
      <w:r>
        <w:rPr>
          <w:rFonts w:ascii="Arial" w:cs="Arial" w:eastAsia="Arial" w:hAnsi="Arial"/>
          <w:color w:val="1A2340"/>
          <w:sz w:val="22"/>
          <w:szCs w:val="22"/>
        </w:rPr>
        <w:t xml:space="preserve">Operating system and application security updates must be applied within [14] business days of release, or immediately for critical/zero-day patches.</w:t>
      </w:r>
    </w:p>
    <w:p>
      <w:pPr>
        <w:pStyle w:val="ListParagraph"/>
        <w:numPr>
          <w:ilvl w:val="0"/>
          <w:numId w:val="2"/>
        </w:numPr>
        <w:spacing w:after="40" w:before="40"/>
      </w:pPr>
      <w:r>
        <w:rPr>
          <w:rFonts w:ascii="Arial" w:cs="Arial" w:eastAsia="Arial" w:hAnsi="Arial"/>
          <w:color w:val="1A2340"/>
          <w:sz w:val="22"/>
          <w:szCs w:val="22"/>
        </w:rPr>
        <w:t xml:space="preserve">Users must not disable, bypass, or modify security software, encryption, MDM agents, or monitoring tools installed by IT / Security.</w:t>
      </w:r>
    </w:p>
    <w:p>
      <w:pPr>
        <w:spacing w:after="40" w:before="0"/>
      </w:pPr>
      <w:r>
        <w:t xml:space="preserve"/>
      </w:r>
    </w:p>
    <w:p>
      <w:pPr>
        <w:pStyle w:val="Heading3"/>
        <w:spacing w:after="60" w:before="220"/>
      </w:pPr>
      <w:r>
        <w:rPr>
          <w:rFonts w:ascii="Arial" w:cs="Arial" w:eastAsia="Arial" w:hAnsi="Arial"/>
          <w:b/>
          <w:bCs/>
          <w:color w:val="4F46E5"/>
          <w:sz w:val="23"/>
          <w:szCs w:val="23"/>
        </w:rPr>
        <w:t xml:space="preserve">Device Assignment and Return</w:t>
      </w:r>
    </w:p>
    <w:p>
      <w:pPr>
        <w:pStyle w:val="ListParagraph"/>
        <w:numPr>
          <w:ilvl w:val="0"/>
          <w:numId w:val="2"/>
        </w:numPr>
        <w:spacing w:after="40" w:before="40"/>
      </w:pPr>
      <w:r>
        <w:rPr>
          <w:rFonts w:ascii="Arial" w:cs="Arial" w:eastAsia="Arial" w:hAnsi="Arial"/>
          <w:color w:val="1A2340"/>
          <w:sz w:val="22"/>
          <w:szCs w:val="22"/>
        </w:rPr>
        <w:t xml:space="preserve">Company devices are assigned to named individuals who are responsible for their safekeeping and compliant use.</w:t>
      </w:r>
    </w:p>
    <w:p>
      <w:pPr>
        <w:pStyle w:val="ListParagraph"/>
        <w:numPr>
          <w:ilvl w:val="0"/>
          <w:numId w:val="2"/>
        </w:numPr>
        <w:spacing w:after="40" w:before="40"/>
      </w:pPr>
      <w:r>
        <w:rPr>
          <w:rFonts w:ascii="Arial" w:cs="Arial" w:eastAsia="Arial" w:hAnsi="Arial"/>
          <w:color w:val="1A2340"/>
          <w:sz w:val="22"/>
          <w:szCs w:val="22"/>
        </w:rPr>
        <w:t xml:space="preserve">Users must not allow unauthorized individuals to use their assigned company device.</w:t>
      </w:r>
    </w:p>
    <w:p>
      <w:pPr>
        <w:pStyle w:val="ListParagraph"/>
        <w:numPr>
          <w:ilvl w:val="0"/>
          <w:numId w:val="2"/>
        </w:numPr>
        <w:spacing w:after="40" w:before="40"/>
      </w:pPr>
      <w:r>
        <w:rPr>
          <w:rFonts w:ascii="Arial" w:cs="Arial" w:eastAsia="Arial" w:hAnsi="Arial"/>
          <w:color w:val="1A2340"/>
          <w:sz w:val="22"/>
          <w:szCs w:val="22"/>
        </w:rPr>
        <w:t xml:space="preserve">Upon termination of employment or contract, all company devices must be returned to IT / Security within [2] business days. All company data on returned devices will be wiped.</w:t>
      </w:r>
    </w:p>
    <w:p>
      <w:pPr>
        <w:spacing w:after="40" w:before="0"/>
      </w:pPr>
      <w:r>
        <w:t xml:space="preserve"/>
      </w:r>
    </w:p>
    <w:p>
      <w:pPr>
        <w:pStyle w:val="Heading3"/>
        <w:spacing w:after="60" w:before="220"/>
      </w:pPr>
      <w:r>
        <w:rPr>
          <w:rFonts w:ascii="Arial" w:cs="Arial" w:eastAsia="Arial" w:hAnsi="Arial"/>
          <w:b/>
          <w:bCs/>
          <w:color w:val="4F46E5"/>
          <w:sz w:val="23"/>
          <w:szCs w:val="23"/>
        </w:rPr>
        <w:t xml:space="preserve">Lost or Stolen Devices</w:t>
      </w:r>
    </w:p>
    <w:p>
      <w:pPr>
        <w:pStyle w:val="ListParagraph"/>
        <w:numPr>
          <w:ilvl w:val="0"/>
          <w:numId w:val="2"/>
        </w:numPr>
        <w:spacing w:after="40" w:before="40"/>
      </w:pPr>
      <w:r>
        <w:rPr>
          <w:rFonts w:ascii="Arial" w:cs="Arial" w:eastAsia="Arial" w:hAnsi="Arial"/>
          <w:color w:val="1A2340"/>
          <w:sz w:val="22"/>
          <w:szCs w:val="22"/>
        </w:rPr>
        <w:t xml:space="preserve">Users must report lost or stolen company devices to IT / Security immediately (same business day if possible). IT / Security will initiate remote lock and wipe procedures.</w:t>
      </w:r>
    </w:p>
    <w:p>
      <w:pPr>
        <w:pStyle w:val="ListParagraph"/>
        <w:numPr>
          <w:ilvl w:val="0"/>
          <w:numId w:val="2"/>
        </w:numPr>
        <w:spacing w:after="40" w:before="40"/>
      </w:pPr>
      <w:r>
        <w:rPr>
          <w:rFonts w:ascii="Arial" w:cs="Arial" w:eastAsia="Arial" w:hAnsi="Arial"/>
          <w:color w:val="1A2340"/>
          <w:sz w:val="22"/>
          <w:szCs w:val="22"/>
        </w:rPr>
        <w:t xml:space="preserve">Users must file a police report for stolen devices and provide a copy to IT / Security and HR.</w:t>
      </w:r>
    </w:p>
    <w:p>
      <w:pPr>
        <w:pStyle w:val="Heading2"/>
        <w:spacing w:after="80" w:before="280"/>
      </w:pPr>
      <w:bookmarkStart w:name="s65" w:id="29"/>
      <w:r>
        <w:rPr>
          <w:rFonts w:ascii="Arial" w:cs="Arial" w:eastAsia="Arial" w:hAnsi="Arial"/>
          <w:b/>
          <w:bCs/>
          <w:color w:val="152168"/>
          <w:sz w:val="26"/>
          <w:szCs w:val="26"/>
        </w:rPr>
        <w:t xml:space="preserve">6.5  Device Management — BYOD</w:t>
      </w:r>
      <w:bookmarkEnd w:id="30"/>
    </w:p>
    <w:p>
      <w:pPr>
        <w:pBdr>
          <w:left w:val="single" w:color="07B4D9" w:sz="12" w:space="8"/>
        </w:pBdr>
        <w:spacing w:after="80" w:before="40"/>
      </w:pPr>
      <w:r>
        <w:rPr>
          <w:rFonts w:ascii="Arial" w:cs="Arial" w:eastAsia="Arial" w:hAnsi="Arial"/>
          <w:i/>
          <w:iCs/>
          <w:color w:val="4F46E5"/>
          <w:sz w:val="18"/>
          <w:szCs w:val="18"/>
        </w:rPr>
        <w:t xml:space="preserve">ISO 27001 Ref: A.6.2 (Terms and conditions of employment), A.8.1 (User endpoint devices) | NIST SP 800-53 Ref: AC-19 (Access Control for Mobile Devices), AC-20 (Use of External Systems)</w:t>
      </w:r>
    </w:p>
    <w:p>
      <w:pPr>
        <w:spacing w:after="80" w:before="60"/>
        <w:jc w:val="both"/>
      </w:pPr>
      <w:r>
        <w:rPr>
          <w:rFonts w:ascii="Arial" w:cs="Arial" w:eastAsia="Arial" w:hAnsi="Arial"/>
          <w:color w:val="1A2340"/>
          <w:sz w:val="22"/>
          <w:szCs w:val="22"/>
        </w:rPr>
        <w:t xml:space="preserve">[ORGANIZATION NAME] may permit authorized users to access company systems using personally owned devices (Bring Your Own Device — BYOD) subject to the conditions in this section. BYOD access is a privilege, not a right, and may be withdrawn at any time.</w:t>
      </w:r>
    </w:p>
    <w:p>
      <w:pPr>
        <w:spacing w:after="40" w:before="0"/>
      </w:pPr>
      <w:r>
        <w:t xml:space="preserve"/>
      </w:r>
    </w:p>
    <w:p>
      <w:pPr>
        <w:pStyle w:val="Heading3"/>
        <w:spacing w:after="60" w:before="220"/>
      </w:pPr>
      <w:r>
        <w:rPr>
          <w:rFonts w:ascii="Arial" w:cs="Arial" w:eastAsia="Arial" w:hAnsi="Arial"/>
          <w:b/>
          <w:bCs/>
          <w:color w:val="4F46E5"/>
          <w:sz w:val="23"/>
          <w:szCs w:val="23"/>
        </w:rPr>
        <w:t xml:space="preserve">Enrollment Requirements</w:t>
      </w:r>
    </w:p>
    <w:p>
      <w:pPr>
        <w:pStyle w:val="ListParagraph"/>
        <w:numPr>
          <w:ilvl w:val="0"/>
          <w:numId w:val="2"/>
        </w:numPr>
        <w:spacing w:after="40" w:before="40"/>
      </w:pPr>
      <w:r>
        <w:rPr>
          <w:rFonts w:ascii="Arial" w:cs="Arial" w:eastAsia="Arial" w:hAnsi="Arial"/>
          <w:color w:val="1A2340"/>
          <w:sz w:val="22"/>
          <w:szCs w:val="22"/>
        </w:rPr>
        <w:t xml:space="preserve">BYOD devices must be enrolled in the company MDM solution before being granted access to company email, applications, or data.</w:t>
      </w:r>
    </w:p>
    <w:p>
      <w:pPr>
        <w:pStyle w:val="ListParagraph"/>
        <w:numPr>
          <w:ilvl w:val="0"/>
          <w:numId w:val="2"/>
        </w:numPr>
        <w:spacing w:after="40" w:before="40"/>
      </w:pPr>
      <w:r>
        <w:rPr>
          <w:rFonts w:ascii="Arial" w:cs="Arial" w:eastAsia="Arial" w:hAnsi="Arial"/>
          <w:color w:val="1A2340"/>
          <w:sz w:val="22"/>
          <w:szCs w:val="22"/>
        </w:rPr>
        <w:t xml:space="preserve">Only devices running a currently supported and unmodified operating system are eligible for BYOD enrollment. Jailbroken or rooted devices are prohibited.</w:t>
      </w:r>
    </w:p>
    <w:p>
      <w:pPr>
        <w:pStyle w:val="ListParagraph"/>
        <w:numPr>
          <w:ilvl w:val="0"/>
          <w:numId w:val="2"/>
        </w:numPr>
        <w:spacing w:after="40" w:before="40"/>
      </w:pPr>
      <w:r>
        <w:rPr>
          <w:rFonts w:ascii="Arial" w:cs="Arial" w:eastAsia="Arial" w:hAnsi="Arial"/>
          <w:color w:val="1A2340"/>
          <w:sz w:val="22"/>
          <w:szCs w:val="22"/>
        </w:rPr>
        <w:t xml:space="preserve">BYOD devices must meet minimum security standards including: full-disk encryption, screen lock with PIN/biometric, and current OS version.</w:t>
      </w:r>
    </w:p>
    <w:p>
      <w:pPr>
        <w:spacing w:after="40" w:before="0"/>
      </w:pPr>
      <w:r>
        <w:t xml:space="preserve"/>
      </w:r>
    </w:p>
    <w:p>
      <w:pPr>
        <w:pStyle w:val="Heading3"/>
        <w:spacing w:after="60" w:before="220"/>
      </w:pPr>
      <w:r>
        <w:rPr>
          <w:rFonts w:ascii="Arial" w:cs="Arial" w:eastAsia="Arial" w:hAnsi="Arial"/>
          <w:b/>
          <w:bCs/>
          <w:color w:val="4F46E5"/>
          <w:sz w:val="23"/>
          <w:szCs w:val="23"/>
        </w:rPr>
        <w:t xml:space="preserve">MDM Consent and Remote Wipe</w:t>
      </w:r>
    </w:p>
    <w:p>
      <w:pPr>
        <w:spacing w:after="80" w:before="60"/>
        <w:jc w:val="both"/>
      </w:pPr>
      <w:r>
        <w:rPr>
          <w:rFonts w:ascii="Arial" w:cs="Arial" w:eastAsia="Arial" w:hAnsi="Arial"/>
          <w:color w:val="1A2340"/>
          <w:sz w:val="22"/>
          <w:szCs w:val="22"/>
        </w:rPr>
        <w:t xml:space="preserve">By enrolling a BYOD device, the user consents to the following:</w:t>
      </w:r>
    </w:p>
    <w:p>
      <w:pPr>
        <w:pStyle w:val="ListParagraph"/>
        <w:numPr>
          <w:ilvl w:val="0"/>
          <w:numId w:val="2"/>
        </w:numPr>
        <w:spacing w:after="40" w:before="40"/>
      </w:pPr>
      <w:r>
        <w:rPr>
          <w:rFonts w:ascii="Arial" w:cs="Arial" w:eastAsia="Arial" w:hAnsi="Arial"/>
          <w:color w:val="1A2340"/>
          <w:sz w:val="22"/>
          <w:szCs w:val="22"/>
        </w:rPr>
        <w:t xml:space="preserve">IT / Security may remotely wipe company data and applications from the device in the event of device loss, theft, termination of employment, or suspected security compromise.</w:t>
      </w:r>
    </w:p>
    <w:p>
      <w:pPr>
        <w:pStyle w:val="ListParagraph"/>
        <w:numPr>
          <w:ilvl w:val="0"/>
          <w:numId w:val="2"/>
        </w:numPr>
        <w:spacing w:after="40" w:before="40"/>
      </w:pPr>
      <w:r>
        <w:rPr>
          <w:rFonts w:ascii="Arial" w:cs="Arial" w:eastAsia="Arial" w:hAnsi="Arial"/>
          <w:color w:val="1A2340"/>
          <w:sz w:val="22"/>
          <w:szCs w:val="22"/>
        </w:rPr>
        <w:t xml:space="preserve">IT / Security may enforce security policies on the device, including encryption, screen lock, and application management, to the extent applicable to the company data workspace.</w:t>
      </w:r>
    </w:p>
    <w:p>
      <w:pPr>
        <w:pStyle w:val="ListParagraph"/>
        <w:numPr>
          <w:ilvl w:val="0"/>
          <w:numId w:val="2"/>
        </w:numPr>
        <w:spacing w:after="40" w:before="40"/>
      </w:pPr>
      <w:r>
        <w:rPr>
          <w:rFonts w:ascii="Arial" w:cs="Arial" w:eastAsia="Arial" w:hAnsi="Arial"/>
          <w:color w:val="1A2340"/>
          <w:sz w:val="22"/>
          <w:szCs w:val="22"/>
        </w:rPr>
        <w:t xml:space="preserve">Activity on the company workspace (email, company applications, company network access) is subject to monitoring as described in Section 6.13. Personal applications and data outside the company workspace are not monitored.</w:t>
      </w:r>
    </w:p>
    <w:p>
      <w:pPr>
        <w:spacing w:after="40" w:before="0"/>
      </w:pPr>
      <w:r>
        <w:t xml:space="preserve"/>
      </w:r>
    </w:p>
    <w:p>
      <w:pPr>
        <w:pStyle w:val="Heading3"/>
        <w:spacing w:after="60" w:before="220"/>
      </w:pPr>
      <w:r>
        <w:rPr>
          <w:rFonts w:ascii="Arial" w:cs="Arial" w:eastAsia="Arial" w:hAnsi="Arial"/>
          <w:b/>
          <w:bCs/>
          <w:color w:val="4F46E5"/>
          <w:sz w:val="23"/>
          <w:szCs w:val="23"/>
        </w:rPr>
        <w:t xml:space="preserve">Separation of Data</w:t>
      </w:r>
    </w:p>
    <w:p>
      <w:pPr>
        <w:pStyle w:val="ListParagraph"/>
        <w:numPr>
          <w:ilvl w:val="0"/>
          <w:numId w:val="2"/>
        </w:numPr>
        <w:spacing w:after="40" w:before="40"/>
      </w:pPr>
      <w:r>
        <w:rPr>
          <w:rFonts w:ascii="Arial" w:cs="Arial" w:eastAsia="Arial" w:hAnsi="Arial"/>
          <w:color w:val="1A2340"/>
          <w:sz w:val="22"/>
          <w:szCs w:val="22"/>
        </w:rPr>
        <w:t xml:space="preserve">Company data must be kept in company-approved applications and the company-managed workspace on the device. Users must not copy or move company data to personal applications or personal storage.</w:t>
      </w:r>
    </w:p>
    <w:p>
      <w:pPr>
        <w:pStyle w:val="ListParagraph"/>
        <w:numPr>
          <w:ilvl w:val="0"/>
          <w:numId w:val="2"/>
        </w:numPr>
        <w:spacing w:after="40" w:before="40"/>
      </w:pPr>
      <w:r>
        <w:rPr>
          <w:rFonts w:ascii="Arial" w:cs="Arial" w:eastAsia="Arial" w:hAnsi="Arial"/>
          <w:color w:val="1A2340"/>
          <w:sz w:val="22"/>
          <w:szCs w:val="22"/>
        </w:rPr>
        <w:t xml:space="preserve">On unenrollment or device disposal, the user is responsible for ensuring that company data is removed. IT / Security will perform a selective wipe of company data from enrolled devices upon request or upon termination.</w:t>
      </w:r>
    </w:p>
    <w:p>
      <w:pPr>
        <w:pStyle w:val="Heading2"/>
        <w:spacing w:after="80" w:before="280"/>
      </w:pPr>
      <w:bookmarkStart w:name="s66" w:id="31"/>
      <w:r>
        <w:rPr>
          <w:rFonts w:ascii="Arial" w:cs="Arial" w:eastAsia="Arial" w:hAnsi="Arial"/>
          <w:b/>
          <w:bCs/>
          <w:color w:val="152168"/>
          <w:sz w:val="26"/>
          <w:szCs w:val="26"/>
        </w:rPr>
        <w:t xml:space="preserve">6.6  Data Classification and Handling</w:t>
      </w:r>
      <w:bookmarkEnd w:id="32"/>
    </w:p>
    <w:p>
      <w:pPr>
        <w:pBdr>
          <w:left w:val="single" w:color="07B4D9" w:sz="12" w:space="8"/>
        </w:pBdr>
        <w:spacing w:after="80" w:before="40"/>
      </w:pPr>
      <w:r>
        <w:rPr>
          <w:rFonts w:ascii="Arial" w:cs="Arial" w:eastAsia="Arial" w:hAnsi="Arial"/>
          <w:i/>
          <w:iCs/>
          <w:color w:val="4F46E5"/>
          <w:sz w:val="18"/>
          <w:szCs w:val="18"/>
        </w:rPr>
        <w:t xml:space="preserve">ISO 27001 Ref: A.5.12 (Classification of information), A.5.13 (Labelling of information), A.5.33 (Protection of records) | NIST SP 800-53 Ref: AC-16 (Security and Privacy Attributes), MP-3 (Media Marking)</w:t>
      </w:r>
    </w:p>
    <w:p>
      <w:pPr>
        <w:spacing w:after="80" w:before="60"/>
        <w:jc w:val="both"/>
      </w:pPr>
      <w:r>
        <w:rPr>
          <w:rFonts w:ascii="Arial" w:cs="Arial" w:eastAsia="Arial" w:hAnsi="Arial"/>
          <w:color w:val="1A2340"/>
          <w:sz w:val="22"/>
          <w:szCs w:val="22"/>
        </w:rPr>
        <w:t xml:space="preserve">[ORGANIZATION NAME] classifies all data into one of four tiers. The Data Classification Policy is the governing document for classification rules and handling standards. The key handling requirements for each tier are summarized below.</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20"/>
        <w:gridCol w:w="3240"/>
        <w:gridCol w:w="3600"/>
      </w:tblGrid>
      <w:tr>
        <w:tc>
          <w:tcPr>
            <w:tcW w:type="dxa" w:w="1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Tier</w:t>
            </w:r>
          </w:p>
        </w:tc>
        <w:tc>
          <w:tcPr>
            <w:tcW w:type="dxa" w:w="132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c>
          <w:tcPr>
            <w:tcW w:type="dxa" w:w="324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Examples</w:t>
            </w:r>
          </w:p>
        </w:tc>
        <w:tc>
          <w:tcPr>
            <w:tcW w:type="dxa" w:w="36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Handling Requirements</w:t>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Public</w:t>
            </w:r>
          </w:p>
        </w:tc>
        <w:tc>
          <w:tcPr>
            <w:tcW w:type="dxa" w:w="13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Data approved for public distribution. No restrictions on sharing.</w:t>
            </w:r>
          </w:p>
        </w:tc>
        <w:tc>
          <w:tcPr>
            <w:tcW w:type="dxa" w:w="32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Marketing materials, public website content, published reports, press releases.</w:t>
            </w:r>
          </w:p>
        </w:tc>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No special handling required. Confirm classification before sharing externally.</w:t>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Internal</w:t>
            </w:r>
          </w:p>
        </w:tc>
        <w:tc>
          <w:tcPr>
            <w:tcW w:type="dxa" w:w="13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Data intended for internal use only. Not for external distribution without authorization.</w:t>
            </w:r>
          </w:p>
        </w:tc>
        <w:tc>
          <w:tcPr>
            <w:tcW w:type="dxa" w:w="32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Internal procedures, meeting minutes, org charts, project plans, general internal communications.</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Do not share externally without manager approval. Transmit via company email or approved platforms only.</w:t>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Confidential</w:t>
            </w:r>
          </w:p>
        </w:tc>
        <w:tc>
          <w:tcPr>
            <w:tcW w:type="dxa" w:w="13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Sensitive business or client data with significant risk if disclosed. Restricted to need-to-know.</w:t>
            </w:r>
          </w:p>
        </w:tc>
        <w:tc>
          <w:tcPr>
            <w:tcW w:type="dxa" w:w="32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Client data, financial information, contracts, HR records, security configurations, vendor assessments.</w:t>
            </w:r>
          </w:p>
        </w:tc>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Encrypt in transit and at rest. Share only with authorized individuals. Do not store on personal devices or unapproved cloud services.</w:t>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Restricted</w:t>
            </w:r>
          </w:p>
        </w:tc>
        <w:tc>
          <w:tcPr>
            <w:tcW w:type="dxa" w:w="13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Highest sensitivity. Strict access controls. Disclosure could cause severe harm or regulatory consequence.</w:t>
            </w:r>
          </w:p>
        </w:tc>
        <w:tc>
          <w:tcPr>
            <w:tcW w:type="dxa" w:w="32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PII, payment card data (PCI scope), health data, authentication credentials, cryptographic keys, legal privilege material.</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Encrypt with strong encryption. Access via approved secure systems only. No personal devices. Audit logging required. Report any potential exposure immediately.</w:t>
            </w:r>
          </w:p>
        </w:tc>
      </w:tr>
    </w:tbl>
    <w:p>
      <w:pPr>
        <w:spacing w:after="80" w:before="0"/>
      </w:pPr>
      <w:r>
        <w:t xml:space="preserve"/>
      </w:r>
    </w:p>
    <w:p>
      <w:pPr>
        <w:spacing w:after="60" w:before="40"/>
        <w:jc w:val="both"/>
      </w:pPr>
      <w:r>
        <w:rPr>
          <w:rFonts w:ascii="Arial" w:cs="Arial" w:eastAsia="Arial" w:hAnsi="Arial"/>
          <w:i/>
          <w:iCs/>
          <w:color w:val="5A6A8A"/>
          <w:sz w:val="19"/>
          <w:szCs w:val="19"/>
        </w:rPr>
        <w:t xml:space="preserve">Where this policy and the Data Classification Policy conflict, the Data Classification Policy prevails for classification and handling matters. All users must complete data handling awareness training annually.</w:t>
      </w:r>
    </w:p>
    <w:p>
      <w:pPr>
        <w:pStyle w:val="Heading2"/>
        <w:spacing w:after="80" w:before="280"/>
      </w:pPr>
      <w:bookmarkStart w:name="s67" w:id="33"/>
      <w:r>
        <w:rPr>
          <w:rFonts w:ascii="Arial" w:cs="Arial" w:eastAsia="Arial" w:hAnsi="Arial"/>
          <w:b/>
          <w:bCs/>
          <w:color w:val="152168"/>
          <w:sz w:val="26"/>
          <w:szCs w:val="26"/>
        </w:rPr>
        <w:t xml:space="preserve">6.7  Social Media</w:t>
      </w:r>
      <w:bookmarkEnd w:id="34"/>
    </w:p>
    <w:p>
      <w:pPr>
        <w:pBdr>
          <w:left w:val="single" w:color="07B4D9" w:sz="12" w:space="8"/>
        </w:pBdr>
        <w:spacing w:after="80" w:before="40"/>
      </w:pPr>
      <w:r>
        <w:rPr>
          <w:rFonts w:ascii="Arial" w:cs="Arial" w:eastAsia="Arial" w:hAnsi="Arial"/>
          <w:i/>
          <w:iCs/>
          <w:color w:val="4F46E5"/>
          <w:sz w:val="18"/>
          <w:szCs w:val="18"/>
        </w:rPr>
        <w:t xml:space="preserve">ISO 27001 Ref: A.5.10 (Acceptable use of information), A.6.2 (Terms and conditions of employment) | NIST SP 800-53 Ref: PL-4 (Rules of Behavior), AT-2 (Literacy Training and Awareness)</w:t>
      </w:r>
    </w:p>
    <w:p>
      <w:pPr>
        <w:spacing w:after="80" w:before="60"/>
        <w:jc w:val="both"/>
      </w:pPr>
      <w:r>
        <w:rPr>
          <w:rFonts w:ascii="Arial" w:cs="Arial" w:eastAsia="Arial" w:hAnsi="Arial"/>
          <w:color w:val="1A2340"/>
          <w:sz w:val="22"/>
          <w:szCs w:val="22"/>
        </w:rPr>
        <w:t xml:space="preserve">Social media platforms present both an opportunity and a risk to [ORGANIZATION NAME]. This section governs the use of social media in the context of employment, whether on personal or company accounts.</w:t>
      </w:r>
    </w:p>
    <w:p>
      <w:pPr>
        <w:spacing w:after="40" w:before="0"/>
      </w:pPr>
      <w:r>
        <w:t xml:space="preserve"/>
      </w:r>
    </w:p>
    <w:p>
      <w:pPr>
        <w:pStyle w:val="Heading3"/>
        <w:spacing w:after="60" w:before="220"/>
      </w:pPr>
      <w:r>
        <w:rPr>
          <w:rFonts w:ascii="Arial" w:cs="Arial" w:eastAsia="Arial" w:hAnsi="Arial"/>
          <w:b/>
          <w:bCs/>
          <w:color w:val="4F46E5"/>
          <w:sz w:val="23"/>
          <w:szCs w:val="23"/>
        </w:rPr>
        <w:t xml:space="preserve">Professional Use — Company Accounts</w:t>
      </w:r>
    </w:p>
    <w:p>
      <w:pPr>
        <w:pStyle w:val="ListParagraph"/>
        <w:numPr>
          <w:ilvl w:val="0"/>
          <w:numId w:val="2"/>
        </w:numPr>
        <w:spacing w:after="40" w:before="40"/>
      </w:pPr>
      <w:r>
        <w:rPr>
          <w:rFonts w:ascii="Arial" w:cs="Arial" w:eastAsia="Arial" w:hAnsi="Arial"/>
          <w:color w:val="1A2340"/>
          <w:sz w:val="22"/>
          <w:szCs w:val="22"/>
        </w:rPr>
        <w:t xml:space="preserve">Only authorized individuals (typically Marketing, Communications, or senior leadership) may post on behalf of [ORGANIZATION NAME] using official company social media accounts.</w:t>
      </w:r>
    </w:p>
    <w:p>
      <w:pPr>
        <w:pStyle w:val="ListParagraph"/>
        <w:numPr>
          <w:ilvl w:val="0"/>
          <w:numId w:val="2"/>
        </w:numPr>
        <w:spacing w:after="40" w:before="40"/>
      </w:pPr>
      <w:r>
        <w:rPr>
          <w:rFonts w:ascii="Arial" w:cs="Arial" w:eastAsia="Arial" w:hAnsi="Arial"/>
          <w:color w:val="1A2340"/>
          <w:sz w:val="22"/>
          <w:szCs w:val="22"/>
        </w:rPr>
        <w:t xml:space="preserve">All content posted on official company accounts must be reviewed and approved per the applicable communications or marketing policy before publishing.</w:t>
      </w:r>
    </w:p>
    <w:p>
      <w:pPr>
        <w:pStyle w:val="ListParagraph"/>
        <w:numPr>
          <w:ilvl w:val="0"/>
          <w:numId w:val="2"/>
        </w:numPr>
        <w:spacing w:after="40" w:before="40"/>
      </w:pPr>
      <w:r>
        <w:rPr>
          <w:rFonts w:ascii="Arial" w:cs="Arial" w:eastAsia="Arial" w:hAnsi="Arial"/>
          <w:color w:val="1A2340"/>
          <w:sz w:val="22"/>
          <w:szCs w:val="22"/>
        </w:rPr>
        <w:t xml:space="preserve">Company accounts must not be used to post political opinions, personal commentary, or content unrelated to [ORGANIZATION NAME]'s business.</w:t>
      </w:r>
    </w:p>
    <w:p>
      <w:pPr>
        <w:spacing w:after="40" w:before="0"/>
      </w:pPr>
      <w:r>
        <w:t xml:space="preserve"/>
      </w:r>
    </w:p>
    <w:p>
      <w:pPr>
        <w:pStyle w:val="Heading3"/>
        <w:spacing w:after="60" w:before="220"/>
      </w:pPr>
      <w:r>
        <w:rPr>
          <w:rFonts w:ascii="Arial" w:cs="Arial" w:eastAsia="Arial" w:hAnsi="Arial"/>
          <w:b/>
          <w:bCs/>
          <w:color w:val="4F46E5"/>
          <w:sz w:val="23"/>
          <w:szCs w:val="23"/>
        </w:rPr>
        <w:t xml:space="preserve">Personal Social Media Use by Employees</w:t>
      </w:r>
    </w:p>
    <w:p>
      <w:pPr>
        <w:pStyle w:val="ListParagraph"/>
        <w:numPr>
          <w:ilvl w:val="0"/>
          <w:numId w:val="2"/>
        </w:numPr>
        <w:spacing w:after="40" w:before="40"/>
      </w:pPr>
      <w:r>
        <w:rPr>
          <w:rFonts w:ascii="Arial" w:cs="Arial" w:eastAsia="Arial" w:hAnsi="Arial"/>
          <w:color w:val="1A2340"/>
          <w:sz w:val="22"/>
          <w:szCs w:val="22"/>
        </w:rPr>
        <w:t xml:space="preserve">Employees are responsible for all content they publish on personal social media accounts, including content published outside of working hours.</w:t>
      </w:r>
    </w:p>
    <w:p>
      <w:pPr>
        <w:pStyle w:val="ListParagraph"/>
        <w:numPr>
          <w:ilvl w:val="0"/>
          <w:numId w:val="2"/>
        </w:numPr>
        <w:spacing w:after="40" w:before="40"/>
      </w:pPr>
      <w:r>
        <w:rPr>
          <w:rFonts w:ascii="Arial" w:cs="Arial" w:eastAsia="Arial" w:hAnsi="Arial"/>
          <w:color w:val="1A2340"/>
          <w:sz w:val="22"/>
          <w:szCs w:val="22"/>
        </w:rPr>
        <w:t xml:space="preserve">Employees must not disclose Confidential or Restricted information on social media, including client names, contract details, internal security information, or non-public financial data.</w:t>
      </w:r>
    </w:p>
    <w:p>
      <w:pPr>
        <w:pStyle w:val="ListParagraph"/>
        <w:numPr>
          <w:ilvl w:val="0"/>
          <w:numId w:val="2"/>
        </w:numPr>
        <w:spacing w:after="40" w:before="40"/>
      </w:pPr>
      <w:r>
        <w:rPr>
          <w:rFonts w:ascii="Arial" w:cs="Arial" w:eastAsia="Arial" w:hAnsi="Arial"/>
          <w:color w:val="1A2340"/>
          <w:sz w:val="22"/>
          <w:szCs w:val="22"/>
        </w:rPr>
        <w:t xml:space="preserve">Employees who identify themselves as working for [ORGANIZATION NAME] on personal social media should make clear that views expressed are their own and do not represent the company.</w:t>
      </w:r>
    </w:p>
    <w:p>
      <w:pPr>
        <w:pStyle w:val="ListParagraph"/>
        <w:numPr>
          <w:ilvl w:val="0"/>
          <w:numId w:val="2"/>
        </w:numPr>
        <w:spacing w:after="40" w:before="40"/>
      </w:pPr>
      <w:r>
        <w:rPr>
          <w:rFonts w:ascii="Arial" w:cs="Arial" w:eastAsia="Arial" w:hAnsi="Arial"/>
          <w:color w:val="1A2340"/>
          <w:sz w:val="22"/>
          <w:szCs w:val="22"/>
        </w:rPr>
        <w:t xml:space="preserve">Employees must not post content that is harassing, discriminatory, defamatory, or threatening towards colleagues, clients, competitors, or any other party.</w:t>
      </w:r>
    </w:p>
    <w:p>
      <w:pPr>
        <w:pStyle w:val="ListParagraph"/>
        <w:numPr>
          <w:ilvl w:val="0"/>
          <w:numId w:val="2"/>
        </w:numPr>
        <w:spacing w:after="40" w:before="40"/>
      </w:pPr>
      <w:r>
        <w:rPr>
          <w:rFonts w:ascii="Arial" w:cs="Arial" w:eastAsia="Arial" w:hAnsi="Arial"/>
          <w:color w:val="1A2340"/>
          <w:sz w:val="22"/>
          <w:szCs w:val="22"/>
        </w:rPr>
        <w:t xml:space="preserve">Social media must not be used to disparage [ORGANIZATION NAME], its clients, or its partners.</w:t>
      </w:r>
    </w:p>
    <w:p>
      <w:pPr>
        <w:spacing w:after="40" w:before="0"/>
      </w:pPr>
      <w:r>
        <w:t xml:space="preserve"/>
      </w:r>
    </w:p>
    <w:p>
      <w:pPr>
        <w:pStyle w:val="Heading3"/>
        <w:spacing w:after="60" w:before="220"/>
      </w:pPr>
      <w:r>
        <w:rPr>
          <w:rFonts w:ascii="Arial" w:cs="Arial" w:eastAsia="Arial" w:hAnsi="Arial"/>
          <w:b/>
          <w:bCs/>
          <w:color w:val="4F46E5"/>
          <w:sz w:val="23"/>
          <w:szCs w:val="23"/>
        </w:rPr>
        <w:t xml:space="preserve">Brand Representation Rules</w:t>
      </w:r>
    </w:p>
    <w:p>
      <w:pPr>
        <w:pStyle w:val="ListParagraph"/>
        <w:numPr>
          <w:ilvl w:val="0"/>
          <w:numId w:val="2"/>
        </w:numPr>
        <w:spacing w:after="40" w:before="40"/>
      </w:pPr>
      <w:r>
        <w:rPr>
          <w:rFonts w:ascii="Arial" w:cs="Arial" w:eastAsia="Arial" w:hAnsi="Arial"/>
          <w:color w:val="1A2340"/>
          <w:sz w:val="22"/>
          <w:szCs w:val="22"/>
        </w:rPr>
        <w:t xml:space="preserve">Do not use [ORGANIZATION NAME] logos, trademarks, or brand assets on personal social media profiles without prior written approval from [ORGANIZATION NAME] leadership.</w:t>
      </w:r>
    </w:p>
    <w:p>
      <w:pPr>
        <w:pStyle w:val="ListParagraph"/>
        <w:numPr>
          <w:ilvl w:val="0"/>
          <w:numId w:val="2"/>
        </w:numPr>
        <w:spacing w:after="40" w:before="40"/>
      </w:pPr>
      <w:r>
        <w:rPr>
          <w:rFonts w:ascii="Arial" w:cs="Arial" w:eastAsia="Arial" w:hAnsi="Arial"/>
          <w:color w:val="1A2340"/>
          <w:sz w:val="22"/>
          <w:szCs w:val="22"/>
        </w:rPr>
        <w:t xml:space="preserve">Do not represent yourself as an official spokesperson for [ORGANIZATION NAME] without explicit authorization.</w:t>
      </w:r>
    </w:p>
    <w:p>
      <w:pPr>
        <w:pStyle w:val="ListParagraph"/>
        <w:numPr>
          <w:ilvl w:val="0"/>
          <w:numId w:val="2"/>
        </w:numPr>
        <w:spacing w:after="40" w:before="40"/>
      </w:pPr>
      <w:r>
        <w:rPr>
          <w:rFonts w:ascii="Arial" w:cs="Arial" w:eastAsia="Arial" w:hAnsi="Arial"/>
          <w:color w:val="1A2340"/>
          <w:sz w:val="22"/>
          <w:szCs w:val="22"/>
        </w:rPr>
        <w:t xml:space="preserve">When sharing [ORGANIZATION NAME] content, use only approved materials from official channels.</w:t>
      </w:r>
    </w:p>
    <w:p>
      <w:pPr>
        <w:pStyle w:val="Heading2"/>
        <w:spacing w:after="80" w:before="280"/>
      </w:pPr>
      <w:bookmarkStart w:name="s68" w:id="35"/>
      <w:r>
        <w:rPr>
          <w:rFonts w:ascii="Arial" w:cs="Arial" w:eastAsia="Arial" w:hAnsi="Arial"/>
          <w:b/>
          <w:bCs/>
          <w:color w:val="152168"/>
          <w:sz w:val="26"/>
          <w:szCs w:val="26"/>
        </w:rPr>
        <w:t xml:space="preserve">6.8  Remote Access and VPN</w:t>
      </w:r>
      <w:bookmarkEnd w:id="36"/>
    </w:p>
    <w:p>
      <w:pPr>
        <w:pBdr>
          <w:left w:val="single" w:color="07B4D9" w:sz="12" w:space="8"/>
        </w:pBdr>
        <w:spacing w:after="80" w:before="40"/>
      </w:pPr>
      <w:r>
        <w:rPr>
          <w:rFonts w:ascii="Arial" w:cs="Arial" w:eastAsia="Arial" w:hAnsi="Arial"/>
          <w:i/>
          <w:iCs/>
          <w:color w:val="4F46E5"/>
          <w:sz w:val="18"/>
          <w:szCs w:val="18"/>
        </w:rPr>
        <w:t xml:space="preserve">ISO 27001 Ref: A.6.7 (Remote working), A.8.20 (Networks security) | NIST SP 800-53 Ref: AC-17 (Remote Access), IA-2 (Identification and Authentication), SC-8 (Transmission Confidentiality and Integrity)</w:t>
      </w:r>
    </w:p>
    <w:p>
      <w:pPr>
        <w:spacing w:after="80" w:before="60"/>
        <w:jc w:val="both"/>
      </w:pPr>
      <w:r>
        <w:rPr>
          <w:rFonts w:ascii="Arial" w:cs="Arial" w:eastAsia="Arial" w:hAnsi="Arial"/>
          <w:color w:val="1A2340"/>
          <w:sz w:val="22"/>
          <w:szCs w:val="22"/>
        </w:rPr>
        <w:t xml:space="preserve">Remote access to [ORGANIZATION NAME] systems is a critical enabler of flexible working. It introduces additional security risk that must be managed through technical controls and user compliance.</w:t>
      </w:r>
    </w:p>
    <w:p>
      <w:pPr>
        <w:spacing w:after="40" w:before="0"/>
      </w:pPr>
      <w:r>
        <w:t xml:space="preserve"/>
      </w:r>
    </w:p>
    <w:p>
      <w:pPr>
        <w:pStyle w:val="Heading3"/>
        <w:spacing w:after="60" w:before="220"/>
      </w:pPr>
      <w:r>
        <w:rPr>
          <w:rFonts w:ascii="Arial" w:cs="Arial" w:eastAsia="Arial" w:hAnsi="Arial"/>
          <w:b/>
          <w:bCs/>
          <w:color w:val="4F46E5"/>
          <w:sz w:val="23"/>
          <w:szCs w:val="23"/>
        </w:rPr>
        <w:t xml:space="preserve">VPN Requirement</w:t>
      </w:r>
    </w:p>
    <w:p>
      <w:pPr>
        <w:pStyle w:val="ListParagraph"/>
        <w:numPr>
          <w:ilvl w:val="0"/>
          <w:numId w:val="2"/>
        </w:numPr>
        <w:spacing w:after="40" w:before="40"/>
      </w:pPr>
      <w:r>
        <w:rPr>
          <w:rFonts w:ascii="Arial" w:cs="Arial" w:eastAsia="Arial" w:hAnsi="Arial"/>
          <w:color w:val="1A2340"/>
          <w:sz w:val="22"/>
          <w:szCs w:val="22"/>
        </w:rPr>
        <w:t xml:space="preserve">A VPN connection to [ORGANIZATION NAME]'s approved VPN service is required when accessing company resources from any network not managed by [ORGANIZATION NAME] (e.g., home networks, hotel networks, public hotspots).</w:t>
      </w:r>
    </w:p>
    <w:p>
      <w:pPr>
        <w:pStyle w:val="ListParagraph"/>
        <w:numPr>
          <w:ilvl w:val="0"/>
          <w:numId w:val="2"/>
        </w:numPr>
        <w:spacing w:after="40" w:before="40"/>
      </w:pPr>
      <w:r>
        <w:rPr>
          <w:rFonts w:ascii="Arial" w:cs="Arial" w:eastAsia="Arial" w:hAnsi="Arial"/>
          <w:color w:val="1A2340"/>
          <w:sz w:val="22"/>
          <w:szCs w:val="22"/>
        </w:rPr>
        <w:t xml:space="preserve">Cloud-hosted applications with independent authentication (e.g., company-approved SaaS) may be accessed without VPN, subject to MFA as required by Section 6.12.</w:t>
      </w:r>
    </w:p>
    <w:p>
      <w:pPr>
        <w:pStyle w:val="ListParagraph"/>
        <w:numPr>
          <w:ilvl w:val="0"/>
          <w:numId w:val="2"/>
        </w:numPr>
        <w:spacing w:after="40" w:before="40"/>
      </w:pPr>
      <w:r>
        <w:rPr>
          <w:rFonts w:ascii="Arial" w:cs="Arial" w:eastAsia="Arial" w:hAnsi="Arial"/>
          <w:color w:val="1A2340"/>
          <w:sz w:val="22"/>
          <w:szCs w:val="22"/>
        </w:rPr>
        <w:t xml:space="preserve">Users must not use personal or third-party VPN services to access company resources or to circumvent company monitoring and filtering controls.</w:t>
      </w:r>
    </w:p>
    <w:p>
      <w:pPr>
        <w:spacing w:after="40" w:before="0"/>
      </w:pPr>
      <w:r>
        <w:t xml:space="preserve"/>
      </w:r>
    </w:p>
    <w:p>
      <w:pPr>
        <w:pStyle w:val="Heading3"/>
        <w:spacing w:after="60" w:before="220"/>
      </w:pPr>
      <w:r>
        <w:rPr>
          <w:rFonts w:ascii="Arial" w:cs="Arial" w:eastAsia="Arial" w:hAnsi="Arial"/>
          <w:b/>
          <w:bCs/>
          <w:color w:val="4F46E5"/>
          <w:sz w:val="23"/>
          <w:szCs w:val="23"/>
        </w:rPr>
        <w:t xml:space="preserve">Public Wi-Fi</w:t>
      </w:r>
    </w:p>
    <w:p>
      <w:pPr>
        <w:pStyle w:val="ListParagraph"/>
        <w:numPr>
          <w:ilvl w:val="0"/>
          <w:numId w:val="2"/>
        </w:numPr>
        <w:spacing w:after="40" w:before="40"/>
      </w:pPr>
      <w:r>
        <w:rPr>
          <w:rFonts w:ascii="Arial" w:cs="Arial" w:eastAsia="Arial" w:hAnsi="Arial"/>
          <w:color w:val="1A2340"/>
          <w:sz w:val="22"/>
          <w:szCs w:val="22"/>
        </w:rPr>
        <w:t xml:space="preserve">Users must connect to the company VPN before accessing any company system or data over a public Wi-Fi network (including airports, hotels, coffee shops, and conference venues).</w:t>
      </w:r>
    </w:p>
    <w:p>
      <w:pPr>
        <w:pStyle w:val="ListParagraph"/>
        <w:numPr>
          <w:ilvl w:val="0"/>
          <w:numId w:val="2"/>
        </w:numPr>
        <w:spacing w:after="40" w:before="40"/>
      </w:pPr>
      <w:r>
        <w:rPr>
          <w:rFonts w:ascii="Arial" w:cs="Arial" w:eastAsia="Arial" w:hAnsi="Arial"/>
          <w:color w:val="1A2340"/>
          <w:sz w:val="22"/>
          <w:szCs w:val="22"/>
        </w:rPr>
        <w:t xml:space="preserve">Users must not conduct video calls, voice calls, or sensitive discussions in public locations where the content may be overheard.</w:t>
      </w:r>
    </w:p>
    <w:p>
      <w:pPr>
        <w:pStyle w:val="ListParagraph"/>
        <w:numPr>
          <w:ilvl w:val="0"/>
          <w:numId w:val="2"/>
        </w:numPr>
        <w:spacing w:after="40" w:before="40"/>
      </w:pPr>
      <w:r>
        <w:rPr>
          <w:rFonts w:ascii="Arial" w:cs="Arial" w:eastAsia="Arial" w:hAnsi="Arial"/>
          <w:color w:val="1A2340"/>
          <w:sz w:val="22"/>
          <w:szCs w:val="22"/>
        </w:rPr>
        <w:t xml:space="preserve">Users must not use public Wi-Fi for activities involving Confidential or Restricted data without an active VPN connection.</w:t>
      </w:r>
    </w:p>
    <w:p>
      <w:pPr>
        <w:spacing w:after="40" w:before="0"/>
      </w:pPr>
      <w:r>
        <w:t xml:space="preserve"/>
      </w:r>
    </w:p>
    <w:p>
      <w:pPr>
        <w:pStyle w:val="Heading3"/>
        <w:spacing w:after="60" w:before="220"/>
      </w:pPr>
      <w:r>
        <w:rPr>
          <w:rFonts w:ascii="Arial" w:cs="Arial" w:eastAsia="Arial" w:hAnsi="Arial"/>
          <w:b/>
          <w:bCs/>
          <w:color w:val="4F46E5"/>
          <w:sz w:val="23"/>
          <w:szCs w:val="23"/>
        </w:rPr>
        <w:t xml:space="preserve">Home Network Security</w:t>
      </w:r>
    </w:p>
    <w:p>
      <w:pPr>
        <w:pStyle w:val="ListParagraph"/>
        <w:numPr>
          <w:ilvl w:val="0"/>
          <w:numId w:val="2"/>
        </w:numPr>
        <w:spacing w:after="40" w:before="40"/>
      </w:pPr>
      <w:r>
        <w:rPr>
          <w:rFonts w:ascii="Arial" w:cs="Arial" w:eastAsia="Arial" w:hAnsi="Arial"/>
          <w:color w:val="1A2340"/>
          <w:sz w:val="22"/>
          <w:szCs w:val="22"/>
        </w:rPr>
        <w:t xml:space="preserve">Users working from home are responsible for ensuring their home network router uses WPA2 or WPA3 encryption and a strong, unique password.</w:t>
      </w:r>
    </w:p>
    <w:p>
      <w:pPr>
        <w:pStyle w:val="ListParagraph"/>
        <w:numPr>
          <w:ilvl w:val="0"/>
          <w:numId w:val="2"/>
        </w:numPr>
        <w:spacing w:after="40" w:before="40"/>
      </w:pPr>
      <w:r>
        <w:rPr>
          <w:rFonts w:ascii="Arial" w:cs="Arial" w:eastAsia="Arial" w:hAnsi="Arial"/>
          <w:color w:val="1A2340"/>
          <w:sz w:val="22"/>
          <w:szCs w:val="22"/>
        </w:rPr>
        <w:t xml:space="preserve">Home routers must have the default administrator password changed. Firmware must be kept up to date.</w:t>
      </w:r>
    </w:p>
    <w:p>
      <w:pPr>
        <w:pStyle w:val="ListParagraph"/>
        <w:numPr>
          <w:ilvl w:val="0"/>
          <w:numId w:val="2"/>
        </w:numPr>
        <w:spacing w:after="40" w:before="40"/>
      </w:pPr>
      <w:r>
        <w:rPr>
          <w:rFonts w:ascii="Arial" w:cs="Arial" w:eastAsia="Arial" w:hAnsi="Arial"/>
          <w:color w:val="1A2340"/>
          <w:sz w:val="22"/>
          <w:szCs w:val="22"/>
        </w:rPr>
        <w:t xml:space="preserve">Users should segment work devices from personal and IoT devices on their home network where technically feasible (e.g., using a guest SSID for non-work devices).</w:t>
      </w:r>
    </w:p>
    <w:p>
      <w:pPr>
        <w:pStyle w:val="ListParagraph"/>
        <w:numPr>
          <w:ilvl w:val="0"/>
          <w:numId w:val="2"/>
        </w:numPr>
        <w:spacing w:after="40" w:before="40"/>
      </w:pPr>
      <w:r>
        <w:rPr>
          <w:rFonts w:ascii="Arial" w:cs="Arial" w:eastAsia="Arial" w:hAnsi="Arial"/>
          <w:color w:val="1A2340"/>
          <w:sz w:val="22"/>
          <w:szCs w:val="22"/>
        </w:rPr>
        <w:t xml:space="preserve">Family members and other household members must not use company-owned devices.</w:t>
      </w:r>
    </w:p>
    <w:p>
      <w:pPr>
        <w:pStyle w:val="Heading2"/>
        <w:spacing w:after="80" w:before="280"/>
      </w:pPr>
      <w:bookmarkStart w:name="s69" w:id="37"/>
      <w:r>
        <w:rPr>
          <w:rFonts w:ascii="Arial" w:cs="Arial" w:eastAsia="Arial" w:hAnsi="Arial"/>
          <w:b/>
          <w:bCs/>
          <w:color w:val="152168"/>
          <w:sz w:val="26"/>
          <w:szCs w:val="26"/>
        </w:rPr>
        <w:t xml:space="preserve">6.9  Software Installation and Licensing</w:t>
      </w:r>
      <w:bookmarkEnd w:id="38"/>
    </w:p>
    <w:p>
      <w:pPr>
        <w:pBdr>
          <w:left w:val="single" w:color="07B4D9" w:sz="12" w:space="8"/>
        </w:pBdr>
        <w:spacing w:after="80" w:before="40"/>
      </w:pPr>
      <w:r>
        <w:rPr>
          <w:rFonts w:ascii="Arial" w:cs="Arial" w:eastAsia="Arial" w:hAnsi="Arial"/>
          <w:i/>
          <w:iCs/>
          <w:color w:val="4F46E5"/>
          <w:sz w:val="18"/>
          <w:szCs w:val="18"/>
        </w:rPr>
        <w:t xml:space="preserve">ISO 27001 Ref: A.8.19 (Installation of software on operational systems), A.5.32 (Intellectual property rights) | NIST SP 800-53 Ref: CM-7 (Least Functionality), CM-11 (User-Installed Software), SA-4 (Acquisition Process)</w:t>
      </w:r>
    </w:p>
    <w:p>
      <w:pPr>
        <w:spacing w:after="80" w:before="60"/>
        <w:jc w:val="both"/>
      </w:pPr>
      <w:r>
        <w:rPr>
          <w:rFonts w:ascii="Arial" w:cs="Arial" w:eastAsia="Arial" w:hAnsi="Arial"/>
          <w:color w:val="1A2340"/>
          <w:sz w:val="22"/>
          <w:szCs w:val="22"/>
        </w:rPr>
        <w:t xml:space="preserve">Unauthorized software is one of the leading vectors for malware introduction, data leakage, and licensing liability. [ORGANIZATION NAME] maintains strict controls on software installation.</w:t>
      </w:r>
    </w:p>
    <w:p>
      <w:pPr>
        <w:spacing w:after="40" w:before="0"/>
      </w:pPr>
      <w:r>
        <w:t xml:space="preserve"/>
      </w:r>
    </w:p>
    <w:p>
      <w:pPr>
        <w:pStyle w:val="Heading3"/>
        <w:spacing w:after="60" w:before="220"/>
      </w:pPr>
      <w:r>
        <w:rPr>
          <w:rFonts w:ascii="Arial" w:cs="Arial" w:eastAsia="Arial" w:hAnsi="Arial"/>
          <w:b/>
          <w:bCs/>
          <w:color w:val="4F46E5"/>
          <w:sz w:val="23"/>
          <w:szCs w:val="23"/>
        </w:rPr>
        <w:t xml:space="preserve">Authorized Software Only</w:t>
      </w:r>
    </w:p>
    <w:p>
      <w:pPr>
        <w:pStyle w:val="ListParagraph"/>
        <w:numPr>
          <w:ilvl w:val="0"/>
          <w:numId w:val="2"/>
        </w:numPr>
        <w:spacing w:after="40" w:before="40"/>
      </w:pPr>
      <w:r>
        <w:rPr>
          <w:rFonts w:ascii="Arial" w:cs="Arial" w:eastAsia="Arial" w:hAnsi="Arial"/>
          <w:color w:val="1A2340"/>
          <w:sz w:val="22"/>
          <w:szCs w:val="22"/>
        </w:rPr>
        <w:t xml:space="preserve">Users may only install software that appears on the Approved Software Register maintained by IT / Security.</w:t>
      </w:r>
    </w:p>
    <w:p>
      <w:pPr>
        <w:pStyle w:val="ListParagraph"/>
        <w:numPr>
          <w:ilvl w:val="0"/>
          <w:numId w:val="2"/>
        </w:numPr>
        <w:spacing w:after="40" w:before="40"/>
      </w:pPr>
      <w:r>
        <w:rPr>
          <w:rFonts w:ascii="Arial" w:cs="Arial" w:eastAsia="Arial" w:hAnsi="Arial"/>
          <w:color w:val="1A2340"/>
          <w:sz w:val="22"/>
          <w:szCs w:val="22"/>
        </w:rPr>
        <w:t xml:space="preserve">Requests for new software must be submitted to IT / Security for evaluation and approval before installation. The review includes security assessment, licensing verification, and compatibility testing.</w:t>
      </w:r>
    </w:p>
    <w:p>
      <w:pPr>
        <w:pStyle w:val="ListParagraph"/>
        <w:numPr>
          <w:ilvl w:val="0"/>
          <w:numId w:val="2"/>
        </w:numPr>
        <w:spacing w:after="40" w:before="40"/>
      </w:pPr>
      <w:r>
        <w:rPr>
          <w:rFonts w:ascii="Arial" w:cs="Arial" w:eastAsia="Arial" w:hAnsi="Arial"/>
          <w:color w:val="1A2340"/>
          <w:sz w:val="22"/>
          <w:szCs w:val="22"/>
        </w:rPr>
        <w:t xml:space="preserve">Users must not install software from unofficial or unverified sources, including cracked, unlicensed, or pirated software of any kind.</w:t>
      </w:r>
    </w:p>
    <w:p>
      <w:pPr>
        <w:spacing w:after="40" w:before="0"/>
      </w:pPr>
      <w:r>
        <w:t xml:space="preserve"/>
      </w:r>
    </w:p>
    <w:p>
      <w:pPr>
        <w:pStyle w:val="Heading3"/>
        <w:spacing w:after="60" w:before="220"/>
      </w:pPr>
      <w:r>
        <w:rPr>
          <w:rFonts w:ascii="Arial" w:cs="Arial" w:eastAsia="Arial" w:hAnsi="Arial"/>
          <w:b/>
          <w:bCs/>
          <w:color w:val="4F46E5"/>
          <w:sz w:val="23"/>
          <w:szCs w:val="23"/>
        </w:rPr>
        <w:t xml:space="preserve">Licensing Compliance</w:t>
      </w:r>
    </w:p>
    <w:p>
      <w:pPr>
        <w:pStyle w:val="ListParagraph"/>
        <w:numPr>
          <w:ilvl w:val="0"/>
          <w:numId w:val="2"/>
        </w:numPr>
        <w:spacing w:after="40" w:before="40"/>
      </w:pPr>
      <w:r>
        <w:rPr>
          <w:rFonts w:ascii="Arial" w:cs="Arial" w:eastAsia="Arial" w:hAnsi="Arial"/>
          <w:color w:val="1A2340"/>
          <w:sz w:val="22"/>
          <w:szCs w:val="22"/>
        </w:rPr>
        <w:t xml:space="preserve">Software must only be installed on the number and type of devices permitted under the applicable license agreement.</w:t>
      </w:r>
    </w:p>
    <w:p>
      <w:pPr>
        <w:pStyle w:val="ListParagraph"/>
        <w:numPr>
          <w:ilvl w:val="0"/>
          <w:numId w:val="2"/>
        </w:numPr>
        <w:spacing w:after="40" w:before="40"/>
      </w:pPr>
      <w:r>
        <w:rPr>
          <w:rFonts w:ascii="Arial" w:cs="Arial" w:eastAsia="Arial" w:hAnsi="Arial"/>
          <w:color w:val="1A2340"/>
          <w:sz w:val="22"/>
          <w:szCs w:val="22"/>
        </w:rPr>
        <w:t xml:space="preserve">Users must not copy, share, or transfer software licenses in violation of the vendor's license terms.</w:t>
      </w:r>
    </w:p>
    <w:p>
      <w:pPr>
        <w:pStyle w:val="ListParagraph"/>
        <w:numPr>
          <w:ilvl w:val="0"/>
          <w:numId w:val="2"/>
        </w:numPr>
        <w:spacing w:after="40" w:before="40"/>
      </w:pPr>
      <w:r>
        <w:rPr>
          <w:rFonts w:ascii="Arial" w:cs="Arial" w:eastAsia="Arial" w:hAnsi="Arial"/>
          <w:color w:val="1A2340"/>
          <w:sz w:val="22"/>
          <w:szCs w:val="22"/>
        </w:rPr>
        <w:t xml:space="preserve">[ORGANIZATION NAME] conducts periodic software audits. Users must cooperate with audits and must not remove or hide software during audit activities.</w:t>
      </w:r>
    </w:p>
    <w:p>
      <w:pPr>
        <w:spacing w:after="40" w:before="0"/>
      </w:pPr>
      <w:r>
        <w:t xml:space="preserve"/>
      </w:r>
    </w:p>
    <w:p>
      <w:pPr>
        <w:pStyle w:val="Heading3"/>
        <w:spacing w:after="60" w:before="220"/>
      </w:pPr>
      <w:r>
        <w:rPr>
          <w:rFonts w:ascii="Arial" w:cs="Arial" w:eastAsia="Arial" w:hAnsi="Arial"/>
          <w:b/>
          <w:bCs/>
          <w:color w:val="4F46E5"/>
          <w:sz w:val="23"/>
          <w:szCs w:val="23"/>
        </w:rPr>
        <w:t xml:space="preserve">Shadow IT Prohibition</w:t>
      </w:r>
    </w:p>
    <w:p>
      <w:pPr>
        <w:pStyle w:val="ListParagraph"/>
        <w:numPr>
          <w:ilvl w:val="0"/>
          <w:numId w:val="2"/>
        </w:numPr>
        <w:spacing w:after="40" w:before="40"/>
      </w:pPr>
      <w:r>
        <w:rPr>
          <w:rFonts w:ascii="Arial" w:cs="Arial" w:eastAsia="Arial" w:hAnsi="Arial"/>
          <w:color w:val="1A2340"/>
          <w:sz w:val="22"/>
          <w:szCs w:val="22"/>
        </w:rPr>
        <w:t xml:space="preserve">Users must not connect unauthorized hardware (storage devices, networking equipment, peripheral adapters) to company systems without IT / Security approval.</w:t>
      </w:r>
    </w:p>
    <w:p>
      <w:pPr>
        <w:pStyle w:val="ListParagraph"/>
        <w:numPr>
          <w:ilvl w:val="0"/>
          <w:numId w:val="2"/>
        </w:numPr>
        <w:spacing w:after="40" w:before="40"/>
      </w:pPr>
      <w:r>
        <w:rPr>
          <w:rFonts w:ascii="Arial" w:cs="Arial" w:eastAsia="Arial" w:hAnsi="Arial"/>
          <w:color w:val="1A2340"/>
          <w:sz w:val="22"/>
          <w:szCs w:val="22"/>
        </w:rPr>
        <w:t xml:space="preserve">Users must not use personal computers or personal accounts to process, store, or transmit Confidential or Restricted company data outside of approved systems.</w:t>
      </w:r>
    </w:p>
    <w:p>
      <w:pPr>
        <w:pStyle w:val="ListParagraph"/>
        <w:numPr>
          <w:ilvl w:val="0"/>
          <w:numId w:val="2"/>
        </w:numPr>
        <w:spacing w:after="40" w:before="40"/>
      </w:pPr>
      <w:r>
        <w:rPr>
          <w:rFonts w:ascii="Arial" w:cs="Arial" w:eastAsia="Arial" w:hAnsi="Arial"/>
          <w:color w:val="1A2340"/>
          <w:sz w:val="22"/>
          <w:szCs w:val="22"/>
        </w:rPr>
        <w:t xml:space="preserve">Any discovery of unauthorized hardware or software connected to company systems must be reported to IT / Security immediately.</w:t>
      </w:r>
    </w:p>
    <w:p>
      <w:pPr>
        <w:pStyle w:val="Heading2"/>
        <w:spacing w:after="80" w:before="280"/>
      </w:pPr>
      <w:bookmarkStart w:name="s610" w:id="39"/>
      <w:r>
        <w:rPr>
          <w:rFonts w:ascii="Arial" w:cs="Arial" w:eastAsia="Arial" w:hAnsi="Arial"/>
          <w:b/>
          <w:bCs/>
          <w:color w:val="152168"/>
          <w:sz w:val="26"/>
          <w:szCs w:val="26"/>
        </w:rPr>
        <w:t xml:space="preserve">6.10  Cloud Services and Third-Party Applications</w:t>
      </w:r>
      <w:bookmarkEnd w:id="40"/>
    </w:p>
    <w:p>
      <w:pPr>
        <w:pBdr>
          <w:left w:val="single" w:color="07B4D9" w:sz="12" w:space="8"/>
        </w:pBdr>
        <w:spacing w:after="80" w:before="40"/>
      </w:pPr>
      <w:r>
        <w:rPr>
          <w:rFonts w:ascii="Arial" w:cs="Arial" w:eastAsia="Arial" w:hAnsi="Arial"/>
          <w:i/>
          <w:iCs/>
          <w:color w:val="4F46E5"/>
          <w:sz w:val="18"/>
          <w:szCs w:val="18"/>
        </w:rPr>
        <w:t xml:space="preserve">ISO 27001 Ref: A.5.19 (Information security in supplier relationships), A.5.23 (Information security for use of cloud services) | NIST SP 800-53 Ref: SA-9 (External System Services), AC-20 (Use of External Systems)</w:t>
      </w:r>
    </w:p>
    <w:p>
      <w:pPr>
        <w:spacing w:after="80" w:before="60"/>
        <w:jc w:val="both"/>
      </w:pPr>
      <w:r>
        <w:rPr>
          <w:rFonts w:ascii="Arial" w:cs="Arial" w:eastAsia="Arial" w:hAnsi="Arial"/>
          <w:color w:val="1A2340"/>
          <w:sz w:val="22"/>
          <w:szCs w:val="22"/>
        </w:rPr>
        <w:t xml:space="preserve">Cloud services and third-party applications are a critical part of [ORGANIZATION NAME]'s technology stack. Unapproved cloud use (Shadow Cloud) introduces significant data residency, compliance, and security risk.</w:t>
      </w:r>
    </w:p>
    <w:p>
      <w:pPr>
        <w:spacing w:after="40" w:before="0"/>
      </w:pPr>
      <w:r>
        <w:t xml:space="preserve"/>
      </w:r>
    </w:p>
    <w:p>
      <w:pPr>
        <w:pStyle w:val="Heading3"/>
        <w:spacing w:after="60" w:before="220"/>
      </w:pPr>
      <w:r>
        <w:rPr>
          <w:rFonts w:ascii="Arial" w:cs="Arial" w:eastAsia="Arial" w:hAnsi="Arial"/>
          <w:b/>
          <w:bCs/>
          <w:color w:val="4F46E5"/>
          <w:sz w:val="23"/>
          <w:szCs w:val="23"/>
        </w:rPr>
        <w:t xml:space="preserve">Approved Cloud Services List</w:t>
      </w:r>
    </w:p>
    <w:p>
      <w:pPr>
        <w:pStyle w:val="ListParagraph"/>
        <w:numPr>
          <w:ilvl w:val="0"/>
          <w:numId w:val="2"/>
        </w:numPr>
        <w:spacing w:after="40" w:before="40"/>
      </w:pPr>
      <w:r>
        <w:rPr>
          <w:rFonts w:ascii="Arial" w:cs="Arial" w:eastAsia="Arial" w:hAnsi="Arial"/>
          <w:color w:val="1A2340"/>
          <w:sz w:val="22"/>
          <w:szCs w:val="22"/>
        </w:rPr>
        <w:t xml:space="preserve">Only cloud services and SaaS applications on the Approved Cloud Services List maintained by IT / Security may be used to process, store, or transmit company or client data.</w:t>
      </w:r>
    </w:p>
    <w:p>
      <w:pPr>
        <w:pStyle w:val="ListParagraph"/>
        <w:numPr>
          <w:ilvl w:val="0"/>
          <w:numId w:val="2"/>
        </w:numPr>
        <w:spacing w:after="40" w:before="40"/>
      </w:pPr>
      <w:r>
        <w:rPr>
          <w:rFonts w:ascii="Arial" w:cs="Arial" w:eastAsia="Arial" w:hAnsi="Arial"/>
          <w:color w:val="1A2340"/>
          <w:sz w:val="22"/>
          <w:szCs w:val="22"/>
        </w:rPr>
        <w:t xml:space="preserve">Requests to add new cloud services must be submitted to IT / Security for vendor security assessment before use is permitted. High-risk or critical services require a full Third-Party Risk Assessment (TPRA).</w:t>
      </w:r>
    </w:p>
    <w:p>
      <w:pPr>
        <w:pStyle w:val="ListParagraph"/>
        <w:numPr>
          <w:ilvl w:val="0"/>
          <w:numId w:val="2"/>
        </w:numPr>
        <w:spacing w:after="40" w:before="40"/>
      </w:pPr>
      <w:r>
        <w:rPr>
          <w:rFonts w:ascii="Arial" w:cs="Arial" w:eastAsia="Arial" w:hAnsi="Arial"/>
          <w:color w:val="1A2340"/>
          <w:sz w:val="22"/>
          <w:szCs w:val="22"/>
        </w:rPr>
        <w:t xml:space="preserve">Users must not create accounts on cloud services for business purposes using personal email addresses without IT / Security approval.</w:t>
      </w:r>
    </w:p>
    <w:p>
      <w:pPr>
        <w:spacing w:after="40" w:before="0"/>
      </w:pPr>
      <w:r>
        <w:t xml:space="preserve"/>
      </w:r>
    </w:p>
    <w:p>
      <w:pPr>
        <w:pStyle w:val="Heading3"/>
        <w:spacing w:after="60" w:before="220"/>
      </w:pPr>
      <w:r>
        <w:rPr>
          <w:rFonts w:ascii="Arial" w:cs="Arial" w:eastAsia="Arial" w:hAnsi="Arial"/>
          <w:b/>
          <w:bCs/>
          <w:color w:val="4F46E5"/>
          <w:sz w:val="23"/>
          <w:szCs w:val="23"/>
        </w:rPr>
        <w:t xml:space="preserve">Shadow Cloud Prohibition</w:t>
      </w:r>
    </w:p>
    <w:p>
      <w:pPr>
        <w:pStyle w:val="ListParagraph"/>
        <w:numPr>
          <w:ilvl w:val="0"/>
          <w:numId w:val="2"/>
        </w:numPr>
        <w:spacing w:after="40" w:before="40"/>
      </w:pPr>
      <w:r>
        <w:rPr>
          <w:rFonts w:ascii="Arial" w:cs="Arial" w:eastAsia="Arial" w:hAnsi="Arial"/>
          <w:color w:val="1A2340"/>
          <w:sz w:val="22"/>
          <w:szCs w:val="22"/>
        </w:rPr>
        <w:t xml:space="preserve">Using personal cloud storage (e.g., personal Google Drive, personal iCloud, personal Dropbox) to store Confidential or Restricted company data is prohibited.</w:t>
      </w:r>
    </w:p>
    <w:p>
      <w:pPr>
        <w:pStyle w:val="ListParagraph"/>
        <w:numPr>
          <w:ilvl w:val="0"/>
          <w:numId w:val="2"/>
        </w:numPr>
        <w:spacing w:after="40" w:before="40"/>
      </w:pPr>
      <w:r>
        <w:rPr>
          <w:rFonts w:ascii="Arial" w:cs="Arial" w:eastAsia="Arial" w:hAnsi="Arial"/>
          <w:color w:val="1A2340"/>
          <w:sz w:val="22"/>
          <w:szCs w:val="22"/>
        </w:rPr>
        <w:t xml:space="preserve">Connecting company systems to unauthorized third-party services via API integration without IT / Security approval is prohibited.</w:t>
      </w:r>
    </w:p>
    <w:p>
      <w:pPr>
        <w:spacing w:after="40" w:before="0"/>
      </w:pPr>
      <w:r>
        <w:t xml:space="preserve"/>
      </w:r>
    </w:p>
    <w:p>
      <w:pPr>
        <w:pStyle w:val="Heading3"/>
        <w:spacing w:after="60" w:before="220"/>
      </w:pPr>
      <w:r>
        <w:rPr>
          <w:rFonts w:ascii="Arial" w:cs="Arial" w:eastAsia="Arial" w:hAnsi="Arial"/>
          <w:b/>
          <w:bCs/>
          <w:color w:val="4F46E5"/>
          <w:sz w:val="23"/>
          <w:szCs w:val="23"/>
        </w:rPr>
        <w:t xml:space="preserve">Data Residency and Compliance</w:t>
      </w:r>
    </w:p>
    <w:p>
      <w:pPr>
        <w:pStyle w:val="ListParagraph"/>
        <w:numPr>
          <w:ilvl w:val="0"/>
          <w:numId w:val="2"/>
        </w:numPr>
        <w:spacing w:after="40" w:before="40"/>
      </w:pPr>
      <w:r>
        <w:rPr>
          <w:rFonts w:ascii="Arial" w:cs="Arial" w:eastAsia="Arial" w:hAnsi="Arial"/>
          <w:color w:val="1A2340"/>
          <w:sz w:val="22"/>
          <w:szCs w:val="22"/>
        </w:rPr>
        <w:t xml:space="preserve">Before adopting a new cloud service for data storage or processing, users must confirm with IT / Security that data residency requirements (jurisdiction, privacy law compliance) are satisfied.</w:t>
      </w:r>
    </w:p>
    <w:p>
      <w:pPr>
        <w:pStyle w:val="ListParagraph"/>
        <w:numPr>
          <w:ilvl w:val="0"/>
          <w:numId w:val="2"/>
        </w:numPr>
        <w:spacing w:after="40" w:before="40"/>
      </w:pPr>
      <w:r>
        <w:rPr>
          <w:rFonts w:ascii="Arial" w:cs="Arial" w:eastAsia="Arial" w:hAnsi="Arial"/>
          <w:color w:val="1A2340"/>
          <w:sz w:val="22"/>
          <w:szCs w:val="22"/>
        </w:rPr>
        <w:t xml:space="preserve">Users must not store or process data subject to regulatory controls (e.g., PIPEDA, GDPR, PCI DSS, HIPAA) in a cloud service that has not been specifically approved for that data type.</w:t>
      </w:r>
    </w:p>
    <w:p>
      <w:pPr>
        <w:pStyle w:val="Heading2"/>
        <w:spacing w:after="80" w:before="280"/>
      </w:pPr>
      <w:bookmarkStart w:name="s611" w:id="41"/>
      <w:r>
        <w:rPr>
          <w:rFonts w:ascii="Arial" w:cs="Arial" w:eastAsia="Arial" w:hAnsi="Arial"/>
          <w:b/>
          <w:bCs/>
          <w:color w:val="152168"/>
          <w:sz w:val="26"/>
          <w:szCs w:val="26"/>
        </w:rPr>
        <w:t xml:space="preserve">6.11  Artificial Intelligence Tools</w:t>
      </w:r>
      <w:bookmarkEnd w:id="42"/>
    </w:p>
    <w:p>
      <w:pPr>
        <w:pBdr>
          <w:left w:val="single" w:color="07B4D9" w:sz="12" w:space="8"/>
        </w:pBdr>
        <w:spacing w:after="80" w:before="40"/>
      </w:pPr>
      <w:r>
        <w:rPr>
          <w:rFonts w:ascii="Arial" w:cs="Arial" w:eastAsia="Arial" w:hAnsi="Arial"/>
          <w:i/>
          <w:iCs/>
          <w:color w:val="4F46E5"/>
          <w:sz w:val="18"/>
          <w:szCs w:val="18"/>
        </w:rPr>
        <w:t xml:space="preserve">ISO 27001 Ref: A.5.10 (Acceptable use), A.5.12 (Classification of information) | NIST SP 800-53 Ref: PL-4 (Rules of Behavior), CM-7 (Least Functionality)</w:t>
      </w:r>
    </w:p>
    <w:p>
      <w:pPr>
        <w:spacing w:after="80" w:before="60"/>
        <w:jc w:val="both"/>
      </w:pPr>
      <w:r>
        <w:rPr>
          <w:rFonts w:ascii="Arial" w:cs="Arial" w:eastAsia="Arial" w:hAnsi="Arial"/>
          <w:color w:val="1A2340"/>
          <w:sz w:val="22"/>
          <w:szCs w:val="22"/>
        </w:rPr>
        <w:t xml:space="preserve">The use of Artificial Intelligence (AI) tools — including generative AI, machine learning platforms, and AI-powered productivity features — is governed by [ORGANIZATION NAME]'s AI Governance Policy (document ID: ENT-Draft-POL-AI Governance-6.26).</w:t>
      </w:r>
    </w:p>
    <w:p>
      <w:pPr>
        <w:spacing w:after="40" w:before="0"/>
      </w:pPr>
      <w:r>
        <w:t xml:space="preserve"/>
      </w:r>
    </w:p>
    <w:p>
      <w:pPr>
        <w:spacing w:after="80" w:before="60"/>
        <w:jc w:val="both"/>
      </w:pPr>
      <w:r>
        <w:rPr>
          <w:rFonts w:ascii="Arial" w:cs="Arial" w:eastAsia="Arial" w:hAnsi="Arial"/>
          <w:color w:val="1A2340"/>
          <w:sz w:val="22"/>
          <w:szCs w:val="22"/>
        </w:rPr>
        <w:t xml:space="preserve">Key reminders for all users:</w:t>
      </w:r>
    </w:p>
    <w:p>
      <w:pPr>
        <w:pStyle w:val="ListParagraph"/>
        <w:numPr>
          <w:ilvl w:val="0"/>
          <w:numId w:val="2"/>
        </w:numPr>
        <w:spacing w:after="40" w:before="40"/>
      </w:pPr>
      <w:r>
        <w:rPr>
          <w:rFonts w:ascii="Arial" w:cs="Arial" w:eastAsia="Arial" w:hAnsi="Arial"/>
          <w:color w:val="1A2340"/>
          <w:sz w:val="22"/>
          <w:szCs w:val="22"/>
        </w:rPr>
        <w:t xml:space="preserve">Only AI tools on the Approved AI Tools Register maintained by IT / Security may be used for business purposes.</w:t>
      </w:r>
    </w:p>
    <w:p>
      <w:pPr>
        <w:pStyle w:val="ListParagraph"/>
        <w:numPr>
          <w:ilvl w:val="0"/>
          <w:numId w:val="2"/>
        </w:numPr>
        <w:spacing w:after="40" w:before="40"/>
      </w:pPr>
      <w:r>
        <w:rPr>
          <w:rFonts w:ascii="Arial" w:cs="Arial" w:eastAsia="Arial" w:hAnsi="Arial"/>
          <w:color w:val="1A2340"/>
          <w:sz w:val="22"/>
          <w:szCs w:val="22"/>
        </w:rPr>
        <w:t xml:space="preserve">Confidential or Restricted information must not be entered into public or unapproved AI tools. This includes client names, contract details, security configurations, financial data, and personal information.</w:t>
      </w:r>
    </w:p>
    <w:p>
      <w:pPr>
        <w:pStyle w:val="ListParagraph"/>
        <w:numPr>
          <w:ilvl w:val="0"/>
          <w:numId w:val="2"/>
        </w:numPr>
        <w:spacing w:after="40" w:before="40"/>
      </w:pPr>
      <w:r>
        <w:rPr>
          <w:rFonts w:ascii="Arial" w:cs="Arial" w:eastAsia="Arial" w:hAnsi="Arial"/>
          <w:color w:val="1A2340"/>
          <w:sz w:val="22"/>
          <w:szCs w:val="22"/>
        </w:rPr>
        <w:t xml:space="preserve">AI-generated outputs must be reviewed by a qualified human before being used in client deliverables, financial decisions, or security actions.</w:t>
      </w:r>
    </w:p>
    <w:p>
      <w:pPr>
        <w:pStyle w:val="ListParagraph"/>
        <w:numPr>
          <w:ilvl w:val="0"/>
          <w:numId w:val="2"/>
        </w:numPr>
        <w:spacing w:after="40" w:before="40"/>
      </w:pPr>
      <w:r>
        <w:rPr>
          <w:rFonts w:ascii="Arial" w:cs="Arial" w:eastAsia="Arial" w:hAnsi="Arial"/>
          <w:color w:val="1A2340"/>
          <w:sz w:val="22"/>
          <w:szCs w:val="22"/>
        </w:rPr>
        <w:t xml:space="preserve">Use of AI tools to circumvent security controls, generate prohibited content, or perform unauthorized activities is expressly prohibited.</w:t>
      </w:r>
    </w:p>
    <w:p>
      <w:pPr>
        <w:spacing w:after="40" w:before="0"/>
      </w:pPr>
      <w:r>
        <w:t xml:space="preserve"/>
      </w:r>
    </w:p>
    <w:p>
      <w:pPr>
        <w:spacing w:after="60" w:before="40"/>
        <w:jc w:val="both"/>
      </w:pPr>
      <w:r>
        <w:rPr>
          <w:rFonts w:ascii="Arial" w:cs="Arial" w:eastAsia="Arial" w:hAnsi="Arial"/>
          <w:i/>
          <w:iCs/>
          <w:color w:val="5A6A8A"/>
          <w:sz w:val="19"/>
          <w:szCs w:val="19"/>
        </w:rPr>
        <w:t xml:space="preserve">The AI Governance Policy (ENT-Draft-POL-AI Governance-6.26) is the primary governing document for all AI-related matters. This section provides a cross-reference only. In the event of conflict, the AI Governance Policy prevails.</w:t>
      </w:r>
    </w:p>
    <w:p>
      <w:pPr>
        <w:pStyle w:val="Heading2"/>
        <w:spacing w:after="80" w:before="280"/>
      </w:pPr>
      <w:bookmarkStart w:name="s612" w:id="43"/>
      <w:r>
        <w:rPr>
          <w:rFonts w:ascii="Arial" w:cs="Arial" w:eastAsia="Arial" w:hAnsi="Arial"/>
          <w:b/>
          <w:bCs/>
          <w:color w:val="152168"/>
          <w:sz w:val="26"/>
          <w:szCs w:val="26"/>
        </w:rPr>
        <w:t xml:space="preserve">6.12  Password and Account Security</w:t>
      </w:r>
      <w:bookmarkEnd w:id="44"/>
    </w:p>
    <w:p>
      <w:pPr>
        <w:pBdr>
          <w:left w:val="single" w:color="07B4D9" w:sz="12" w:space="8"/>
        </w:pBdr>
        <w:spacing w:after="80" w:before="40"/>
      </w:pPr>
      <w:r>
        <w:rPr>
          <w:rFonts w:ascii="Arial" w:cs="Arial" w:eastAsia="Arial" w:hAnsi="Arial"/>
          <w:i/>
          <w:iCs/>
          <w:color w:val="4F46E5"/>
          <w:sz w:val="18"/>
          <w:szCs w:val="18"/>
        </w:rPr>
        <w:t xml:space="preserve">ISO 27001 Ref: A.5.16 (Identity management), A.5.17 (Authentication information), A.8.5 (Secure authentication) | NIST SP 800-53 Ref: IA-5 (Authenticator Management), IA-2 (Identification and Authentication)</w:t>
      </w:r>
    </w:p>
    <w:p>
      <w:pPr>
        <w:spacing w:after="80" w:before="60"/>
        <w:jc w:val="both"/>
      </w:pPr>
      <w:r>
        <w:rPr>
          <w:rFonts w:ascii="Arial" w:cs="Arial" w:eastAsia="Arial" w:hAnsi="Arial"/>
          <w:color w:val="1A2340"/>
          <w:sz w:val="22"/>
          <w:szCs w:val="22"/>
        </w:rPr>
        <w:t xml:space="preserve">Credentials are the most targeted asset in cybersecurity attacks. Robust password and account security practices are mandatory for all users.</w:t>
      </w:r>
    </w:p>
    <w:p>
      <w:pPr>
        <w:spacing w:after="40" w:before="0"/>
      </w:pPr>
      <w:r>
        <w:t xml:space="preserve"/>
      </w:r>
    </w:p>
    <w:p>
      <w:pPr>
        <w:pStyle w:val="Heading3"/>
        <w:spacing w:after="60" w:before="220"/>
      </w:pPr>
      <w:r>
        <w:rPr>
          <w:rFonts w:ascii="Arial" w:cs="Arial" w:eastAsia="Arial" w:hAnsi="Arial"/>
          <w:b/>
          <w:bCs/>
          <w:color w:val="4F46E5"/>
          <w:sz w:val="23"/>
          <w:szCs w:val="23"/>
        </w:rPr>
        <w:t xml:space="preserve">Password Requirements</w:t>
      </w:r>
    </w:p>
    <w:p>
      <w:pPr>
        <w:pStyle w:val="ListParagraph"/>
        <w:numPr>
          <w:ilvl w:val="0"/>
          <w:numId w:val="2"/>
        </w:numPr>
        <w:spacing w:after="40" w:before="40"/>
      </w:pPr>
      <w:r>
        <w:rPr>
          <w:rFonts w:ascii="Arial" w:cs="Arial" w:eastAsia="Arial" w:hAnsi="Arial"/>
          <w:color w:val="1A2340"/>
          <w:sz w:val="22"/>
          <w:szCs w:val="22"/>
        </w:rPr>
        <w:t xml:space="preserve">Passwords must meet the minimum complexity requirements set by IT / Security. At minimum: 12 characters, mixing uppercase, lowercase, numbers, and symbols (or a lengthy passphrase of 4+ random words).</w:t>
      </w:r>
    </w:p>
    <w:p>
      <w:pPr>
        <w:pStyle w:val="ListParagraph"/>
        <w:numPr>
          <w:ilvl w:val="0"/>
          <w:numId w:val="2"/>
        </w:numPr>
        <w:spacing w:after="40" w:before="40"/>
      </w:pPr>
      <w:r>
        <w:rPr>
          <w:rFonts w:ascii="Arial" w:cs="Arial" w:eastAsia="Arial" w:hAnsi="Arial"/>
          <w:color w:val="1A2340"/>
          <w:sz w:val="22"/>
          <w:szCs w:val="22"/>
        </w:rPr>
        <w:t xml:space="preserve">Passwords must be unique per account. Reusing passwords across company accounts, or between company and personal accounts, is prohibited.</w:t>
      </w:r>
    </w:p>
    <w:p>
      <w:pPr>
        <w:pStyle w:val="ListParagraph"/>
        <w:numPr>
          <w:ilvl w:val="0"/>
          <w:numId w:val="2"/>
        </w:numPr>
        <w:spacing w:after="40" w:before="40"/>
      </w:pPr>
      <w:r>
        <w:rPr>
          <w:rFonts w:ascii="Arial" w:cs="Arial" w:eastAsia="Arial" w:hAnsi="Arial"/>
          <w:color w:val="1A2340"/>
          <w:sz w:val="22"/>
          <w:szCs w:val="22"/>
        </w:rPr>
        <w:t xml:space="preserve">Passwords must be changed immediately upon suspected compromise. IT / Security may force a password reset at any time.</w:t>
      </w:r>
    </w:p>
    <w:p>
      <w:pPr>
        <w:pStyle w:val="ListParagraph"/>
        <w:numPr>
          <w:ilvl w:val="0"/>
          <w:numId w:val="2"/>
        </w:numPr>
        <w:spacing w:after="40" w:before="40"/>
      </w:pPr>
      <w:r>
        <w:rPr>
          <w:rFonts w:ascii="Arial" w:cs="Arial" w:eastAsia="Arial" w:hAnsi="Arial"/>
          <w:color w:val="1A2340"/>
          <w:sz w:val="22"/>
          <w:szCs w:val="22"/>
        </w:rPr>
        <w:t xml:space="preserve">Users are strongly encouraged to use a company-approved password manager to generate and store unique, complex passwords.</w:t>
      </w:r>
    </w:p>
    <w:p>
      <w:pPr>
        <w:spacing w:after="40" w:before="0"/>
      </w:pPr>
      <w:r>
        <w:t xml:space="preserve"/>
      </w:r>
    </w:p>
    <w:p>
      <w:pPr>
        <w:pStyle w:val="Heading3"/>
        <w:spacing w:after="60" w:before="220"/>
      </w:pPr>
      <w:r>
        <w:rPr>
          <w:rFonts w:ascii="Arial" w:cs="Arial" w:eastAsia="Arial" w:hAnsi="Arial"/>
          <w:b/>
          <w:bCs/>
          <w:color w:val="4F46E5"/>
          <w:sz w:val="23"/>
          <w:szCs w:val="23"/>
        </w:rPr>
        <w:t xml:space="preserve">Multi-Factor Authentication (MFA)</w:t>
      </w:r>
    </w:p>
    <w:p>
      <w:pPr>
        <w:pStyle w:val="ListParagraph"/>
        <w:numPr>
          <w:ilvl w:val="0"/>
          <w:numId w:val="2"/>
        </w:numPr>
        <w:spacing w:after="40" w:before="40"/>
      </w:pPr>
      <w:r>
        <w:rPr>
          <w:rFonts w:ascii="Arial" w:cs="Arial" w:eastAsia="Arial" w:hAnsi="Arial"/>
          <w:color w:val="1A2340"/>
          <w:sz w:val="22"/>
          <w:szCs w:val="22"/>
        </w:rPr>
        <w:t xml:space="preserve">MFA is mandatory for all company accounts where the capability exists, including email, cloud applications, VPN, and the IT admin panel.</w:t>
      </w:r>
    </w:p>
    <w:p>
      <w:pPr>
        <w:pStyle w:val="ListParagraph"/>
        <w:numPr>
          <w:ilvl w:val="0"/>
          <w:numId w:val="2"/>
        </w:numPr>
        <w:spacing w:after="40" w:before="40"/>
      </w:pPr>
      <w:r>
        <w:rPr>
          <w:rFonts w:ascii="Arial" w:cs="Arial" w:eastAsia="Arial" w:hAnsi="Arial"/>
          <w:color w:val="1A2340"/>
          <w:sz w:val="22"/>
          <w:szCs w:val="22"/>
        </w:rPr>
        <w:t xml:space="preserve">Where available, hardware security keys (FIDO2/WebAuthn) or authenticator apps are the preferred MFA method. SMS-based MFA is permitted as a fallback where stronger options are not available.</w:t>
      </w:r>
    </w:p>
    <w:p>
      <w:pPr>
        <w:pStyle w:val="ListParagraph"/>
        <w:numPr>
          <w:ilvl w:val="0"/>
          <w:numId w:val="2"/>
        </w:numPr>
        <w:spacing w:after="40" w:before="40"/>
      </w:pPr>
      <w:r>
        <w:rPr>
          <w:rFonts w:ascii="Arial" w:cs="Arial" w:eastAsia="Arial" w:hAnsi="Arial"/>
          <w:color w:val="1A2340"/>
          <w:sz w:val="22"/>
          <w:szCs w:val="22"/>
        </w:rPr>
        <w:t xml:space="preserve">Users must not share MFA codes with any other person, even IT / Security staff. [ORGANIZATION NAME] will never ask for an MFA code via phone, email, or chat.</w:t>
      </w:r>
    </w:p>
    <w:p>
      <w:pPr>
        <w:spacing w:after="40" w:before="0"/>
      </w:pPr>
      <w:r>
        <w:t xml:space="preserve"/>
      </w:r>
    </w:p>
    <w:p>
      <w:pPr>
        <w:pStyle w:val="Heading3"/>
        <w:spacing w:after="60" w:before="220"/>
      </w:pPr>
      <w:r>
        <w:rPr>
          <w:rFonts w:ascii="Arial" w:cs="Arial" w:eastAsia="Arial" w:hAnsi="Arial"/>
          <w:b/>
          <w:bCs/>
          <w:color w:val="4F46E5"/>
          <w:sz w:val="23"/>
          <w:szCs w:val="23"/>
        </w:rPr>
        <w:t xml:space="preserve">Account Security</w:t>
      </w:r>
    </w:p>
    <w:p>
      <w:pPr>
        <w:pStyle w:val="ListParagraph"/>
        <w:numPr>
          <w:ilvl w:val="0"/>
          <w:numId w:val="2"/>
        </w:numPr>
        <w:spacing w:after="40" w:before="40"/>
      </w:pPr>
      <w:r>
        <w:rPr>
          <w:rFonts w:ascii="Arial" w:cs="Arial" w:eastAsia="Arial" w:hAnsi="Arial"/>
          <w:color w:val="1A2340"/>
          <w:sz w:val="22"/>
          <w:szCs w:val="22"/>
        </w:rPr>
        <w:t xml:space="preserve">Credentials must never be shared with colleagues, managers, contractors, or any other party — regardless of their role or stated reason.</w:t>
      </w:r>
    </w:p>
    <w:p>
      <w:pPr>
        <w:pStyle w:val="ListParagraph"/>
        <w:numPr>
          <w:ilvl w:val="0"/>
          <w:numId w:val="2"/>
        </w:numPr>
        <w:spacing w:after="40" w:before="40"/>
      </w:pPr>
      <w:r>
        <w:rPr>
          <w:rFonts w:ascii="Arial" w:cs="Arial" w:eastAsia="Arial" w:hAnsi="Arial"/>
          <w:color w:val="1A2340"/>
          <w:sz w:val="22"/>
          <w:szCs w:val="22"/>
        </w:rPr>
        <w:t xml:space="preserve">Users must lock their workstation (Windows: Win+L, Mac: Cmd+Ctrl+Q) whenever stepping away from their device, even briefly.</w:t>
      </w:r>
    </w:p>
    <w:p>
      <w:pPr>
        <w:pStyle w:val="ListParagraph"/>
        <w:numPr>
          <w:ilvl w:val="0"/>
          <w:numId w:val="2"/>
        </w:numPr>
        <w:spacing w:after="40" w:before="40"/>
      </w:pPr>
      <w:r>
        <w:rPr>
          <w:rFonts w:ascii="Arial" w:cs="Arial" w:eastAsia="Arial" w:hAnsi="Arial"/>
          <w:color w:val="1A2340"/>
          <w:sz w:val="22"/>
          <w:szCs w:val="22"/>
        </w:rPr>
        <w:t xml:space="preserve">Users must report immediately to IT / Security if they suspect their credentials have been compromised or if they receive an unexpected MFA prompt they did not initiate.</w:t>
      </w:r>
    </w:p>
    <w:p>
      <w:pPr>
        <w:pStyle w:val="ListParagraph"/>
        <w:numPr>
          <w:ilvl w:val="0"/>
          <w:numId w:val="2"/>
        </w:numPr>
        <w:spacing w:after="40" w:before="40"/>
      </w:pPr>
      <w:r>
        <w:rPr>
          <w:rFonts w:ascii="Arial" w:cs="Arial" w:eastAsia="Arial" w:hAnsi="Arial"/>
          <w:color w:val="1A2340"/>
          <w:sz w:val="22"/>
          <w:szCs w:val="22"/>
        </w:rPr>
        <w:t xml:space="preserve">Default vendor passwords must be changed before any new system or device is put into service.</w:t>
      </w:r>
    </w:p>
    <w:p>
      <w:pPr>
        <w:pStyle w:val="Heading2"/>
        <w:spacing w:after="80" w:before="280"/>
      </w:pPr>
      <w:bookmarkStart w:name="s613" w:id="45"/>
      <w:r>
        <w:rPr>
          <w:rFonts w:ascii="Arial" w:cs="Arial" w:eastAsia="Arial" w:hAnsi="Arial"/>
          <w:b/>
          <w:bCs/>
          <w:color w:val="152168"/>
          <w:sz w:val="26"/>
          <w:szCs w:val="26"/>
        </w:rPr>
        <w:t xml:space="preserve">6.13  Privacy and Monitoring</w:t>
      </w:r>
      <w:bookmarkEnd w:id="46"/>
    </w:p>
    <w:p>
      <w:pPr>
        <w:pBdr>
          <w:left w:val="single" w:color="07B4D9" w:sz="12" w:space="8"/>
        </w:pBdr>
        <w:spacing w:after="80" w:before="40"/>
      </w:pPr>
      <w:r>
        <w:rPr>
          <w:rFonts w:ascii="Arial" w:cs="Arial" w:eastAsia="Arial" w:hAnsi="Arial"/>
          <w:i/>
          <w:iCs/>
          <w:color w:val="4F46E5"/>
          <w:sz w:val="18"/>
          <w:szCs w:val="18"/>
        </w:rPr>
        <w:t xml:space="preserve">ISO 27001 Ref: A.5.36 (Compliance with policies, rules, and standards for information security), A.8.15 (Logging), A.8.16 (Monitoring activities) | NIST SP 800-53 Ref: AU-2 (Event Logging), AU-6 (Audit Record Review), SI-4 (System Monitoring)</w:t>
      </w:r>
    </w:p>
    <w:p>
      <w:pPr>
        <w:spacing w:after="80" w:before="60"/>
        <w:jc w:val="both"/>
      </w:pPr>
      <w:r>
        <w:rPr>
          <w:rFonts w:ascii="Arial" w:cs="Arial" w:eastAsia="Arial" w:hAnsi="Arial"/>
          <w:color w:val="1A2340"/>
          <w:sz w:val="22"/>
          <w:szCs w:val="22"/>
        </w:rPr>
        <w:t xml:space="preserve">Authorized users of [ORGANIZATION NAME] systems have no expectation of privacy in their use of company technology resources. This section describes what is monitored and the legal basis for monitoring.</w:t>
      </w:r>
    </w:p>
    <w:p>
      <w:pPr>
        <w:spacing w:after="40" w:before="0"/>
      </w:pPr>
      <w:r>
        <w:t xml:space="preserve"/>
      </w:r>
    </w:p>
    <w:p>
      <w:pPr>
        <w:pStyle w:val="Heading3"/>
        <w:spacing w:after="60" w:before="220"/>
      </w:pPr>
      <w:r>
        <w:rPr>
          <w:rFonts w:ascii="Arial" w:cs="Arial" w:eastAsia="Arial" w:hAnsi="Arial"/>
          <w:b/>
          <w:bCs/>
          <w:color w:val="4F46E5"/>
          <w:sz w:val="23"/>
          <w:szCs w:val="23"/>
        </w:rPr>
        <w:t xml:space="preserve">No Expectation of Privacy</w:t>
      </w:r>
    </w:p>
    <w:p>
      <w:pPr>
        <w:spacing w:after="80" w:before="60"/>
        <w:jc w:val="both"/>
      </w:pPr>
      <w:r>
        <w:rPr>
          <w:rFonts w:ascii="Arial" w:cs="Arial" w:eastAsia="Arial" w:hAnsi="Arial"/>
          <w:color w:val="1A2340"/>
          <w:sz w:val="22"/>
          <w:szCs w:val="22"/>
        </w:rPr>
        <w:t xml:space="preserve">By accessing [ORGANIZATION NAME] systems, networks, or devices, users explicitly acknowledge and consent to monitoring of their activity as described in this section. This applies to:</w:t>
      </w:r>
    </w:p>
    <w:p>
      <w:pPr>
        <w:pStyle w:val="ListParagraph"/>
        <w:numPr>
          <w:ilvl w:val="0"/>
          <w:numId w:val="2"/>
        </w:numPr>
        <w:spacing w:after="40" w:before="40"/>
      </w:pPr>
      <w:r>
        <w:rPr>
          <w:rFonts w:ascii="Arial" w:cs="Arial" w:eastAsia="Arial" w:hAnsi="Arial"/>
          <w:color w:val="1A2340"/>
          <w:sz w:val="22"/>
          <w:szCs w:val="22"/>
        </w:rPr>
        <w:t xml:space="preserve">All activity on company-owned devices, including applications accessed and files created, modified, or deleted.</w:t>
      </w:r>
    </w:p>
    <w:p>
      <w:pPr>
        <w:pStyle w:val="ListParagraph"/>
        <w:numPr>
          <w:ilvl w:val="0"/>
          <w:numId w:val="2"/>
        </w:numPr>
        <w:spacing w:after="40" w:before="40"/>
      </w:pPr>
      <w:r>
        <w:rPr>
          <w:rFonts w:ascii="Arial" w:cs="Arial" w:eastAsia="Arial" w:hAnsi="Arial"/>
          <w:color w:val="1A2340"/>
          <w:sz w:val="22"/>
          <w:szCs w:val="22"/>
        </w:rPr>
        <w:t xml:space="preserve">All network traffic flowing through company networks or VPN connections.</w:t>
      </w:r>
    </w:p>
    <w:p>
      <w:pPr>
        <w:pStyle w:val="ListParagraph"/>
        <w:numPr>
          <w:ilvl w:val="0"/>
          <w:numId w:val="2"/>
        </w:numPr>
        <w:spacing w:after="40" w:before="40"/>
      </w:pPr>
      <w:r>
        <w:rPr>
          <w:rFonts w:ascii="Arial" w:cs="Arial" w:eastAsia="Arial" w:hAnsi="Arial"/>
          <w:color w:val="1A2340"/>
          <w:sz w:val="22"/>
          <w:szCs w:val="22"/>
        </w:rPr>
        <w:t xml:space="preserve">All email and electronic communications sent or received via company accounts.</w:t>
      </w:r>
    </w:p>
    <w:p>
      <w:pPr>
        <w:pStyle w:val="ListParagraph"/>
        <w:numPr>
          <w:ilvl w:val="0"/>
          <w:numId w:val="2"/>
        </w:numPr>
        <w:spacing w:after="40" w:before="40"/>
      </w:pPr>
      <w:r>
        <w:rPr>
          <w:rFonts w:ascii="Arial" w:cs="Arial" w:eastAsia="Arial" w:hAnsi="Arial"/>
          <w:color w:val="1A2340"/>
          <w:sz w:val="22"/>
          <w:szCs w:val="22"/>
        </w:rPr>
        <w:t xml:space="preserve">Web browsing activity on company systems and networks.</w:t>
      </w:r>
    </w:p>
    <w:p>
      <w:pPr>
        <w:pStyle w:val="ListParagraph"/>
        <w:numPr>
          <w:ilvl w:val="0"/>
          <w:numId w:val="2"/>
        </w:numPr>
        <w:spacing w:after="40" w:before="40"/>
      </w:pPr>
      <w:r>
        <w:rPr>
          <w:rFonts w:ascii="Arial" w:cs="Arial" w:eastAsia="Arial" w:hAnsi="Arial"/>
          <w:color w:val="1A2340"/>
          <w:sz w:val="22"/>
          <w:szCs w:val="22"/>
        </w:rPr>
        <w:t xml:space="preserve">Access and authentication events across company systems and cloud services.</w:t>
      </w:r>
    </w:p>
    <w:p>
      <w:pPr>
        <w:spacing w:after="40" w:before="0"/>
      </w:pPr>
      <w:r>
        <w:t xml:space="preserve"/>
      </w:r>
    </w:p>
    <w:p>
      <w:pPr>
        <w:pStyle w:val="Heading3"/>
        <w:spacing w:after="60" w:before="220"/>
      </w:pPr>
      <w:r>
        <w:rPr>
          <w:rFonts w:ascii="Arial" w:cs="Arial" w:eastAsia="Arial" w:hAnsi="Arial"/>
          <w:b/>
          <w:bCs/>
          <w:color w:val="4F46E5"/>
          <w:sz w:val="23"/>
          <w:szCs w:val="23"/>
        </w:rPr>
        <w:t xml:space="preserve">What May Be Monitored</w:t>
      </w:r>
    </w:p>
    <w:p>
      <w:pPr>
        <w:pStyle w:val="ListParagraph"/>
        <w:numPr>
          <w:ilvl w:val="0"/>
          <w:numId w:val="2"/>
        </w:numPr>
        <w:spacing w:after="40" w:before="40"/>
      </w:pPr>
      <w:r>
        <w:rPr>
          <w:rFonts w:ascii="Arial" w:cs="Arial" w:eastAsia="Arial" w:hAnsi="Arial"/>
          <w:color w:val="1A2340"/>
          <w:sz w:val="22"/>
          <w:szCs w:val="22"/>
        </w:rPr>
        <w:t xml:space="preserve">System access logs, login times, authentication events, and session duration.</w:t>
      </w:r>
    </w:p>
    <w:p>
      <w:pPr>
        <w:pStyle w:val="ListParagraph"/>
        <w:numPr>
          <w:ilvl w:val="0"/>
          <w:numId w:val="2"/>
        </w:numPr>
        <w:spacing w:after="40" w:before="40"/>
      </w:pPr>
      <w:r>
        <w:rPr>
          <w:rFonts w:ascii="Arial" w:cs="Arial" w:eastAsia="Arial" w:hAnsi="Arial"/>
          <w:color w:val="1A2340"/>
          <w:sz w:val="22"/>
          <w:szCs w:val="22"/>
        </w:rPr>
        <w:t xml:space="preserve">Network traffic metadata (source, destination, volume, protocol) — not typically full content inspection unless triggered by a security event.</w:t>
      </w:r>
    </w:p>
    <w:p>
      <w:pPr>
        <w:pStyle w:val="ListParagraph"/>
        <w:numPr>
          <w:ilvl w:val="0"/>
          <w:numId w:val="2"/>
        </w:numPr>
        <w:spacing w:after="40" w:before="40"/>
      </w:pPr>
      <w:r>
        <w:rPr>
          <w:rFonts w:ascii="Arial" w:cs="Arial" w:eastAsia="Arial" w:hAnsi="Arial"/>
          <w:color w:val="1A2340"/>
          <w:sz w:val="22"/>
          <w:szCs w:val="22"/>
        </w:rPr>
        <w:t xml:space="preserve">Email metadata and content where required for security investigation.</w:t>
      </w:r>
    </w:p>
    <w:p>
      <w:pPr>
        <w:pStyle w:val="ListParagraph"/>
        <w:numPr>
          <w:ilvl w:val="0"/>
          <w:numId w:val="2"/>
        </w:numPr>
        <w:spacing w:after="40" w:before="40"/>
      </w:pPr>
      <w:r>
        <w:rPr>
          <w:rFonts w:ascii="Arial" w:cs="Arial" w:eastAsia="Arial" w:hAnsi="Arial"/>
          <w:color w:val="1A2340"/>
          <w:sz w:val="22"/>
          <w:szCs w:val="22"/>
        </w:rPr>
        <w:t xml:space="preserve">File access, creation, modification, deletion, and transfer events via DLP and endpoint monitoring tools.</w:t>
      </w:r>
    </w:p>
    <w:p>
      <w:pPr>
        <w:pStyle w:val="ListParagraph"/>
        <w:numPr>
          <w:ilvl w:val="0"/>
          <w:numId w:val="2"/>
        </w:numPr>
        <w:spacing w:after="40" w:before="40"/>
      </w:pPr>
      <w:r>
        <w:rPr>
          <w:rFonts w:ascii="Arial" w:cs="Arial" w:eastAsia="Arial" w:hAnsi="Arial"/>
          <w:color w:val="1A2340"/>
          <w:sz w:val="22"/>
          <w:szCs w:val="22"/>
        </w:rPr>
        <w:t xml:space="preserve">Web browsing history on company networks and devices.</w:t>
      </w:r>
    </w:p>
    <w:p>
      <w:pPr>
        <w:pStyle w:val="ListParagraph"/>
        <w:numPr>
          <w:ilvl w:val="0"/>
          <w:numId w:val="2"/>
        </w:numPr>
        <w:spacing w:after="40" w:before="40"/>
      </w:pPr>
      <w:r>
        <w:rPr>
          <w:rFonts w:ascii="Arial" w:cs="Arial" w:eastAsia="Arial" w:hAnsi="Arial"/>
          <w:color w:val="1A2340"/>
          <w:sz w:val="22"/>
          <w:szCs w:val="22"/>
        </w:rPr>
        <w:t xml:space="preserve">Physical access events (badge access logs where applicable).</w:t>
      </w:r>
    </w:p>
    <w:p>
      <w:pPr>
        <w:spacing w:after="40" w:before="0"/>
      </w:pPr>
      <w:r>
        <w:t xml:space="preserve"/>
      </w:r>
    </w:p>
    <w:p>
      <w:pPr>
        <w:pStyle w:val="Heading3"/>
        <w:spacing w:after="60" w:before="220"/>
      </w:pPr>
      <w:r>
        <w:rPr>
          <w:rFonts w:ascii="Arial" w:cs="Arial" w:eastAsia="Arial" w:hAnsi="Arial"/>
          <w:b/>
          <w:bCs/>
          <w:color w:val="4F46E5"/>
          <w:sz w:val="23"/>
          <w:szCs w:val="23"/>
        </w:rPr>
        <w:t xml:space="preserve">Legal Basis and Purpose</w:t>
      </w:r>
    </w:p>
    <w:p>
      <w:pPr>
        <w:spacing w:after="80" w:before="60"/>
        <w:jc w:val="both"/>
      </w:pPr>
      <w:r>
        <w:rPr>
          <w:rFonts w:ascii="Arial" w:cs="Arial" w:eastAsia="Arial" w:hAnsi="Arial"/>
          <w:color w:val="1A2340"/>
          <w:sz w:val="22"/>
          <w:szCs w:val="22"/>
        </w:rPr>
        <w:t xml:space="preserve">Monitoring is conducted for the following purposes only:</w:t>
      </w:r>
    </w:p>
    <w:p>
      <w:pPr>
        <w:pStyle w:val="ListParagraph"/>
        <w:numPr>
          <w:ilvl w:val="0"/>
          <w:numId w:val="2"/>
        </w:numPr>
        <w:spacing w:after="40" w:before="40"/>
      </w:pPr>
      <w:r>
        <w:rPr>
          <w:rFonts w:ascii="Arial" w:cs="Arial" w:eastAsia="Arial" w:hAnsi="Arial"/>
          <w:color w:val="1A2340"/>
          <w:sz w:val="22"/>
          <w:szCs w:val="22"/>
        </w:rPr>
        <w:t xml:space="preserve">Security incident detection, investigation, and response.</w:t>
      </w:r>
    </w:p>
    <w:p>
      <w:pPr>
        <w:pStyle w:val="ListParagraph"/>
        <w:numPr>
          <w:ilvl w:val="0"/>
          <w:numId w:val="2"/>
        </w:numPr>
        <w:spacing w:after="40" w:before="40"/>
      </w:pPr>
      <w:r>
        <w:rPr>
          <w:rFonts w:ascii="Arial" w:cs="Arial" w:eastAsia="Arial" w:hAnsi="Arial"/>
          <w:color w:val="1A2340"/>
          <w:sz w:val="22"/>
          <w:szCs w:val="22"/>
        </w:rPr>
        <w:t xml:space="preserve">Compliance with legal, regulatory, and contractual obligations.</w:t>
      </w:r>
    </w:p>
    <w:p>
      <w:pPr>
        <w:pStyle w:val="ListParagraph"/>
        <w:numPr>
          <w:ilvl w:val="0"/>
          <w:numId w:val="2"/>
        </w:numPr>
        <w:spacing w:after="40" w:before="40"/>
      </w:pPr>
      <w:r>
        <w:rPr>
          <w:rFonts w:ascii="Arial" w:cs="Arial" w:eastAsia="Arial" w:hAnsi="Arial"/>
          <w:color w:val="1A2340"/>
          <w:sz w:val="22"/>
          <w:szCs w:val="22"/>
        </w:rPr>
        <w:t xml:space="preserve">Policy enforcement and investigation of suspected violations.</w:t>
      </w:r>
    </w:p>
    <w:p>
      <w:pPr>
        <w:pStyle w:val="ListParagraph"/>
        <w:numPr>
          <w:ilvl w:val="0"/>
          <w:numId w:val="2"/>
        </w:numPr>
        <w:spacing w:after="40" w:before="40"/>
      </w:pPr>
      <w:r>
        <w:rPr>
          <w:rFonts w:ascii="Arial" w:cs="Arial" w:eastAsia="Arial" w:hAnsi="Arial"/>
          <w:color w:val="1A2340"/>
          <w:sz w:val="22"/>
          <w:szCs w:val="22"/>
        </w:rPr>
        <w:t xml:space="preserve">Protection of company and client data and intellectual property.</w:t>
      </w:r>
    </w:p>
    <w:p>
      <w:pPr>
        <w:pStyle w:val="ListParagraph"/>
        <w:numPr>
          <w:ilvl w:val="0"/>
          <w:numId w:val="2"/>
        </w:numPr>
        <w:spacing w:after="40" w:before="40"/>
      </w:pPr>
      <w:r>
        <w:rPr>
          <w:rFonts w:ascii="Arial" w:cs="Arial" w:eastAsia="Arial" w:hAnsi="Arial"/>
          <w:color w:val="1A2340"/>
          <w:sz w:val="22"/>
          <w:szCs w:val="22"/>
        </w:rPr>
        <w:t xml:space="preserve">Network performance management.</w:t>
      </w:r>
    </w:p>
    <w:p>
      <w:pPr>
        <w:spacing w:after="40" w:before="0"/>
      </w:pPr>
      <w:r>
        <w:t xml:space="preserve"/>
      </w:r>
    </w:p>
    <w:p>
      <w:pPr>
        <w:spacing w:after="80" w:before="60"/>
        <w:jc w:val="both"/>
      </w:pPr>
      <w:r>
        <w:rPr>
          <w:rFonts w:ascii="Arial" w:cs="Arial" w:eastAsia="Arial" w:hAnsi="Arial"/>
          <w:color w:val="1A2340"/>
          <w:sz w:val="22"/>
          <w:szCs w:val="22"/>
        </w:rPr>
        <w:t xml:space="preserve">Monitoring data will be handled in accordance with applicable privacy legislation (including PIPEDA and GDPR where applicable) and will be accessible only to authorized IT / Security, HR, and Legal personnel.</w:t>
      </w:r>
    </w:p>
    <w:p>
      <w:pPr>
        <w:pStyle w:val="Heading2"/>
        <w:spacing w:after="80" w:before="280"/>
      </w:pPr>
      <w:bookmarkStart w:name="s614" w:id="47"/>
      <w:r>
        <w:rPr>
          <w:rFonts w:ascii="Arial" w:cs="Arial" w:eastAsia="Arial" w:hAnsi="Arial"/>
          <w:b/>
          <w:bCs/>
          <w:color w:val="152168"/>
          <w:sz w:val="26"/>
          <w:szCs w:val="26"/>
        </w:rPr>
        <w:t xml:space="preserve">6.14  Physical Security of Devices</w:t>
      </w:r>
      <w:bookmarkEnd w:id="48"/>
    </w:p>
    <w:p>
      <w:pPr>
        <w:pBdr>
          <w:left w:val="single" w:color="07B4D9" w:sz="12" w:space="8"/>
        </w:pBdr>
        <w:spacing w:after="80" w:before="40"/>
      </w:pPr>
      <w:r>
        <w:rPr>
          <w:rFonts w:ascii="Arial" w:cs="Arial" w:eastAsia="Arial" w:hAnsi="Arial"/>
          <w:i/>
          <w:iCs/>
          <w:color w:val="4F46E5"/>
          <w:sz w:val="18"/>
          <w:szCs w:val="18"/>
        </w:rPr>
        <w:t xml:space="preserve">ISO 27001 Ref: A.7.1 (Physical security perimeters), A.7.7 (Clear desk and clear screen), A.7.9 (Security of assets off-premises) | NIST SP 800-53 Ref: MP-4 (Media Storage), PE-17 (Alternate Work Site)</w:t>
      </w:r>
    </w:p>
    <w:p>
      <w:pPr>
        <w:spacing w:after="80" w:before="60"/>
        <w:jc w:val="both"/>
      </w:pPr>
      <w:r>
        <w:rPr>
          <w:rFonts w:ascii="Arial" w:cs="Arial" w:eastAsia="Arial" w:hAnsi="Arial"/>
          <w:color w:val="1A2340"/>
          <w:sz w:val="22"/>
          <w:szCs w:val="22"/>
        </w:rPr>
        <w:t xml:space="preserve">Physical security of devices is as important as logical security. Devices left unattended or unprotected are vulnerable to theft, unauthorized access, and shoulder surfing.</w:t>
      </w:r>
    </w:p>
    <w:p>
      <w:pPr>
        <w:spacing w:after="40" w:before="0"/>
      </w:pPr>
      <w:r>
        <w:t xml:space="preserve"/>
      </w:r>
    </w:p>
    <w:p>
      <w:pPr>
        <w:pStyle w:val="Heading3"/>
        <w:spacing w:after="60" w:before="220"/>
      </w:pPr>
      <w:r>
        <w:rPr>
          <w:rFonts w:ascii="Arial" w:cs="Arial" w:eastAsia="Arial" w:hAnsi="Arial"/>
          <w:b/>
          <w:bCs/>
          <w:color w:val="4F46E5"/>
          <w:sz w:val="23"/>
          <w:szCs w:val="23"/>
        </w:rPr>
        <w:t xml:space="preserve">Clean Desk and Screen</w:t>
      </w:r>
    </w:p>
    <w:p>
      <w:pPr>
        <w:pStyle w:val="ListParagraph"/>
        <w:numPr>
          <w:ilvl w:val="0"/>
          <w:numId w:val="2"/>
        </w:numPr>
        <w:spacing w:after="40" w:before="40"/>
      </w:pPr>
      <w:r>
        <w:rPr>
          <w:rFonts w:ascii="Arial" w:cs="Arial" w:eastAsia="Arial" w:hAnsi="Arial"/>
          <w:color w:val="1A2340"/>
          <w:sz w:val="22"/>
          <w:szCs w:val="22"/>
        </w:rPr>
        <w:t xml:space="preserve">Users must not leave sensitive documents, passwords, or access credentials visible on or around their workstation.</w:t>
      </w:r>
    </w:p>
    <w:p>
      <w:pPr>
        <w:pStyle w:val="ListParagraph"/>
        <w:numPr>
          <w:ilvl w:val="0"/>
          <w:numId w:val="2"/>
        </w:numPr>
        <w:spacing w:after="40" w:before="40"/>
      </w:pPr>
      <w:r>
        <w:rPr>
          <w:rFonts w:ascii="Arial" w:cs="Arial" w:eastAsia="Arial" w:hAnsi="Arial"/>
          <w:color w:val="1A2340"/>
          <w:sz w:val="22"/>
          <w:szCs w:val="22"/>
        </w:rPr>
        <w:t xml:space="preserve">Screens must be locked whenever the user steps away from their workstation, regardless of how briefly.</w:t>
      </w:r>
    </w:p>
    <w:p>
      <w:pPr>
        <w:pStyle w:val="ListParagraph"/>
        <w:numPr>
          <w:ilvl w:val="0"/>
          <w:numId w:val="2"/>
        </w:numPr>
        <w:spacing w:after="40" w:before="40"/>
      </w:pPr>
      <w:r>
        <w:rPr>
          <w:rFonts w:ascii="Arial" w:cs="Arial" w:eastAsia="Arial" w:hAnsi="Arial"/>
          <w:color w:val="1A2340"/>
          <w:sz w:val="22"/>
          <w:szCs w:val="22"/>
        </w:rPr>
        <w:t xml:space="preserve">Printers must be cleared immediately after use. Sensitive documents must not be left unattended at printers, copiers, or fax machines.</w:t>
      </w:r>
    </w:p>
    <w:p>
      <w:pPr>
        <w:pStyle w:val="ListParagraph"/>
        <w:numPr>
          <w:ilvl w:val="0"/>
          <w:numId w:val="2"/>
        </w:numPr>
        <w:spacing w:after="40" w:before="40"/>
      </w:pPr>
      <w:r>
        <w:rPr>
          <w:rFonts w:ascii="Arial" w:cs="Arial" w:eastAsia="Arial" w:hAnsi="Arial"/>
          <w:color w:val="1A2340"/>
          <w:sz w:val="22"/>
          <w:szCs w:val="22"/>
        </w:rPr>
        <w:t xml:space="preserve">Confidential and Restricted documents must be shredded (cross-cut minimum) when no longer needed — not placed in regular recycling or trash.</w:t>
      </w:r>
    </w:p>
    <w:p>
      <w:pPr>
        <w:spacing w:after="40" w:before="0"/>
      </w:pPr>
      <w:r>
        <w:t xml:space="preserve"/>
      </w:r>
    </w:p>
    <w:p>
      <w:pPr>
        <w:pStyle w:val="Heading3"/>
        <w:spacing w:after="60" w:before="220"/>
      </w:pPr>
      <w:r>
        <w:rPr>
          <w:rFonts w:ascii="Arial" w:cs="Arial" w:eastAsia="Arial" w:hAnsi="Arial"/>
          <w:b/>
          <w:bCs/>
          <w:color w:val="4F46E5"/>
          <w:sz w:val="23"/>
          <w:szCs w:val="23"/>
        </w:rPr>
        <w:t xml:space="preserve">Device Storage and Transport</w:t>
      </w:r>
    </w:p>
    <w:p>
      <w:pPr>
        <w:pStyle w:val="ListParagraph"/>
        <w:numPr>
          <w:ilvl w:val="0"/>
          <w:numId w:val="2"/>
        </w:numPr>
        <w:spacing w:after="40" w:before="40"/>
      </w:pPr>
      <w:r>
        <w:rPr>
          <w:rFonts w:ascii="Arial" w:cs="Arial" w:eastAsia="Arial" w:hAnsi="Arial"/>
          <w:color w:val="1A2340"/>
          <w:sz w:val="22"/>
          <w:szCs w:val="22"/>
        </w:rPr>
        <w:t xml:space="preserve">Laptops and mobile devices must not be left unattended in visible locations in vehicles. If transport is unavoidable, devices must be stored in the vehicle boot/trunk, out of sight.</w:t>
      </w:r>
    </w:p>
    <w:p>
      <w:pPr>
        <w:pStyle w:val="ListParagraph"/>
        <w:numPr>
          <w:ilvl w:val="0"/>
          <w:numId w:val="2"/>
        </w:numPr>
        <w:spacing w:after="40" w:before="40"/>
      </w:pPr>
      <w:r>
        <w:rPr>
          <w:rFonts w:ascii="Arial" w:cs="Arial" w:eastAsia="Arial" w:hAnsi="Arial"/>
          <w:color w:val="1A2340"/>
          <w:sz w:val="22"/>
          <w:szCs w:val="22"/>
        </w:rPr>
        <w:t xml:space="preserve">Devices must not be left unattended in public spaces (conferences, airports, hotels, coffee shops).</w:t>
      </w:r>
    </w:p>
    <w:p>
      <w:pPr>
        <w:pStyle w:val="ListParagraph"/>
        <w:numPr>
          <w:ilvl w:val="0"/>
          <w:numId w:val="2"/>
        </w:numPr>
        <w:spacing w:after="40" w:before="40"/>
      </w:pPr>
      <w:r>
        <w:rPr>
          <w:rFonts w:ascii="Arial" w:cs="Arial" w:eastAsia="Arial" w:hAnsi="Arial"/>
          <w:color w:val="1A2340"/>
          <w:sz w:val="22"/>
          <w:szCs w:val="22"/>
        </w:rPr>
        <w:t xml:space="preserve">Users travelling with company devices should carry them as carry-on luggage rather than in checked baggage.</w:t>
      </w:r>
    </w:p>
    <w:p>
      <w:pPr>
        <w:spacing w:after="40" w:before="0"/>
      </w:pPr>
      <w:r>
        <w:t xml:space="preserve"/>
      </w:r>
    </w:p>
    <w:p>
      <w:pPr>
        <w:pStyle w:val="Heading3"/>
        <w:spacing w:after="60" w:before="220"/>
      </w:pPr>
      <w:r>
        <w:rPr>
          <w:rFonts w:ascii="Arial" w:cs="Arial" w:eastAsia="Arial" w:hAnsi="Arial"/>
          <w:b/>
          <w:bCs/>
          <w:color w:val="4F46E5"/>
          <w:sz w:val="23"/>
          <w:szCs w:val="23"/>
        </w:rPr>
        <w:t xml:space="preserve">International Travel Security</w:t>
      </w:r>
    </w:p>
    <w:p>
      <w:pPr>
        <w:pStyle w:val="ListParagraph"/>
        <w:numPr>
          <w:ilvl w:val="0"/>
          <w:numId w:val="2"/>
        </w:numPr>
        <w:spacing w:after="40" w:before="40"/>
      </w:pPr>
      <w:r>
        <w:rPr>
          <w:rFonts w:ascii="Arial" w:cs="Arial" w:eastAsia="Arial" w:hAnsi="Arial"/>
          <w:color w:val="1A2340"/>
          <w:sz w:val="22"/>
          <w:szCs w:val="22"/>
        </w:rPr>
        <w:t xml:space="preserve">Users travelling to high-risk jurisdictions with company devices must consult IT / Security in advance. Loaner devices or travel-specific hardening may be required.</w:t>
      </w:r>
    </w:p>
    <w:p>
      <w:pPr>
        <w:pStyle w:val="ListParagraph"/>
        <w:numPr>
          <w:ilvl w:val="0"/>
          <w:numId w:val="2"/>
        </w:numPr>
        <w:spacing w:after="40" w:before="40"/>
      </w:pPr>
      <w:r>
        <w:rPr>
          <w:rFonts w:ascii="Arial" w:cs="Arial" w:eastAsia="Arial" w:hAnsi="Arial"/>
          <w:color w:val="1A2340"/>
          <w:sz w:val="22"/>
          <w:szCs w:val="22"/>
        </w:rPr>
        <w:t xml:space="preserve">Devices may be subject to border inspection or seizure in some jurisdictions. IT / Security will advise on appropriate precautions.</w:t>
      </w:r>
    </w:p>
    <w:p>
      <w:pPr>
        <w:pStyle w:val="ListParagraph"/>
        <w:numPr>
          <w:ilvl w:val="0"/>
          <w:numId w:val="2"/>
        </w:numPr>
        <w:spacing w:after="40" w:before="40"/>
      </w:pPr>
      <w:r>
        <w:rPr>
          <w:rFonts w:ascii="Arial" w:cs="Arial" w:eastAsia="Arial" w:hAnsi="Arial"/>
          <w:color w:val="1A2340"/>
          <w:sz w:val="22"/>
          <w:szCs w:val="22"/>
        </w:rPr>
        <w:t xml:space="preserve">Connection to hotel room networks should be via VPN only (see Section 6.8).</w:t>
      </w:r>
    </w:p>
    <w:p>
      <w:pPr>
        <w:pStyle w:val="Heading2"/>
        <w:spacing w:after="80" w:before="280"/>
      </w:pPr>
      <w:bookmarkStart w:name="s615" w:id="49"/>
      <w:r>
        <w:rPr>
          <w:rFonts w:ascii="Arial" w:cs="Arial" w:eastAsia="Arial" w:hAnsi="Arial"/>
          <w:b/>
          <w:bCs/>
          <w:color w:val="152168"/>
          <w:sz w:val="26"/>
          <w:szCs w:val="26"/>
        </w:rPr>
        <w:t xml:space="preserve">6.15  Intellectual Property and Confidentiality</w:t>
      </w:r>
      <w:bookmarkEnd w:id="50"/>
    </w:p>
    <w:p>
      <w:pPr>
        <w:pBdr>
          <w:left w:val="single" w:color="07B4D9" w:sz="12" w:space="8"/>
        </w:pBdr>
        <w:spacing w:after="80" w:before="40"/>
      </w:pPr>
      <w:r>
        <w:rPr>
          <w:rFonts w:ascii="Arial" w:cs="Arial" w:eastAsia="Arial" w:hAnsi="Arial"/>
          <w:i/>
          <w:iCs/>
          <w:color w:val="4F46E5"/>
          <w:sz w:val="18"/>
          <w:szCs w:val="18"/>
        </w:rPr>
        <w:t xml:space="preserve">ISO 27001 Ref: A.5.32 (Intellectual property rights), A.6.6 (Confidentiality or non-disclosure agreements) | NIST SP 800-53 Ref: PL-4 (Rules of Behavior), PS-6 (Access Agreements)</w:t>
      </w:r>
    </w:p>
    <w:p>
      <w:pPr>
        <w:spacing w:after="80" w:before="60"/>
        <w:jc w:val="both"/>
      </w:pPr>
      <w:r>
        <w:rPr>
          <w:rFonts w:ascii="Arial" w:cs="Arial" w:eastAsia="Arial" w:hAnsi="Arial"/>
          <w:color w:val="1A2340"/>
          <w:sz w:val="22"/>
          <w:szCs w:val="22"/>
        </w:rPr>
        <w:t xml:space="preserve">[ORGANIZATION NAME] and its clients entrust employees with access to valuable intellectual property and confidential information. Protecting this information is a core responsibility of every employee and contractor.</w:t>
      </w:r>
    </w:p>
    <w:p>
      <w:pPr>
        <w:spacing w:after="40" w:before="0"/>
      </w:pPr>
      <w:r>
        <w:t xml:space="preserve"/>
      </w:r>
    </w:p>
    <w:p>
      <w:pPr>
        <w:pStyle w:val="Heading3"/>
        <w:spacing w:after="60" w:before="220"/>
      </w:pPr>
      <w:r>
        <w:rPr>
          <w:rFonts w:ascii="Arial" w:cs="Arial" w:eastAsia="Arial" w:hAnsi="Arial"/>
          <w:b/>
          <w:bCs/>
          <w:color w:val="4F46E5"/>
          <w:sz w:val="23"/>
          <w:szCs w:val="23"/>
        </w:rPr>
        <w:t xml:space="preserve">Company Ownership of Work Product</w:t>
      </w:r>
    </w:p>
    <w:p>
      <w:pPr>
        <w:pStyle w:val="ListParagraph"/>
        <w:numPr>
          <w:ilvl w:val="0"/>
          <w:numId w:val="2"/>
        </w:numPr>
        <w:spacing w:after="40" w:before="40"/>
      </w:pPr>
      <w:r>
        <w:rPr>
          <w:rFonts w:ascii="Arial" w:cs="Arial" w:eastAsia="Arial" w:hAnsi="Arial"/>
          <w:color w:val="1A2340"/>
          <w:sz w:val="22"/>
          <w:szCs w:val="22"/>
        </w:rPr>
        <w:t xml:space="preserve">All work product created by employees in the course of their employment — including reports, methodologies, source code, assessments, templates, processes, and client deliverables — is the property of [ORGANIZATION NAME], unless otherwise agreed in writing.</w:t>
      </w:r>
    </w:p>
    <w:p>
      <w:pPr>
        <w:pStyle w:val="ListParagraph"/>
        <w:numPr>
          <w:ilvl w:val="0"/>
          <w:numId w:val="2"/>
        </w:numPr>
        <w:spacing w:after="40" w:before="40"/>
      </w:pPr>
      <w:r>
        <w:rPr>
          <w:rFonts w:ascii="Arial" w:cs="Arial" w:eastAsia="Arial" w:hAnsi="Arial"/>
          <w:color w:val="1A2340"/>
          <w:sz w:val="22"/>
          <w:szCs w:val="22"/>
        </w:rPr>
        <w:t xml:space="preserve">This ownership applies regardless of whether the work was performed on company or personal devices, or during or outside of normal working hours, if it relates to [ORGANIZATION NAME]'s business.</w:t>
      </w:r>
    </w:p>
    <w:p>
      <w:pPr>
        <w:spacing w:after="40" w:before="0"/>
      </w:pPr>
      <w:r>
        <w:t xml:space="preserve"/>
      </w:r>
    </w:p>
    <w:p>
      <w:pPr>
        <w:pStyle w:val="Heading3"/>
        <w:spacing w:after="60" w:before="220"/>
      </w:pPr>
      <w:r>
        <w:rPr>
          <w:rFonts w:ascii="Arial" w:cs="Arial" w:eastAsia="Arial" w:hAnsi="Arial"/>
          <w:b/>
          <w:bCs/>
          <w:color w:val="4F46E5"/>
          <w:sz w:val="23"/>
          <w:szCs w:val="23"/>
        </w:rPr>
        <w:t xml:space="preserve">NDA and Confidentiality Obligations</w:t>
      </w:r>
    </w:p>
    <w:p>
      <w:pPr>
        <w:pStyle w:val="ListParagraph"/>
        <w:numPr>
          <w:ilvl w:val="0"/>
          <w:numId w:val="2"/>
        </w:numPr>
        <w:spacing w:after="40" w:before="40"/>
      </w:pPr>
      <w:r>
        <w:rPr>
          <w:rFonts w:ascii="Arial" w:cs="Arial" w:eastAsia="Arial" w:hAnsi="Arial"/>
          <w:color w:val="1A2340"/>
          <w:sz w:val="22"/>
          <w:szCs w:val="22"/>
        </w:rPr>
        <w:t xml:space="preserve">Employees are bound by confidentiality obligations as set out in their employment agreement and any applicable Non-Disclosure Agreements (NDAs).</w:t>
      </w:r>
    </w:p>
    <w:p>
      <w:pPr>
        <w:pStyle w:val="ListParagraph"/>
        <w:numPr>
          <w:ilvl w:val="0"/>
          <w:numId w:val="2"/>
        </w:numPr>
        <w:spacing w:after="40" w:before="40"/>
      </w:pPr>
      <w:r>
        <w:rPr>
          <w:rFonts w:ascii="Arial" w:cs="Arial" w:eastAsia="Arial" w:hAnsi="Arial"/>
          <w:color w:val="1A2340"/>
          <w:sz w:val="22"/>
          <w:szCs w:val="22"/>
        </w:rPr>
        <w:t xml:space="preserve">Confidential company or client information must not be disclosed to any external party (including friends, family, former employers, or media) without prior written authorization.</w:t>
      </w:r>
    </w:p>
    <w:p>
      <w:pPr>
        <w:pStyle w:val="ListParagraph"/>
        <w:numPr>
          <w:ilvl w:val="0"/>
          <w:numId w:val="2"/>
        </w:numPr>
        <w:spacing w:after="40" w:before="40"/>
      </w:pPr>
      <w:r>
        <w:rPr>
          <w:rFonts w:ascii="Arial" w:cs="Arial" w:eastAsia="Arial" w:hAnsi="Arial"/>
          <w:color w:val="1A2340"/>
          <w:sz w:val="22"/>
          <w:szCs w:val="22"/>
        </w:rPr>
        <w:t xml:space="preserve">Employees must not use confidential information accessed in the course of their employment for personal gain or to benefit any third party.</w:t>
      </w:r>
    </w:p>
    <w:p>
      <w:pPr>
        <w:spacing w:after="40" w:before="0"/>
      </w:pPr>
      <w:r>
        <w:t xml:space="preserve"/>
      </w:r>
    </w:p>
    <w:p>
      <w:pPr>
        <w:pStyle w:val="Heading3"/>
        <w:spacing w:after="60" w:before="220"/>
      </w:pPr>
      <w:r>
        <w:rPr>
          <w:rFonts w:ascii="Arial" w:cs="Arial" w:eastAsia="Arial" w:hAnsi="Arial"/>
          <w:b/>
          <w:bCs/>
          <w:color w:val="4F46E5"/>
          <w:sz w:val="23"/>
          <w:szCs w:val="23"/>
        </w:rPr>
        <w:t xml:space="preserve">Post-Employment Obligations</w:t>
      </w:r>
    </w:p>
    <w:p>
      <w:pPr>
        <w:pStyle w:val="ListParagraph"/>
        <w:numPr>
          <w:ilvl w:val="0"/>
          <w:numId w:val="2"/>
        </w:numPr>
        <w:spacing w:after="40" w:before="40"/>
      </w:pPr>
      <w:r>
        <w:rPr>
          <w:rFonts w:ascii="Arial" w:cs="Arial" w:eastAsia="Arial" w:hAnsi="Arial"/>
          <w:color w:val="1A2340"/>
          <w:sz w:val="22"/>
          <w:szCs w:val="22"/>
        </w:rPr>
        <w:t xml:space="preserve">Confidentiality obligations continue after the end of employment for the period specified in the employment agreement.</w:t>
      </w:r>
    </w:p>
    <w:p>
      <w:pPr>
        <w:pStyle w:val="ListParagraph"/>
        <w:numPr>
          <w:ilvl w:val="0"/>
          <w:numId w:val="2"/>
        </w:numPr>
        <w:spacing w:after="40" w:before="40"/>
      </w:pPr>
      <w:r>
        <w:rPr>
          <w:rFonts w:ascii="Arial" w:cs="Arial" w:eastAsia="Arial" w:hAnsi="Arial"/>
          <w:color w:val="1A2340"/>
          <w:sz w:val="22"/>
          <w:szCs w:val="22"/>
        </w:rPr>
        <w:t xml:space="preserve">Upon departure, employees must return all company property (devices, documents, access tokens) and delete any company data from personal devices.</w:t>
      </w:r>
    </w:p>
    <w:p>
      <w:pPr>
        <w:pStyle w:val="ListParagraph"/>
        <w:numPr>
          <w:ilvl w:val="0"/>
          <w:numId w:val="2"/>
        </w:numPr>
        <w:spacing w:after="40" w:before="40"/>
      </w:pPr>
      <w:r>
        <w:rPr>
          <w:rFonts w:ascii="Arial" w:cs="Arial" w:eastAsia="Arial" w:hAnsi="Arial"/>
          <w:color w:val="1A2340"/>
          <w:sz w:val="22"/>
          <w:szCs w:val="22"/>
        </w:rPr>
        <w:t xml:space="preserve">Former employees must not retain or use copies of company or client data after departure.</w:t>
      </w:r>
    </w:p>
    <w:p>
      <w:r>
        <w:br w:type="page"/>
      </w:r>
    </w:p>
    <w:p>
      <w:pPr>
        <w:pStyle w:val="Heading1"/>
        <w:pBdr>
          <w:bottom w:val="single" w:color="07B4D9" w:sz="8" w:space="4"/>
        </w:pBdr>
        <w:spacing w:after="120" w:before="400"/>
      </w:pPr>
      <w:bookmarkStart w:name="s7" w:id="51"/>
      <w:r>
        <w:rPr>
          <w:rFonts w:ascii="Arial" w:cs="Arial" w:eastAsia="Arial" w:hAnsi="Arial"/>
          <w:b/>
          <w:bCs/>
          <w:color w:val="152168"/>
          <w:sz w:val="30"/>
          <w:szCs w:val="30"/>
        </w:rPr>
        <w:t xml:space="preserve">7. Compliance and Enforcement</w:t>
      </w:r>
      <w:bookmarkEnd w:id="52"/>
    </w:p>
    <w:p>
      <w:pPr>
        <w:spacing w:after="80" w:before="60"/>
        <w:jc w:val="both"/>
      </w:pPr>
      <w:r>
        <w:rPr>
          <w:rFonts w:ascii="Arial" w:cs="Arial" w:eastAsia="Arial" w:hAnsi="Arial"/>
          <w:color w:val="1A2340"/>
          <w:sz w:val="22"/>
          <w:szCs w:val="22"/>
        </w:rPr>
        <w:t xml:space="preserve">Compliance with this policy is mandatory for all authorized users. Violations of this policy may result in disciplinary action up to and including termination of employment or contract, and may be referred to law enforcement where criminal conduct is involved.</w:t>
      </w:r>
    </w:p>
    <w:p>
      <w:pPr>
        <w:spacing w:after="40" w:before="0"/>
      </w:pPr>
      <w:r>
        <w:t xml:space="preserve"/>
      </w:r>
    </w:p>
    <w:p>
      <w:pPr>
        <w:spacing w:after="80" w:before="60"/>
        <w:jc w:val="both"/>
      </w:pPr>
      <w:r>
        <w:rPr>
          <w:rFonts w:ascii="Arial" w:cs="Arial" w:eastAsia="Arial" w:hAnsi="Arial"/>
          <w:color w:val="1A2340"/>
          <w:sz w:val="22"/>
          <w:szCs w:val="22"/>
        </w:rPr>
        <w:t xml:space="preserve">[ORGANIZATION NAME] applies a three-tier severity framework to policy violations: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280"/>
        <w:gridCol w:w="2880"/>
        <w:gridCol w:w="3240"/>
      </w:tblGrid>
      <w:tr>
        <w:tc>
          <w:tcPr>
            <w:tcW w:type="dxa" w:w="9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Severity</w:t>
            </w:r>
          </w:p>
        </w:tc>
        <w:tc>
          <w:tcPr>
            <w:tcW w:type="dxa" w:w="228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c>
          <w:tcPr>
            <w:tcW w:type="dxa" w:w="288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Examples</w:t>
            </w:r>
          </w:p>
        </w:tc>
        <w:tc>
          <w:tcPr>
            <w:tcW w:type="dxa" w:w="324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Consequence</w:t>
            </w:r>
          </w:p>
        </w:tc>
      </w:tr>
      <w:tr>
        <w:tc>
          <w:tcPr>
            <w:tcW w:type="dxa" w:w="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center"/>
          </w:tcPr>
          <w:p>
            <w:pPr>
              <w:jc w:val="center"/>
            </w:pPr>
            <w:r>
              <w:rPr>
                <w:rFonts w:ascii="Arial" w:cs="Arial" w:eastAsia="Arial" w:hAnsi="Arial"/>
                <w:b/>
                <w:bCs/>
                <w:color w:val="1A2340"/>
                <w:sz w:val="20"/>
                <w:szCs w:val="20"/>
              </w:rPr>
              <w:t xml:space="preserve">Low</w:t>
            </w:r>
          </w:p>
        </w:tc>
        <w:tc>
          <w:tcPr>
            <w:tcW w:type="dxa" w:w="22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Minor violations with limited impact or risk. Typically first-time or unintentional non-compliance.</w:t>
            </w:r>
          </w:p>
        </w:tc>
        <w:tc>
          <w:tcPr>
            <w:tcW w:type="dxa" w:w="28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Installing a minor unsupported application; brief personal use beyond guidance; screen lock timeout not configured correctly.</w:t>
            </w:r>
          </w:p>
        </w:tc>
        <w:tc>
          <w:tcPr>
            <w:tcW w:type="dxa" w:w="32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Documented verbal or written warning. Mandatory policy re-read and acknowledgement. Corrective action required within [5] business days.</w:t>
            </w:r>
          </w:p>
        </w:tc>
      </w:tr>
      <w:tr>
        <w:tc>
          <w:tcPr>
            <w:tcW w:type="dxa" w:w="960"/>
            <w:tcBorders>
              <w:top w:val="single" w:color="DDE3EF" w:sz="4"/>
              <w:left w:val="single" w:color="DDE3EF" w:sz="4"/>
              <w:bottom w:val="single" w:color="DDE3EF" w:sz="4"/>
              <w:right w:val="single" w:color="DDE3EF" w:sz="4"/>
            </w:tcBorders>
            <w:shd w:fill="FFF8E1" w:val="clear"/>
            <w:tcMar>
              <w:top w:type="dxa" w:w="80"/>
              <w:left w:type="dxa" w:w="120"/>
              <w:bottom w:type="dxa" w:w="80"/>
              <w:right w:type="dxa" w:w="120"/>
            </w:tcMar>
            <w:vAlign w:val="center"/>
          </w:tcPr>
          <w:p>
            <w:pPr>
              <w:jc w:val="center"/>
            </w:pPr>
            <w:r>
              <w:rPr>
                <w:rFonts w:ascii="Arial" w:cs="Arial" w:eastAsia="Arial" w:hAnsi="Arial"/>
                <w:b/>
                <w:bCs/>
                <w:color w:val="6D4C00"/>
                <w:sz w:val="20"/>
                <w:szCs w:val="20"/>
              </w:rPr>
              <w:t xml:space="preserve">Medium</w:t>
            </w:r>
          </w:p>
        </w:tc>
        <w:tc>
          <w:tcPr>
            <w:tcW w:type="dxa" w:w="2280"/>
            <w:tcBorders>
              <w:top w:val="single" w:color="DDE3EF" w:sz="4"/>
              <w:left w:val="single" w:color="DDE3EF" w:sz="4"/>
              <w:bottom w:val="single" w:color="DDE3EF" w:sz="4"/>
              <w:right w:val="single" w:color="DDE3EF" w:sz="4"/>
            </w:tcBorders>
            <w:shd w:fill="FFF8E1"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Significant violations that create material security or business risk, or repeat Low-severity violations.</w:t>
            </w:r>
          </w:p>
        </w:tc>
        <w:tc>
          <w:tcPr>
            <w:tcW w:type="dxa" w:w="2880"/>
            <w:tcBorders>
              <w:top w:val="single" w:color="DDE3EF" w:sz="4"/>
              <w:left w:val="single" w:color="DDE3EF" w:sz="4"/>
              <w:bottom w:val="single" w:color="DDE3EF" w:sz="4"/>
              <w:right w:val="single" w:color="DDE3EF" w:sz="4"/>
            </w:tcBorders>
            <w:shd w:fill="FFF8E1"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Sending Confidential data via personal email; sharing credentials with a colleague; ignoring software update requirements repeatedly; using unapproved cloud storage for client data.</w:t>
            </w:r>
          </w:p>
        </w:tc>
        <w:tc>
          <w:tcPr>
            <w:tcW w:type="dxa" w:w="3240"/>
            <w:tcBorders>
              <w:top w:val="single" w:color="DDE3EF" w:sz="4"/>
              <w:left w:val="single" w:color="DDE3EF" w:sz="4"/>
              <w:bottom w:val="single" w:color="DDE3EF" w:sz="4"/>
              <w:right w:val="single" w:color="DDE3EF" w:sz="4"/>
            </w:tcBorders>
            <w:shd w:fill="FFF8E1"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Formal written warning. Mandatory additional security training. Temporary access restriction may be applied. HR involvement. Corrective action plan required.</w:t>
            </w:r>
          </w:p>
        </w:tc>
      </w:tr>
      <w:tr>
        <w:tc>
          <w:tcPr>
            <w:tcW w:type="dxa" w:w="960"/>
            <w:tcBorders>
              <w:top w:val="single" w:color="DDE3EF" w:sz="4"/>
              <w:left w:val="single" w:color="DDE3EF" w:sz="4"/>
              <w:bottom w:val="single" w:color="DDE3EF" w:sz="4"/>
              <w:right w:val="single" w:color="DDE3EF" w:sz="4"/>
            </w:tcBorders>
            <w:shd w:fill="FFF0F0" w:val="clear"/>
            <w:tcMar>
              <w:top w:type="dxa" w:w="80"/>
              <w:left w:type="dxa" w:w="120"/>
              <w:bottom w:type="dxa" w:w="80"/>
              <w:right w:type="dxa" w:w="120"/>
            </w:tcMar>
            <w:vAlign w:val="center"/>
          </w:tcPr>
          <w:p>
            <w:pPr>
              <w:jc w:val="center"/>
            </w:pPr>
            <w:r>
              <w:rPr>
                <w:rFonts w:ascii="Arial" w:cs="Arial" w:eastAsia="Arial" w:hAnsi="Arial"/>
                <w:b/>
                <w:bCs/>
                <w:color w:val="8B1A1A"/>
                <w:sz w:val="20"/>
                <w:szCs w:val="20"/>
              </w:rPr>
              <w:t xml:space="preserve">High</w:t>
            </w:r>
          </w:p>
        </w:tc>
        <w:tc>
          <w:tcPr>
            <w:tcW w:type="dxa" w:w="2280"/>
            <w:tcBorders>
              <w:top w:val="single" w:color="DDE3EF" w:sz="4"/>
              <w:left w:val="single" w:color="DDE3EF" w:sz="4"/>
              <w:bottom w:val="single" w:color="DDE3EF" w:sz="4"/>
              <w:right w:val="single" w:color="DDE3EF" w:sz="4"/>
            </w:tcBorders>
            <w:shd w:fill="FFF0F0"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Serious violations involving deliberate misconduct, significant data risk, or criminal/fraudulent intent.</w:t>
            </w:r>
          </w:p>
        </w:tc>
        <w:tc>
          <w:tcPr>
            <w:tcW w:type="dxa" w:w="2880"/>
            <w:tcBorders>
              <w:top w:val="single" w:color="DDE3EF" w:sz="4"/>
              <w:left w:val="single" w:color="DDE3EF" w:sz="4"/>
              <w:bottom w:val="single" w:color="DDE3EF" w:sz="4"/>
              <w:right w:val="single" w:color="DDE3EF" w:sz="4"/>
            </w:tcBorders>
            <w:shd w:fill="FFF0F0"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Intentional data exfiltration; deliberate bypass of security controls; sharing credentials with an external party; using company systems for illegal activity; gross breach of client confidentiality.</w:t>
            </w:r>
          </w:p>
        </w:tc>
        <w:tc>
          <w:tcPr>
            <w:tcW w:type="dxa" w:w="3240"/>
            <w:tcBorders>
              <w:top w:val="single" w:color="DDE3EF" w:sz="4"/>
              <w:left w:val="single" w:color="DDE3EF" w:sz="4"/>
              <w:bottom w:val="single" w:color="DDE3EF" w:sz="4"/>
              <w:right w:val="single" w:color="DDE3EF" w:sz="4"/>
            </w:tcBorders>
            <w:shd w:fill="FFF0F0"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Immediate suspension of system access. Formal HR disciplinary process up to and including termination. Potential referral to law enforcement. Civil or criminal liability may apply.</w:t>
            </w:r>
          </w:p>
        </w:tc>
      </w:tr>
    </w:tbl>
    <w:p>
      <w:pPr>
        <w:spacing w:after="80" w:before="0"/>
      </w:pPr>
      <w:r>
        <w:t xml:space="preserve"/>
      </w:r>
    </w:p>
    <w:p>
      <w:pPr>
        <w:spacing w:after="80" w:before="60"/>
        <w:jc w:val="both"/>
      </w:pPr>
      <w:r>
        <w:rPr>
          <w:rFonts w:ascii="Arial" w:cs="Arial" w:eastAsia="Arial" w:hAnsi="Arial"/>
          <w:color w:val="1A2340"/>
          <w:sz w:val="22"/>
          <w:szCs w:val="22"/>
        </w:rPr>
        <w:t xml:space="preserve">Severity classification is made by IT / Security in consultation with HR and Legal as appropriate. The classification may be adjusted based on the circumstances of the violation, including intent, impact, recurrence, and cooperation.</w:t>
      </w:r>
    </w:p>
    <w:p>
      <w:pPr>
        <w:spacing w:after="40" w:before="0"/>
      </w:pPr>
      <w:r>
        <w:t xml:space="preserve"/>
      </w:r>
    </w:p>
    <w:p>
      <w:pPr>
        <w:spacing w:after="80" w:before="60"/>
        <w:jc w:val="both"/>
      </w:pPr>
      <w:r>
        <w:rPr>
          <w:rFonts w:ascii="Arial" w:cs="Arial" w:eastAsia="Arial" w:hAnsi="Arial"/>
          <w:color w:val="1A2340"/>
          <w:sz w:val="22"/>
          <w:szCs w:val="22"/>
        </w:rPr>
        <w:t xml:space="preserve">Nothing in this policy limits [ORGANIZATION NAME]'s right to take immediate action (including access termination) where required to protect the security of its systems and data.</w:t>
      </w:r>
    </w:p>
    <w:p>
      <w:pPr>
        <w:pStyle w:val="Heading1"/>
        <w:pBdr>
          <w:bottom w:val="single" w:color="07B4D9" w:sz="8" w:space="4"/>
        </w:pBdr>
        <w:spacing w:after="120" w:before="400"/>
      </w:pPr>
      <w:bookmarkStart w:name="s8" w:id="53"/>
      <w:r>
        <w:rPr>
          <w:rFonts w:ascii="Arial" w:cs="Arial" w:eastAsia="Arial" w:hAnsi="Arial"/>
          <w:b/>
          <w:bCs/>
          <w:color w:val="152168"/>
          <w:sz w:val="30"/>
          <w:szCs w:val="30"/>
        </w:rPr>
        <w:t xml:space="preserve">8. Policy Exceptions</w:t>
      </w:r>
      <w:bookmarkEnd w:id="54"/>
    </w:p>
    <w:p>
      <w:pPr>
        <w:spacing w:after="80" w:before="60"/>
        <w:jc w:val="both"/>
      </w:pPr>
      <w:r>
        <w:rPr>
          <w:rFonts w:ascii="Arial" w:cs="Arial" w:eastAsia="Arial" w:hAnsi="Arial"/>
          <w:color w:val="1A2340"/>
          <w:sz w:val="22"/>
          <w:szCs w:val="22"/>
        </w:rPr>
        <w:t xml:space="preserve">It is recognized that operational circumstances may occasionally require an exception to a specific requirement of this policy. Exceptions will be considered where there is a documented, legitimate business need and where appropriate compensating controls can be applied.</w:t>
      </w:r>
    </w:p>
    <w:p>
      <w:pPr>
        <w:spacing w:after="40" w:before="0"/>
      </w:pPr>
      <w:r>
        <w:t xml:space="preserve"/>
      </w:r>
    </w:p>
    <w:p>
      <w:pPr>
        <w:spacing w:after="80" w:before="60"/>
        <w:jc w:val="both"/>
      </w:pPr>
      <w:r>
        <w:rPr>
          <w:rFonts w:ascii="Arial" w:cs="Arial" w:eastAsia="Arial" w:hAnsi="Arial"/>
          <w:color w:val="1A2340"/>
          <w:sz w:val="22"/>
          <w:szCs w:val="22"/>
        </w:rPr>
        <w:t xml:space="preserve">The exception process is as follows:</w:t>
      </w:r>
    </w:p>
    <w:p>
      <w:pPr>
        <w:pStyle w:val="ListParagraph"/>
        <w:numPr>
          <w:ilvl w:val="0"/>
          <w:numId w:val="3"/>
        </w:numPr>
        <w:spacing w:after="40" w:before="40"/>
      </w:pPr>
      <w:r>
        <w:rPr>
          <w:rFonts w:ascii="Arial" w:cs="Arial" w:eastAsia="Arial" w:hAnsi="Arial"/>
          <w:color w:val="1A2340"/>
          <w:sz w:val="22"/>
          <w:szCs w:val="22"/>
        </w:rPr>
        <w:t xml:space="preserve">The requestor submits a written exception request to their manager and IT / Security, describing the specific requirement to be waived, the business justification, the proposed duration of the exception, and any compensating controls.</w:t>
      </w:r>
    </w:p>
    <w:p>
      <w:pPr>
        <w:pStyle w:val="ListParagraph"/>
        <w:numPr>
          <w:ilvl w:val="0"/>
          <w:numId w:val="3"/>
        </w:numPr>
        <w:spacing w:after="40" w:before="40"/>
      </w:pPr>
      <w:r>
        <w:rPr>
          <w:rFonts w:ascii="Arial" w:cs="Arial" w:eastAsia="Arial" w:hAnsi="Arial"/>
          <w:color w:val="1A2340"/>
          <w:sz w:val="22"/>
          <w:szCs w:val="22"/>
        </w:rPr>
        <w:t xml:space="preserve">IT / Security reviews the request and assesses the risk associated with the exception.</w:t>
      </w:r>
    </w:p>
    <w:p>
      <w:pPr>
        <w:pStyle w:val="ListParagraph"/>
        <w:numPr>
          <w:ilvl w:val="0"/>
          <w:numId w:val="3"/>
        </w:numPr>
        <w:spacing w:after="40" w:before="40"/>
      </w:pPr>
      <w:r>
        <w:rPr>
          <w:rFonts w:ascii="Arial" w:cs="Arial" w:eastAsia="Arial" w:hAnsi="Arial"/>
          <w:color w:val="1A2340"/>
          <w:sz w:val="22"/>
          <w:szCs w:val="22"/>
        </w:rPr>
        <w:t xml:space="preserve">For Low or Medium risk exceptions: IT / Security may approve the exception, with any conditions or compensating controls documented in writing.</w:t>
      </w:r>
    </w:p>
    <w:p>
      <w:pPr>
        <w:pStyle w:val="ListParagraph"/>
        <w:numPr>
          <w:ilvl w:val="0"/>
          <w:numId w:val="3"/>
        </w:numPr>
        <w:spacing w:after="40" w:before="40"/>
      </w:pPr>
      <w:r>
        <w:rPr>
          <w:rFonts w:ascii="Arial" w:cs="Arial" w:eastAsia="Arial" w:hAnsi="Arial"/>
          <w:color w:val="1A2340"/>
          <w:sz w:val="22"/>
          <w:szCs w:val="22"/>
        </w:rPr>
        <w:t xml:space="preserve">For High risk exceptions or exceptions involving Restricted data: approval requires sign-off from both the CISO / vCISO and an Executive.</w:t>
      </w:r>
    </w:p>
    <w:p>
      <w:pPr>
        <w:pStyle w:val="ListParagraph"/>
        <w:numPr>
          <w:ilvl w:val="0"/>
          <w:numId w:val="3"/>
        </w:numPr>
        <w:spacing w:after="40" w:before="40"/>
      </w:pPr>
      <w:r>
        <w:rPr>
          <w:rFonts w:ascii="Arial" w:cs="Arial" w:eastAsia="Arial" w:hAnsi="Arial"/>
          <w:color w:val="1A2340"/>
          <w:sz w:val="22"/>
          <w:szCs w:val="22"/>
        </w:rPr>
        <w:t xml:space="preserve">All approved exceptions are documented in the Policy Exception Register with a defined expiry date (maximum 12 months) and a designated owner.</w:t>
      </w:r>
    </w:p>
    <w:p>
      <w:pPr>
        <w:pStyle w:val="ListParagraph"/>
        <w:numPr>
          <w:ilvl w:val="0"/>
          <w:numId w:val="3"/>
        </w:numPr>
        <w:spacing w:after="40" w:before="40"/>
      </w:pPr>
      <w:r>
        <w:rPr>
          <w:rFonts w:ascii="Arial" w:cs="Arial" w:eastAsia="Arial" w:hAnsi="Arial"/>
          <w:color w:val="1A2340"/>
          <w:sz w:val="22"/>
          <w:szCs w:val="22"/>
        </w:rPr>
        <w:t xml:space="preserve">Exceptions are reviewed at expiry. Ongoing exceptions must be re-justified and re-approved annually.</w:t>
      </w:r>
    </w:p>
    <w:p>
      <w:pPr>
        <w:pStyle w:val="ListParagraph"/>
        <w:numPr>
          <w:ilvl w:val="0"/>
          <w:numId w:val="3"/>
        </w:numPr>
        <w:spacing w:after="40" w:before="40"/>
      </w:pPr>
      <w:r>
        <w:rPr>
          <w:rFonts w:ascii="Arial" w:cs="Arial" w:eastAsia="Arial" w:hAnsi="Arial"/>
          <w:color w:val="1A2340"/>
          <w:sz w:val="22"/>
          <w:szCs w:val="22"/>
        </w:rPr>
        <w:t xml:space="preserve">Unapproved deviations from this policy are not exceptions — they are violations subject to Section 7.</w:t>
      </w:r>
    </w:p>
    <w:p>
      <w:pPr>
        <w:spacing w:after="40" w:before="0"/>
      </w:pPr>
      <w:r>
        <w:t xml:space="preserve"/>
      </w:r>
    </w:p>
    <w:p>
      <w:pPr>
        <w:spacing w:after="60" w:before="40"/>
        <w:jc w:val="both"/>
      </w:pPr>
      <w:r>
        <w:rPr>
          <w:rFonts w:ascii="Arial" w:cs="Arial" w:eastAsia="Arial" w:hAnsi="Arial"/>
          <w:i/>
          <w:iCs/>
          <w:color w:val="5A6A8A"/>
          <w:sz w:val="19"/>
          <w:szCs w:val="19"/>
        </w:rPr>
        <w:t xml:space="preserve">No exception process exists for the prohibition on illegal activity. There are no circumstances under which company systems may be used for illegal purposes.</w:t>
      </w:r>
    </w:p>
    <w:p>
      <w:pPr>
        <w:pStyle w:val="Heading1"/>
        <w:pBdr>
          <w:bottom w:val="single" w:color="07B4D9" w:sz="8" w:space="4"/>
        </w:pBdr>
        <w:spacing w:after="120" w:before="400"/>
      </w:pPr>
      <w:bookmarkStart w:name="s9" w:id="55"/>
      <w:r>
        <w:rPr>
          <w:rFonts w:ascii="Arial" w:cs="Arial" w:eastAsia="Arial" w:hAnsi="Arial"/>
          <w:b/>
          <w:bCs/>
          <w:color w:val="152168"/>
          <w:sz w:val="30"/>
          <w:szCs w:val="30"/>
        </w:rPr>
        <w:t xml:space="preserve">9. Related Documents</w:t>
      </w:r>
      <w:bookmarkEnd w:id="56"/>
    </w:p>
    <w:p>
      <w:pPr>
        <w:spacing w:after="80" w:before="60"/>
        <w:jc w:val="both"/>
      </w:pPr>
      <w:r>
        <w:rPr>
          <w:rFonts w:ascii="Arial" w:cs="Arial" w:eastAsia="Arial" w:hAnsi="Arial"/>
          <w:color w:val="1A2340"/>
          <w:sz w:val="22"/>
          <w:szCs w:val="22"/>
        </w:rPr>
        <w:t xml:space="preserve">This policy is part of [ORGANIZATION NAME]'s Information Security Policy Framework. The following related documents should be read in conjunction with this AUP.</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20"/>
        <w:gridCol w:w="3600"/>
        <w:gridCol w:w="1440"/>
      </w:tblGrid>
      <w:tr>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Document ID / Reference</w:t>
            </w:r>
          </w:p>
        </w:tc>
        <w:tc>
          <w:tcPr>
            <w:tcW w:type="dxa" w:w="192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Title</w:t>
            </w:r>
          </w:p>
        </w:tc>
        <w:tc>
          <w:tcPr>
            <w:tcW w:type="dxa" w:w="36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Relationship to this AUP</w:t>
            </w:r>
          </w:p>
        </w:tc>
        <w:tc>
          <w:tcPr>
            <w:tcW w:type="dxa" w:w="144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Status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ENT-Draft-POL-AI Governance-6.26</w:t>
            </w:r>
          </w:p>
        </w:tc>
        <w:tc>
          <w:tcPr>
            <w:tcW w:type="dxa" w:w="19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AI Governance Policy</w:t>
            </w:r>
          </w:p>
        </w:tc>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Governs all use of artificial intelligence tools and platforms. Primary document for AI-related matters.</w:t>
            </w:r>
          </w:p>
        </w:tc>
        <w:tc>
          <w:tcPr>
            <w:tcW w:type="dxa" w:w="14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Current</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ENT-Draft-POL-IR</w:t>
            </w:r>
          </w:p>
        </w:tc>
        <w:tc>
          <w:tcPr>
            <w:tcW w:type="dxa" w:w="19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Incident Response Policy</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Defines the incident classification, escalation, and response procedures. Referenced by Section 6.3, 6.13.</w:t>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Current</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ENT-Draft-POL-DC</w:t>
            </w:r>
          </w:p>
        </w:tc>
        <w:tc>
          <w:tcPr>
            <w:tcW w:type="dxa" w:w="19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Data Classification Policy</w:t>
            </w:r>
          </w:p>
        </w:tc>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Defines data classification tiers and handling rules. Primary document for data handling matters (Section 6.6).</w:t>
            </w:r>
          </w:p>
        </w:tc>
        <w:tc>
          <w:tcPr>
            <w:tcW w:type="dxa" w:w="14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Current</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ENT-Draft-POL-IAM</w:t>
            </w:r>
          </w:p>
        </w:tc>
        <w:tc>
          <w:tcPr>
            <w:tcW w:type="dxa" w:w="19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Identity and Access Management Policy</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Governs user provisioning, access reviews, privilege management, and authentication. Supplements Section 6.12.</w:t>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Current</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ENT-Draft-POL-TPRA</w:t>
            </w:r>
          </w:p>
        </w:tc>
        <w:tc>
          <w:tcPr>
            <w:tcW w:type="dxa" w:w="19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Third-Party Risk Assessment Policy</w:t>
            </w:r>
          </w:p>
        </w:tc>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Governs vendor and supplier security assessment. Referenced by Sections 6.10 and 6.11.</w:t>
            </w:r>
          </w:p>
        </w:tc>
        <w:tc>
          <w:tcPr>
            <w:tcW w:type="dxa" w:w="14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Current</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ENT-Draft-POL-BYOD</w:t>
            </w:r>
          </w:p>
        </w:tc>
        <w:tc>
          <w:tcPr>
            <w:tcW w:type="dxa" w:w="19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BYOD Policy (if standalone)</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Detailed BYOD rules supplement Section 6.5. Where no standalone BYOD policy exists, Section 6.5 governs.</w:t>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As applicable</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ENT-Draft-POL-CR</w:t>
            </w:r>
          </w:p>
        </w:tc>
        <w:tc>
          <w:tcPr>
            <w:tcW w:type="dxa" w:w="19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Change and Release Management Policy</w:t>
            </w:r>
          </w:p>
        </w:tc>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Governs authorized changes to company systems. Supplements Section 6.9.</w:t>
            </w:r>
          </w:p>
        </w:tc>
        <w:tc>
          <w:tcPr>
            <w:tcW w:type="dxa" w:w="14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Current</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ENT-Draft-STD-PWD</w:t>
            </w:r>
          </w:p>
        </w:tc>
        <w:tc>
          <w:tcPr>
            <w:tcW w:type="dxa" w:w="19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Password Standard</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Technical password complexity, rotation, and MFA configuration requirements. Supplements Section 6.12.</w:t>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Current</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Employee Handbook</w:t>
            </w:r>
          </w:p>
        </w:tc>
        <w:tc>
          <w:tcPr>
            <w:tcW w:type="dxa" w:w="19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Human Resources — Employee Handbook</w:t>
            </w:r>
          </w:p>
        </w:tc>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Sets out employment terms, disciplinary procedures, and code of conduct that complement this policy.</w:t>
            </w:r>
          </w:p>
        </w:tc>
        <w:tc>
          <w:tcPr>
            <w:tcW w:type="dxa" w:w="14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Current</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NDA / Confidentiality Agreement</w:t>
            </w:r>
          </w:p>
        </w:tc>
        <w:tc>
          <w:tcPr>
            <w:tcW w:type="dxa" w:w="19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Non-Disclosure Agreement (template or signed)</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Contractual confidentiality obligations binding employees and contractors. Referenced by Section 6.15.</w:t>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8"/>
                <w:szCs w:val="18"/>
              </w:rPr>
              <w:t xml:space="preserve">Current</w:t>
            </w:r>
          </w:p>
        </w:tc>
      </w:tr>
    </w:tbl>
    <w:p>
      <w:pPr>
        <w:pStyle w:val="Heading1"/>
        <w:pBdr>
          <w:bottom w:val="single" w:color="07B4D9" w:sz="8" w:space="4"/>
        </w:pBdr>
        <w:spacing w:after="120" w:before="400"/>
      </w:pPr>
      <w:bookmarkStart w:name="s10" w:id="57"/>
      <w:r>
        <w:rPr>
          <w:rFonts w:ascii="Arial" w:cs="Arial" w:eastAsia="Arial" w:hAnsi="Arial"/>
          <w:b/>
          <w:bCs/>
          <w:color w:val="152168"/>
          <w:sz w:val="30"/>
          <w:szCs w:val="30"/>
        </w:rPr>
        <w:t xml:space="preserve">10. Document Control and Revision History</w:t>
      </w:r>
      <w:bookmarkEnd w:id="5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560"/>
        <w:gridCol w:w="1560"/>
        <w:gridCol w:w="5160"/>
      </w:tblGrid>
      <w:tr>
        <w:tc>
          <w:tcPr>
            <w:tcW w:type="dxa" w:w="108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Version</w:t>
            </w:r>
          </w:p>
        </w:tc>
        <w:tc>
          <w:tcPr>
            <w:tcW w:type="dxa" w:w="15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Date</w:t>
            </w:r>
          </w:p>
        </w:tc>
        <w:tc>
          <w:tcPr>
            <w:tcW w:type="dxa" w:w="15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Author</w:t>
            </w:r>
          </w:p>
        </w:tc>
        <w:tc>
          <w:tcPr>
            <w:tcW w:type="dxa" w:w="5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Summary of Changes</w:t>
            </w:r>
          </w:p>
        </w:tc>
      </w:tr>
      <w:tr>
        <w:tc>
          <w:tcPr>
            <w:tcW w:type="dxa" w:w="10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1.0</w:t>
            </w:r>
          </w:p>
        </w:tc>
        <w:tc>
          <w:tcPr>
            <w:tcW w:type="dxa" w:w="1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June 2026</w:t>
            </w:r>
          </w:p>
        </w:tc>
        <w:tc>
          <w:tcPr>
            <w:tcW w:type="dxa" w:w="1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[CISO / vCISO]</w:t>
            </w:r>
          </w:p>
        </w:tc>
        <w:tc>
          <w:tcPr>
            <w:tcW w:type="dxa" w:w="5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Initial draft. Covers 15 policy areas across Sections 6.1–6.15. Aligned to NIST SP 800-53 Rev 5 and ISO/IEC 27001:2022. Includes three appendices.</w:t>
            </w:r>
          </w:p>
        </w:tc>
      </w:tr>
      <w:tr>
        <w:tc>
          <w:tcPr>
            <w:tcW w:type="dxa" w:w="10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[x.x]</w:t>
            </w:r>
          </w:p>
        </w:tc>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[DATE]</w:t>
            </w:r>
          </w:p>
        </w:tc>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[Author]</w:t>
            </w:r>
          </w:p>
        </w:tc>
        <w:tc>
          <w:tcPr>
            <w:tcW w:type="dxa" w:w="5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[Summary of changes in this revision]</w:t>
            </w:r>
          </w:p>
        </w:tc>
      </w:tr>
    </w:tbl>
    <w:p>
      <w:r>
        <w:br w:type="page"/>
      </w:r>
    </w:p>
    <w:p>
      <w:pPr>
        <w:pStyle w:val="Heading1"/>
        <w:pBdr>
          <w:bottom w:val="single" w:color="07B4D9" w:sz="8" w:space="4"/>
        </w:pBdr>
        <w:spacing w:after="120" w:before="400"/>
      </w:pPr>
      <w:bookmarkStart w:name="appA" w:id="59"/>
      <w:r>
        <w:rPr>
          <w:rFonts w:ascii="Arial" w:cs="Arial" w:eastAsia="Arial" w:hAnsi="Arial"/>
          <w:b/>
          <w:bCs/>
          <w:color w:val="152168"/>
          <w:sz w:val="30"/>
          <w:szCs w:val="30"/>
        </w:rPr>
        <w:t xml:space="preserve">Appendix A — Prohibited Use Categories</w:t>
      </w:r>
      <w:bookmarkEnd w:id="60"/>
    </w:p>
    <w:p>
      <w:pPr>
        <w:spacing w:after="80" w:before="60"/>
        <w:jc w:val="both"/>
      </w:pPr>
      <w:r>
        <w:rPr>
          <w:rFonts w:ascii="Arial" w:cs="Arial" w:eastAsia="Arial" w:hAnsi="Arial"/>
          <w:color w:val="1A2340"/>
          <w:sz w:val="22"/>
          <w:szCs w:val="22"/>
        </w:rPr>
        <w:t xml:space="preserve">The following categories of activity are expressly prohibited on [ORGANIZATION NAME] systems, devices, and networks. This list is illustrative, not exhaustive. Where an activity is not listed but conflicts with the principles in Section 3, it is prohibited.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4200"/>
        <w:gridCol w:w="1800"/>
      </w:tblGrid>
      <w:tr>
        <w:tc>
          <w:tcPr>
            <w:tcW w:type="dxa" w:w="15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Category</w:t>
            </w:r>
          </w:p>
        </w:tc>
        <w:tc>
          <w:tcPr>
            <w:tcW w:type="dxa" w:w="18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c>
          <w:tcPr>
            <w:tcW w:type="dxa" w:w="4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Examples</w:t>
            </w:r>
          </w:p>
        </w:tc>
        <w:tc>
          <w:tcPr>
            <w:tcW w:type="dxa" w:w="18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Severity</w:t>
            </w:r>
          </w:p>
        </w:tc>
      </w:tr>
      <w:tr>
        <w:tc>
          <w:tcPr>
            <w:tcW w:type="dxa" w:w="1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Illegal Activity</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Any activity that violates applicable local, national, or international law.</w:t>
            </w:r>
          </w:p>
        </w:tc>
        <w:tc>
          <w:tcPr>
            <w:tcW w:type="dxa" w:w="4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Accessing unauthorized computer systems; downloading or distributing pirated content; fraud; identity theft; soliciting or facilitating illegal transactions; cyber-stalking; possessing or distributing illegal material of any kind.</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High</w:t>
            </w:r>
          </w:p>
        </w:tc>
      </w:tr>
      <w:tr>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Harassment and Discrimination</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Using company systems to harass, intimidate, bully, or discriminate against any individual based on any protected characteristic.</w:t>
            </w:r>
          </w:p>
        </w:tc>
        <w:tc>
          <w:tcPr>
            <w:tcW w:type="dxa" w:w="4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Sending offensive or discriminatory messages; distributing hate speech; cyber-bullying colleagues; sexual harassment via electronic communications; creating or forwarding hostile or demeaning content.</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High</w:t>
            </w:r>
          </w:p>
        </w:tc>
      </w:tr>
      <w:tr>
        <w:tc>
          <w:tcPr>
            <w:tcW w:type="dxa" w:w="1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Security Bypass</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Circumventing, disabling, or interfering with any security control deployed by IT / Security.</w:t>
            </w:r>
          </w:p>
        </w:tc>
        <w:tc>
          <w:tcPr>
            <w:tcW w:type="dxa" w:w="4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Disabling endpoint protection; removing MDM profiles; using proxy or anonymization tools to bypass web filtering; modifying system logs; installing rogue access points; conducting port scanning or network reconnaissance without authorization.</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High</w:t>
            </w:r>
          </w:p>
        </w:tc>
      </w:tr>
      <w:tr>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Unauthorized Access</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Accessing systems, accounts, data, or networks without explicit authorization.</w:t>
            </w:r>
          </w:p>
        </w:tc>
        <w:tc>
          <w:tcPr>
            <w:tcW w:type="dxa" w:w="4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Using another user's credentials; attempting to access administrative systems without authorization; exploiting vulnerabilities to gain unauthorized access; accessing client systems outside the scope of authorized work.</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High</w:t>
            </w:r>
          </w:p>
        </w:tc>
      </w:tr>
      <w:tr>
        <w:tc>
          <w:tcPr>
            <w:tcW w:type="dxa" w:w="1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Data Exfiltration</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Unauthorized copying, transmission, or removal of company or client data.</w:t>
            </w:r>
          </w:p>
        </w:tc>
        <w:tc>
          <w:tcPr>
            <w:tcW w:type="dxa" w:w="4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Emailing bulk data to personal accounts; using unauthorized USB drives to copy data; uploading data to personal cloud storage; using screen capture to extract data from restricted systems.</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High</w:t>
            </w:r>
          </w:p>
        </w:tc>
      </w:tr>
      <w:tr>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Reputational Harm</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Using company systems to publish, transmit, or facilitate content that could damage the reputation of [ORGANIZATION NAME] or its clients.</w:t>
            </w:r>
          </w:p>
        </w:tc>
        <w:tc>
          <w:tcPr>
            <w:tcW w:type="dxa" w:w="4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Posting disparaging content about [ORGANIZATION NAME] or clients on social media; disclosing confidential project details publicly; impersonating company officials; making unauthorized public statements.</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Medium — High</w:t>
            </w:r>
          </w:p>
        </w:tc>
      </w:tr>
      <w:tr>
        <w:tc>
          <w:tcPr>
            <w:tcW w:type="dxa" w:w="1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Resource Misuse</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Using company systems in ways that consume excessive resources or interfere with the performance of systems for other users.</w:t>
            </w:r>
          </w:p>
        </w:tc>
        <w:tc>
          <w:tcPr>
            <w:tcW w:type="dxa" w:w="4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Running cryptocurrency mining software; excessive streaming or large personal downloads; using company infrastructure to run personal servers or businesses; bulk printing for personal use.</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Low — Medium</w:t>
            </w:r>
          </w:p>
        </w:tc>
      </w:tr>
    </w:tbl>
    <w:p>
      <w:pPr>
        <w:spacing w:after="80" w:before="0"/>
      </w:pPr>
      <w:r>
        <w:t xml:space="preserve"/>
      </w:r>
    </w:p>
    <w:p>
      <w:pPr>
        <w:spacing w:after="60" w:before="40"/>
        <w:jc w:val="both"/>
      </w:pPr>
      <w:r>
        <w:rPr>
          <w:rFonts w:ascii="Arial" w:cs="Arial" w:eastAsia="Arial" w:hAnsi="Arial"/>
          <w:i/>
          <w:iCs/>
          <w:color w:val="5A6A8A"/>
          <w:sz w:val="19"/>
          <w:szCs w:val="19"/>
        </w:rPr>
        <w:t xml:space="preserve">Severity ratings are indicative. Final classification is made by IT / Security and HR based on the specific facts and circumstances of each case, as described in Section 7.</w:t>
      </w:r>
    </w:p>
    <w:p>
      <w:r>
        <w:br w:type="page"/>
      </w:r>
    </w:p>
    <w:p>
      <w:pPr>
        <w:pStyle w:val="Heading1"/>
        <w:pBdr>
          <w:bottom w:val="single" w:color="07B4D9" w:sz="8" w:space="4"/>
        </w:pBdr>
        <w:spacing w:after="120" w:before="400"/>
      </w:pPr>
      <w:bookmarkStart w:name="appB" w:id="61"/>
      <w:r>
        <w:rPr>
          <w:rFonts w:ascii="Arial" w:cs="Arial" w:eastAsia="Arial" w:hAnsi="Arial"/>
          <w:b/>
          <w:bCs/>
          <w:color w:val="152168"/>
          <w:sz w:val="30"/>
          <w:szCs w:val="30"/>
        </w:rPr>
        <w:t xml:space="preserve">Appendix B — Personal Use Guidelines</w:t>
      </w:r>
      <w:bookmarkEnd w:id="62"/>
    </w:p>
    <w:p>
      <w:pPr>
        <w:spacing w:after="80" w:before="60"/>
        <w:jc w:val="both"/>
      </w:pPr>
      <w:r>
        <w:rPr>
          <w:rFonts w:ascii="Arial" w:cs="Arial" w:eastAsia="Arial" w:hAnsi="Arial"/>
          <w:color w:val="1A2340"/>
          <w:sz w:val="22"/>
          <w:szCs w:val="22"/>
        </w:rPr>
        <w:t xml:space="preserve">[ORGANIZATION NAME] acknowledges that occasional personal use of company technology is a normal aspect of contemporary working life. This appendix provides guidance on what is tolerated and what is not.</w:t>
      </w:r>
    </w:p>
    <w:p>
      <w:pPr>
        <w:spacing w:after="40" w:before="0"/>
      </w:pPr>
      <w:r>
        <w:t xml:space="preserve"/>
      </w:r>
    </w:p>
    <w:p>
      <w:pPr>
        <w:spacing w:after="80" w:before="60"/>
        <w:jc w:val="both"/>
      </w:pPr>
      <w:r>
        <w:rPr>
          <w:rFonts w:ascii="Arial" w:cs="Arial" w:eastAsia="Arial" w:hAnsi="Arial"/>
          <w:color w:val="1A2340"/>
          <w:sz w:val="22"/>
          <w:szCs w:val="22"/>
        </w:rPr>
        <w:t xml:space="preserve">Personal use is tolerated when ALL of the following conditions are met:</w:t>
      </w:r>
    </w:p>
    <w:p>
      <w:pPr>
        <w:pStyle w:val="ListParagraph"/>
        <w:numPr>
          <w:ilvl w:val="0"/>
          <w:numId w:val="2"/>
        </w:numPr>
        <w:spacing w:after="40" w:before="40"/>
      </w:pPr>
      <w:r>
        <w:rPr>
          <w:rFonts w:ascii="Arial" w:cs="Arial" w:eastAsia="Arial" w:hAnsi="Arial"/>
          <w:color w:val="1A2340"/>
          <w:sz w:val="22"/>
          <w:szCs w:val="22"/>
        </w:rPr>
        <w:t xml:space="preserve">It is infrequent and brief — occasional personal activity during breaks or before/after working hours.</w:t>
      </w:r>
    </w:p>
    <w:p>
      <w:pPr>
        <w:pStyle w:val="ListParagraph"/>
        <w:numPr>
          <w:ilvl w:val="0"/>
          <w:numId w:val="2"/>
        </w:numPr>
        <w:spacing w:after="40" w:before="40"/>
      </w:pPr>
      <w:r>
        <w:rPr>
          <w:rFonts w:ascii="Arial" w:cs="Arial" w:eastAsia="Arial" w:hAnsi="Arial"/>
          <w:color w:val="1A2340"/>
          <w:sz w:val="22"/>
          <w:szCs w:val="22"/>
        </w:rPr>
        <w:t xml:space="preserve">It does not interfere with the user's work performance, productivity, or availability.</w:t>
      </w:r>
    </w:p>
    <w:p>
      <w:pPr>
        <w:pStyle w:val="ListParagraph"/>
        <w:numPr>
          <w:ilvl w:val="0"/>
          <w:numId w:val="2"/>
        </w:numPr>
        <w:spacing w:after="40" w:before="40"/>
      </w:pPr>
      <w:r>
        <w:rPr>
          <w:rFonts w:ascii="Arial" w:cs="Arial" w:eastAsia="Arial" w:hAnsi="Arial"/>
          <w:color w:val="1A2340"/>
          <w:sz w:val="22"/>
          <w:szCs w:val="22"/>
        </w:rPr>
        <w:t xml:space="preserve">It does not consume significant network bandwidth or system resources.</w:t>
      </w:r>
    </w:p>
    <w:p>
      <w:pPr>
        <w:pStyle w:val="ListParagraph"/>
        <w:numPr>
          <w:ilvl w:val="0"/>
          <w:numId w:val="2"/>
        </w:numPr>
        <w:spacing w:after="40" w:before="40"/>
      </w:pPr>
      <w:r>
        <w:rPr>
          <w:rFonts w:ascii="Arial" w:cs="Arial" w:eastAsia="Arial" w:hAnsi="Arial"/>
          <w:color w:val="1A2340"/>
          <w:sz w:val="22"/>
          <w:szCs w:val="22"/>
        </w:rPr>
        <w:t xml:space="preserve">It does not create any security risk to company systems or data.</w:t>
      </w:r>
    </w:p>
    <w:p>
      <w:pPr>
        <w:pStyle w:val="ListParagraph"/>
        <w:numPr>
          <w:ilvl w:val="0"/>
          <w:numId w:val="2"/>
        </w:numPr>
        <w:spacing w:after="40" w:before="40"/>
      </w:pPr>
      <w:r>
        <w:rPr>
          <w:rFonts w:ascii="Arial" w:cs="Arial" w:eastAsia="Arial" w:hAnsi="Arial"/>
          <w:color w:val="1A2340"/>
          <w:sz w:val="22"/>
          <w:szCs w:val="22"/>
        </w:rPr>
        <w:t xml:space="preserve">It does not involve access to, creation of, or transmission of any content that falls within the Prohibited Use categories in Appendix A.</w:t>
      </w:r>
    </w:p>
    <w:p>
      <w:pPr>
        <w:pStyle w:val="ListParagraph"/>
        <w:numPr>
          <w:ilvl w:val="0"/>
          <w:numId w:val="2"/>
        </w:numPr>
        <w:spacing w:after="40" w:before="40"/>
      </w:pPr>
      <w:r>
        <w:rPr>
          <w:rFonts w:ascii="Arial" w:cs="Arial" w:eastAsia="Arial" w:hAnsi="Arial"/>
          <w:color w:val="1A2340"/>
          <w:sz w:val="22"/>
          <w:szCs w:val="22"/>
        </w:rPr>
        <w:t xml:space="preserve">It complies with all other sections of this policy.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07B4D9" w:sz="4"/>
              <w:left w:val="single" w:color="07B4D9" w:sz="4"/>
              <w:bottom w:val="single" w:color="07B4D9" w:sz="4"/>
              <w:right w:val="single" w:color="07B4D9" w:sz="4"/>
            </w:tcBorders>
            <w:shd w:fill="07B4D9" w:val="clear"/>
            <w:tcMar>
              <w:top w:type="dxa" w:w="80"/>
              <w:left w:type="dxa" w:w="120"/>
              <w:bottom w:type="dxa" w:w="80"/>
              <w:right w:type="dxa" w:w="120"/>
            </w:tcMar>
            <w:vAlign w:val="center"/>
          </w:tcPr>
          <w:p>
            <w:r>
              <w:rPr>
                <w:rFonts w:ascii="Arial" w:cs="Arial" w:eastAsia="Arial" w:hAnsi="Arial"/>
                <w:b/>
                <w:bCs/>
                <w:color w:val="FFFFFF"/>
                <w:sz w:val="19"/>
                <w:szCs w:val="19"/>
              </w:rPr>
              <w:t xml:space="preserve">Generally Tolerated</w:t>
            </w:r>
          </w:p>
        </w:tc>
        <w:tc>
          <w:tcPr>
            <w:tcW w:type="dxa" w:w="468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Not Tolerated</w:t>
            </w:r>
          </w:p>
        </w:tc>
      </w:tr>
      <w:tr>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30" w:before="40"/>
            </w:pPr>
            <w:r>
              <w:rPr>
                <w:rFonts w:ascii="Arial" w:cs="Arial" w:eastAsia="Arial" w:hAnsi="Arial"/>
                <w:color w:val="1A2340"/>
                <w:sz w:val="20"/>
                <w:szCs w:val="20"/>
              </w:rPr>
              <w:t xml:space="preserve">Brief personal email or messaging during breaks.</w:t>
            </w:r>
          </w:p>
          <w:p>
            <w:pPr>
              <w:spacing w:after="30" w:before="30"/>
            </w:pPr>
            <w:r>
              <w:rPr>
                <w:rFonts w:ascii="Arial" w:cs="Arial" w:eastAsia="Arial" w:hAnsi="Arial"/>
                <w:color w:val="1A2340"/>
                <w:sz w:val="20"/>
                <w:szCs w:val="20"/>
              </w:rPr>
              <w:t xml:space="preserve">Quick personal web browsing (news, weather, banking) on approved sites.</w:t>
            </w:r>
          </w:p>
          <w:p>
            <w:pPr>
              <w:spacing w:after="30" w:before="30"/>
            </w:pPr>
            <w:r>
              <w:rPr>
                <w:rFonts w:ascii="Arial" w:cs="Arial" w:eastAsia="Arial" w:hAnsi="Arial"/>
                <w:color w:val="1A2340"/>
                <w:sz w:val="20"/>
                <w:szCs w:val="20"/>
              </w:rPr>
              <w:t xml:space="preserve">Viewing personal social media briefly during breaks.</w:t>
            </w:r>
          </w:p>
          <w:p>
            <w:pPr>
              <w:spacing w:after="30" w:before="30"/>
            </w:pPr>
            <w:r>
              <w:rPr>
                <w:rFonts w:ascii="Arial" w:cs="Arial" w:eastAsia="Arial" w:hAnsi="Arial"/>
                <w:color w:val="1A2340"/>
                <w:sz w:val="20"/>
                <w:szCs w:val="20"/>
              </w:rPr>
              <w:t xml:space="preserve">Online shopping for personal items (brief, non-recurring).</w:t>
            </w:r>
          </w:p>
          <w:p>
            <w:pPr>
              <w:spacing w:after="40" w:before="30"/>
            </w:pPr>
            <w:r>
              <w:rPr>
                <w:rFonts w:ascii="Arial" w:cs="Arial" w:eastAsia="Arial" w:hAnsi="Arial"/>
                <w:color w:val="1A2340"/>
                <w:sz w:val="20"/>
                <w:szCs w:val="20"/>
              </w:rPr>
              <w:t xml:space="preserve">Listening to music or podcasts via headphones that does not consume excessive bandwidth.</w:t>
            </w:r>
          </w:p>
        </w:tc>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30" w:before="40"/>
            </w:pPr>
            <w:r>
              <w:rPr>
                <w:rFonts w:ascii="Arial" w:cs="Arial" w:eastAsia="Arial" w:hAnsi="Arial"/>
                <w:color w:val="1A2340"/>
                <w:sz w:val="20"/>
                <w:szCs w:val="20"/>
              </w:rPr>
              <w:t xml:space="preserve">Extended personal use during work hours that reduces productivity.</w:t>
            </w:r>
          </w:p>
          <w:p>
            <w:pPr>
              <w:spacing w:after="30" w:before="30"/>
            </w:pPr>
            <w:r>
              <w:rPr>
                <w:rFonts w:ascii="Arial" w:cs="Arial" w:eastAsia="Arial" w:hAnsi="Arial"/>
                <w:color w:val="1A2340"/>
                <w:sz w:val="20"/>
                <w:szCs w:val="20"/>
              </w:rPr>
              <w:t xml:space="preserve">Streaming video or large personal downloads on company networks.</w:t>
            </w:r>
          </w:p>
          <w:p>
            <w:pPr>
              <w:spacing w:after="30" w:before="30"/>
            </w:pPr>
            <w:r>
              <w:rPr>
                <w:rFonts w:ascii="Arial" w:cs="Arial" w:eastAsia="Arial" w:hAnsi="Arial"/>
                <w:color w:val="1A2340"/>
                <w:sz w:val="20"/>
                <w:szCs w:val="20"/>
              </w:rPr>
              <w:t xml:space="preserve">Running a personal business or side venture using company systems.</w:t>
            </w:r>
          </w:p>
          <w:p>
            <w:pPr>
              <w:spacing w:after="30" w:before="30"/>
            </w:pPr>
            <w:r>
              <w:rPr>
                <w:rFonts w:ascii="Arial" w:cs="Arial" w:eastAsia="Arial" w:hAnsi="Arial"/>
                <w:color w:val="1A2340"/>
                <w:sz w:val="20"/>
                <w:szCs w:val="20"/>
              </w:rPr>
              <w:t xml:space="preserve">Any activity in the Prohibited Use categories (Appendix A).</w:t>
            </w:r>
          </w:p>
          <w:p>
            <w:pPr>
              <w:spacing w:after="40" w:before="30"/>
            </w:pPr>
            <w:r>
              <w:rPr>
                <w:rFonts w:ascii="Arial" w:cs="Arial" w:eastAsia="Arial" w:hAnsi="Arial"/>
                <w:color w:val="1A2340"/>
                <w:sz w:val="20"/>
                <w:szCs w:val="20"/>
              </w:rPr>
              <w:t xml:space="preserve">Storing personal photos, videos, or files on company systems or cloud.</w:t>
            </w:r>
          </w:p>
        </w:tc>
      </w:tr>
    </w:tbl>
    <w:p>
      <w:pPr>
        <w:spacing w:after="80" w:before="0"/>
      </w:pPr>
      <w:r>
        <w:t xml:space="preserve"/>
      </w:r>
    </w:p>
    <w:p>
      <w:pPr>
        <w:spacing w:after="60" w:before="40"/>
        <w:jc w:val="both"/>
      </w:pPr>
      <w:r>
        <w:rPr>
          <w:rFonts w:ascii="Arial" w:cs="Arial" w:eastAsia="Arial" w:hAnsi="Arial"/>
          <w:i/>
          <w:iCs/>
          <w:color w:val="5A6A8A"/>
          <w:sz w:val="19"/>
          <w:szCs w:val="19"/>
        </w:rPr>
        <w:t xml:space="preserve">Personal use is a discretionary tolerance, not a right. [ORGANIZATION NAME] reserves the right to restrict, monitor, or withdraw personal use access at any time. Nothing in this appendix limits the application of Section 6.13 (Privacy and Monitoring).</w:t>
      </w:r>
    </w:p>
    <w:p>
      <w:r>
        <w:br w:type="page"/>
      </w:r>
    </w:p>
    <w:p>
      <w:pPr>
        <w:pStyle w:val="Heading1"/>
        <w:pBdr>
          <w:bottom w:val="single" w:color="07B4D9" w:sz="8" w:space="4"/>
        </w:pBdr>
        <w:spacing w:after="120" w:before="400"/>
      </w:pPr>
      <w:bookmarkStart w:name="appC" w:id="63"/>
      <w:r>
        <w:rPr>
          <w:rFonts w:ascii="Arial" w:cs="Arial" w:eastAsia="Arial" w:hAnsi="Arial"/>
          <w:b/>
          <w:bCs/>
          <w:color w:val="152168"/>
          <w:sz w:val="30"/>
          <w:szCs w:val="30"/>
        </w:rPr>
        <w:t xml:space="preserve">Appendix C — Framework Mapping</w:t>
      </w:r>
      <w:bookmarkEnd w:id="64"/>
    </w:p>
    <w:p>
      <w:pPr>
        <w:spacing w:after="80" w:before="60"/>
        <w:jc w:val="both"/>
      </w:pPr>
      <w:r>
        <w:rPr>
          <w:rFonts w:ascii="Arial" w:cs="Arial" w:eastAsia="Arial" w:hAnsi="Arial"/>
          <w:color w:val="1A2340"/>
          <w:sz w:val="22"/>
          <w:szCs w:val="22"/>
        </w:rPr>
        <w:t xml:space="preserve">This appendix maps the key requirements of this Acceptable Use Policy to NIST SP 800-53 Rev 5 controls and ISO/IEC 27001:2022 Annex A clauses, supporting audit, compliance, and control assurance activities.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80"/>
        <w:gridCol w:w="3720"/>
        <w:gridCol w:w="3360"/>
      </w:tblGrid>
      <w:tr>
        <w:tc>
          <w:tcPr>
            <w:tcW w:type="dxa" w:w="6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168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Policy Section</w:t>
            </w:r>
          </w:p>
        </w:tc>
        <w:tc>
          <w:tcPr>
            <w:tcW w:type="dxa" w:w="372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NIST SP 800-53 Rev 5 Controls</w:t>
            </w:r>
          </w:p>
        </w:tc>
        <w:tc>
          <w:tcPr>
            <w:tcW w:type="dxa" w:w="33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ISO/IEC 27001:2022 Clauses</w:t>
            </w:r>
          </w:p>
        </w:tc>
      </w:tr>
      <w:tr>
        <w:tc>
          <w:tcPr>
            <w:tcW w:type="dxa" w:w="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3</w:t>
            </w:r>
          </w:p>
        </w:tc>
        <w:tc>
          <w:tcPr>
            <w:tcW w:type="dxa" w:w="1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Policy Statement</w:t>
            </w:r>
          </w:p>
        </w:tc>
        <w:tc>
          <w:tcPr>
            <w:tcW w:type="dxa" w:w="37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PL-4 (Rules of Behavior)</w:t>
            </w:r>
          </w:p>
        </w:tc>
        <w:tc>
          <w:tcPr>
            <w:tcW w:type="dxa" w:w="3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A.5.10 (Acceptable use of information)</w:t>
            </w:r>
          </w:p>
        </w:tc>
      </w:tr>
      <w:tr>
        <w:tc>
          <w:tcPr>
            <w:tcW w:type="dxa" w:w="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5.1</w:t>
            </w:r>
          </w:p>
        </w:tc>
        <w:tc>
          <w:tcPr>
            <w:tcW w:type="dxa" w:w="1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Executive Leadership</w:t>
            </w:r>
          </w:p>
        </w:tc>
        <w:tc>
          <w:tcPr>
            <w:tcW w:type="dxa" w:w="37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PM-1 (Information Security Program Plan); PM-9 (Risk Management Strategy)</w:t>
            </w:r>
          </w:p>
        </w:tc>
        <w:tc>
          <w:tcPr>
            <w:tcW w:type="dxa" w:w="3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5.1 (Leadership and commitment); 5.2 (Policy)</w:t>
            </w:r>
          </w:p>
        </w:tc>
      </w:tr>
      <w:tr>
        <w:tc>
          <w:tcPr>
            <w:tcW w:type="dxa" w:w="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5.2</w:t>
            </w:r>
          </w:p>
        </w:tc>
        <w:tc>
          <w:tcPr>
            <w:tcW w:type="dxa" w:w="1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CISO / vCISO</w:t>
            </w:r>
          </w:p>
        </w:tc>
        <w:tc>
          <w:tcPr>
            <w:tcW w:type="dxa" w:w="37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PM-2 (Information Security Program Leadership Role)</w:t>
            </w:r>
          </w:p>
        </w:tc>
        <w:tc>
          <w:tcPr>
            <w:tcW w:type="dxa" w:w="3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5.3 (Organizational roles, responsibilities and authorities)</w:t>
            </w:r>
          </w:p>
        </w:tc>
      </w:tr>
      <w:tr>
        <w:tc>
          <w:tcPr>
            <w:tcW w:type="dxa" w:w="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5.3–5.4</w:t>
            </w:r>
          </w:p>
        </w:tc>
        <w:tc>
          <w:tcPr>
            <w:tcW w:type="dxa" w:w="1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Managers / All Staff</w:t>
            </w:r>
          </w:p>
        </w:tc>
        <w:tc>
          <w:tcPr>
            <w:tcW w:type="dxa" w:w="37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AT-2 (Literacy Training); PS-6 (Access Agreements)</w:t>
            </w:r>
          </w:p>
        </w:tc>
        <w:tc>
          <w:tcPr>
            <w:tcW w:type="dxa" w:w="3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6.2 (Terms and conditions); 7.2 (Competence); 7.3 (Awareness)</w:t>
            </w:r>
          </w:p>
        </w:tc>
      </w:tr>
      <w:tr>
        <w:tc>
          <w:tcPr>
            <w:tcW w:type="dxa" w:w="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6.1</w:t>
            </w:r>
          </w:p>
        </w:tc>
        <w:tc>
          <w:tcPr>
            <w:tcW w:type="dxa" w:w="1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Authorized Use</w:t>
            </w:r>
          </w:p>
        </w:tc>
        <w:tc>
          <w:tcPr>
            <w:tcW w:type="dxa" w:w="37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AC-2 (Account Management); PL-4 (Rules of Behavior)</w:t>
            </w:r>
          </w:p>
        </w:tc>
        <w:tc>
          <w:tcPr>
            <w:tcW w:type="dxa" w:w="3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A.5.10; A.6.2 (Terms and conditions of employment)</w:t>
            </w:r>
          </w:p>
        </w:tc>
      </w:tr>
      <w:tr>
        <w:tc>
          <w:tcPr>
            <w:tcW w:type="dxa" w:w="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6.2</w:t>
            </w:r>
          </w:p>
        </w:tc>
        <w:tc>
          <w:tcPr>
            <w:tcW w:type="dxa" w:w="1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Internet / Web Browsing</w:t>
            </w:r>
          </w:p>
        </w:tc>
        <w:tc>
          <w:tcPr>
            <w:tcW w:type="dxa" w:w="37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AC-4 (Information Flow); SC-7 (Boundary Protection); SI-3 (Malicious Code)</w:t>
            </w:r>
          </w:p>
        </w:tc>
        <w:tc>
          <w:tcPr>
            <w:tcW w:type="dxa" w:w="3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A.5.10; A.8.20 (Networks security); A.8.23 (Web filtering)</w:t>
            </w:r>
          </w:p>
        </w:tc>
      </w:tr>
      <w:tr>
        <w:tc>
          <w:tcPr>
            <w:tcW w:type="dxa" w:w="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6.3</w:t>
            </w:r>
          </w:p>
        </w:tc>
        <w:tc>
          <w:tcPr>
            <w:tcW w:type="dxa" w:w="1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Email / Communications</w:t>
            </w:r>
          </w:p>
        </w:tc>
        <w:tc>
          <w:tcPr>
            <w:tcW w:type="dxa" w:w="37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SC-8 (Transmission Confidentiality); AU-2 (Event Logging); SI-8 (Spam Protection)</w:t>
            </w:r>
          </w:p>
        </w:tc>
        <w:tc>
          <w:tcPr>
            <w:tcW w:type="dxa" w:w="3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A.5.14 (Information transfer); A.8.20; A.8.23</w:t>
            </w:r>
          </w:p>
        </w:tc>
      </w:tr>
      <w:tr>
        <w:tc>
          <w:tcPr>
            <w:tcW w:type="dxa" w:w="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6.4</w:t>
            </w:r>
          </w:p>
        </w:tc>
        <w:tc>
          <w:tcPr>
            <w:tcW w:type="dxa" w:w="1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Company Device Management</w:t>
            </w:r>
          </w:p>
        </w:tc>
        <w:tc>
          <w:tcPr>
            <w:tcW w:type="dxa" w:w="37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AC-19 (Mobile Devices); MP-4 (Media Storage); SC-28 (Protection at Rest)</w:t>
            </w:r>
          </w:p>
        </w:tc>
        <w:tc>
          <w:tcPr>
            <w:tcW w:type="dxa" w:w="3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A.7.8 (Clear desk/screen); A.8.1 (User endpoint devices)</w:t>
            </w:r>
          </w:p>
        </w:tc>
      </w:tr>
      <w:tr>
        <w:tc>
          <w:tcPr>
            <w:tcW w:type="dxa" w:w="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6.5</w:t>
            </w:r>
          </w:p>
        </w:tc>
        <w:tc>
          <w:tcPr>
            <w:tcW w:type="dxa" w:w="1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BYOD</w:t>
            </w:r>
          </w:p>
        </w:tc>
        <w:tc>
          <w:tcPr>
            <w:tcW w:type="dxa" w:w="37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AC-19 (Mobile Devices); AC-20 (External Systems)</w:t>
            </w:r>
          </w:p>
        </w:tc>
        <w:tc>
          <w:tcPr>
            <w:tcW w:type="dxa" w:w="3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A.6.2; A.8.1 (User endpoint devices)</w:t>
            </w:r>
          </w:p>
        </w:tc>
      </w:tr>
      <w:tr>
        <w:tc>
          <w:tcPr>
            <w:tcW w:type="dxa" w:w="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6.6</w:t>
            </w:r>
          </w:p>
        </w:tc>
        <w:tc>
          <w:tcPr>
            <w:tcW w:type="dxa" w:w="1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Data Classification</w:t>
            </w:r>
          </w:p>
        </w:tc>
        <w:tc>
          <w:tcPr>
            <w:tcW w:type="dxa" w:w="37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AC-16 (Security Attributes); MP-3 (Media Marking); RA-2 (Security Categorization)</w:t>
            </w:r>
          </w:p>
        </w:tc>
        <w:tc>
          <w:tcPr>
            <w:tcW w:type="dxa" w:w="3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A.5.12 (Classification); A.5.13 (Labelling); A.5.33 (Records)</w:t>
            </w:r>
          </w:p>
        </w:tc>
      </w:tr>
      <w:tr>
        <w:tc>
          <w:tcPr>
            <w:tcW w:type="dxa" w:w="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6.7</w:t>
            </w:r>
          </w:p>
        </w:tc>
        <w:tc>
          <w:tcPr>
            <w:tcW w:type="dxa" w:w="1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Social Media</w:t>
            </w:r>
          </w:p>
        </w:tc>
        <w:tc>
          <w:tcPr>
            <w:tcW w:type="dxa" w:w="37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PL-4 (Rules of Behavior); AT-2 (Literacy Training)</w:t>
            </w:r>
          </w:p>
        </w:tc>
        <w:tc>
          <w:tcPr>
            <w:tcW w:type="dxa" w:w="3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A.5.10; A.6.2; A.7.2.2 (Awareness, education and training)</w:t>
            </w:r>
          </w:p>
        </w:tc>
      </w:tr>
      <w:tr>
        <w:tc>
          <w:tcPr>
            <w:tcW w:type="dxa" w:w="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6.8</w:t>
            </w:r>
          </w:p>
        </w:tc>
        <w:tc>
          <w:tcPr>
            <w:tcW w:type="dxa" w:w="1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Remote Access / VPN</w:t>
            </w:r>
          </w:p>
        </w:tc>
        <w:tc>
          <w:tcPr>
            <w:tcW w:type="dxa" w:w="37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AC-17 (Remote Access); IA-2 (Authentication); SC-8 (Transmission Confidentiality)</w:t>
            </w:r>
          </w:p>
        </w:tc>
        <w:tc>
          <w:tcPr>
            <w:tcW w:type="dxa" w:w="3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A.6.7 (Remote working); A.8.20 (Networks security)</w:t>
            </w:r>
          </w:p>
        </w:tc>
      </w:tr>
      <w:tr>
        <w:tc>
          <w:tcPr>
            <w:tcW w:type="dxa" w:w="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6.9</w:t>
            </w:r>
          </w:p>
        </w:tc>
        <w:tc>
          <w:tcPr>
            <w:tcW w:type="dxa" w:w="1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Software / Shadow IT</w:t>
            </w:r>
          </w:p>
        </w:tc>
        <w:tc>
          <w:tcPr>
            <w:tcW w:type="dxa" w:w="37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CM-7 (Least Functionality); CM-11 (User-Installed Software); SA-4 (Acquisition)</w:t>
            </w:r>
          </w:p>
        </w:tc>
        <w:tc>
          <w:tcPr>
            <w:tcW w:type="dxa" w:w="3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A.8.19 (Software installation); A.5.32 (IP rights)</w:t>
            </w:r>
          </w:p>
        </w:tc>
      </w:tr>
      <w:tr>
        <w:tc>
          <w:tcPr>
            <w:tcW w:type="dxa" w:w="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6.10</w:t>
            </w:r>
          </w:p>
        </w:tc>
        <w:tc>
          <w:tcPr>
            <w:tcW w:type="dxa" w:w="1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Cloud / Third-Party Apps</w:t>
            </w:r>
          </w:p>
        </w:tc>
        <w:tc>
          <w:tcPr>
            <w:tcW w:type="dxa" w:w="37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SA-9 (External Services); AC-20 (External Systems); RA-3 (Risk Assessment)</w:t>
            </w:r>
          </w:p>
        </w:tc>
        <w:tc>
          <w:tcPr>
            <w:tcW w:type="dxa" w:w="3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A.5.19 (Supplier relationships); A.5.23 (Cloud services)</w:t>
            </w:r>
          </w:p>
        </w:tc>
      </w:tr>
      <w:tr>
        <w:tc>
          <w:tcPr>
            <w:tcW w:type="dxa" w:w="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6.11</w:t>
            </w:r>
          </w:p>
        </w:tc>
        <w:tc>
          <w:tcPr>
            <w:tcW w:type="dxa" w:w="1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AI Tools</w:t>
            </w:r>
          </w:p>
        </w:tc>
        <w:tc>
          <w:tcPr>
            <w:tcW w:type="dxa" w:w="37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PL-4 (Rules of Behavior); CM-7 (Least Functionality)</w:t>
            </w:r>
          </w:p>
        </w:tc>
        <w:tc>
          <w:tcPr>
            <w:tcW w:type="dxa" w:w="3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A.5.10; A.5.12; [ISO 42001:2023 — see AI Governance Policy]</w:t>
            </w:r>
          </w:p>
        </w:tc>
      </w:tr>
      <w:tr>
        <w:tc>
          <w:tcPr>
            <w:tcW w:type="dxa" w:w="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6.12</w:t>
            </w:r>
          </w:p>
        </w:tc>
        <w:tc>
          <w:tcPr>
            <w:tcW w:type="dxa" w:w="1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Password / Account Security</w:t>
            </w:r>
          </w:p>
        </w:tc>
        <w:tc>
          <w:tcPr>
            <w:tcW w:type="dxa" w:w="37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IA-5 (Authenticator Management); IA-2 (Identification and Authentication)</w:t>
            </w:r>
          </w:p>
        </w:tc>
        <w:tc>
          <w:tcPr>
            <w:tcW w:type="dxa" w:w="3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A.5.16 (Identity management); A.5.17 (Authentication); A.8.5</w:t>
            </w:r>
          </w:p>
        </w:tc>
      </w:tr>
      <w:tr>
        <w:tc>
          <w:tcPr>
            <w:tcW w:type="dxa" w:w="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6.13</w:t>
            </w:r>
          </w:p>
        </w:tc>
        <w:tc>
          <w:tcPr>
            <w:tcW w:type="dxa" w:w="1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Privacy / Monitoring</w:t>
            </w:r>
          </w:p>
        </w:tc>
        <w:tc>
          <w:tcPr>
            <w:tcW w:type="dxa" w:w="37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AU-2 (Event Logging); AU-6 (Audit Review); SI-4 (System Monitoring)</w:t>
            </w:r>
          </w:p>
        </w:tc>
        <w:tc>
          <w:tcPr>
            <w:tcW w:type="dxa" w:w="3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A.5.36 (Compliance); A.8.15 (Logging); A.8.16 (Monitoring)</w:t>
            </w:r>
          </w:p>
        </w:tc>
      </w:tr>
      <w:tr>
        <w:tc>
          <w:tcPr>
            <w:tcW w:type="dxa" w:w="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6.14</w:t>
            </w:r>
          </w:p>
        </w:tc>
        <w:tc>
          <w:tcPr>
            <w:tcW w:type="dxa" w:w="1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Physical Security</w:t>
            </w:r>
          </w:p>
        </w:tc>
        <w:tc>
          <w:tcPr>
            <w:tcW w:type="dxa" w:w="37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MP-4 (Media Storage); PE-17 (Alternate Work Site)</w:t>
            </w:r>
          </w:p>
        </w:tc>
        <w:tc>
          <w:tcPr>
            <w:tcW w:type="dxa" w:w="3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A.7.1 (Physical security); A.7.7 (Clear desk); A.7.9 (Off-premises)</w:t>
            </w:r>
          </w:p>
        </w:tc>
      </w:tr>
      <w:tr>
        <w:tc>
          <w:tcPr>
            <w:tcW w:type="dxa" w:w="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6.15</w:t>
            </w:r>
          </w:p>
        </w:tc>
        <w:tc>
          <w:tcPr>
            <w:tcW w:type="dxa" w:w="1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IP / Confidentiality</w:t>
            </w:r>
          </w:p>
        </w:tc>
        <w:tc>
          <w:tcPr>
            <w:tcW w:type="dxa" w:w="37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PL-4 (Rules of Behavior); PS-6 (Access Agreements)</w:t>
            </w:r>
          </w:p>
        </w:tc>
        <w:tc>
          <w:tcPr>
            <w:tcW w:type="dxa" w:w="3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A.5.32 (IP rights); A.6.6 (NDAs)</w:t>
            </w:r>
          </w:p>
        </w:tc>
      </w:tr>
      <w:tr>
        <w:tc>
          <w:tcPr>
            <w:tcW w:type="dxa" w:w="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7</w:t>
            </w:r>
          </w:p>
        </w:tc>
        <w:tc>
          <w:tcPr>
            <w:tcW w:type="dxa" w:w="1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Enforcement</w:t>
            </w:r>
          </w:p>
        </w:tc>
        <w:tc>
          <w:tcPr>
            <w:tcW w:type="dxa" w:w="37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PM-1 (Program Plan); IR-2 (Incident Response Training)</w:t>
            </w:r>
          </w:p>
        </w:tc>
        <w:tc>
          <w:tcPr>
            <w:tcW w:type="dxa" w:w="3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A.5.36; 9.1 (Monitoring and measurement)</w:t>
            </w:r>
          </w:p>
        </w:tc>
      </w:tr>
      <w:tr>
        <w:tc>
          <w:tcPr>
            <w:tcW w:type="dxa" w:w="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8</w:t>
            </w:r>
          </w:p>
        </w:tc>
        <w:tc>
          <w:tcPr>
            <w:tcW w:type="dxa" w:w="1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Exceptions</w:t>
            </w:r>
          </w:p>
        </w:tc>
        <w:tc>
          <w:tcPr>
            <w:tcW w:type="dxa" w:w="37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RA-3 (Risk Assessment); PM-9 (Risk Management)</w:t>
            </w:r>
          </w:p>
        </w:tc>
        <w:tc>
          <w:tcPr>
            <w:tcW w:type="dxa" w:w="3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6.1 (Actions to address risks); A.5.36 (Compliance)</w:t>
            </w:r>
          </w:p>
        </w:tc>
      </w:tr>
      <w:tr>
        <w:tc>
          <w:tcPr>
            <w:tcW w:type="dxa" w:w="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App. A</w:t>
            </w:r>
          </w:p>
        </w:tc>
        <w:tc>
          <w:tcPr>
            <w:tcW w:type="dxa" w:w="1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Prohibited Use</w:t>
            </w:r>
          </w:p>
        </w:tc>
        <w:tc>
          <w:tcPr>
            <w:tcW w:type="dxa" w:w="37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PL-4; AC-2; IR-6 (Incident Reporting)</w:t>
            </w:r>
          </w:p>
        </w:tc>
        <w:tc>
          <w:tcPr>
            <w:tcW w:type="dxa" w:w="3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A.5.10; A.5.36; A.8.16 (Monitoring)</w:t>
            </w:r>
          </w:p>
        </w:tc>
      </w:tr>
      <w:tr>
        <w:tc>
          <w:tcPr>
            <w:tcW w:type="dxa" w:w="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App. B</w:t>
            </w:r>
          </w:p>
        </w:tc>
        <w:tc>
          <w:tcPr>
            <w:tcW w:type="dxa" w:w="1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Personal Use</w:t>
            </w:r>
          </w:p>
        </w:tc>
        <w:tc>
          <w:tcPr>
            <w:tcW w:type="dxa" w:w="37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PL-4 (Rules of Behavior)</w:t>
            </w:r>
          </w:p>
        </w:tc>
        <w:tc>
          <w:tcPr>
            <w:tcW w:type="dxa" w:w="3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A.5.10; A.6.2</w:t>
            </w:r>
          </w:p>
        </w:tc>
      </w:tr>
    </w:tbl>
    <w:p>
      <w:pPr>
        <w:spacing w:after="80" w:before="0"/>
      </w:pPr>
      <w:r>
        <w:t xml:space="preserve"/>
      </w:r>
    </w:p>
    <w:p>
      <w:pPr>
        <w:spacing w:after="60" w:before="40"/>
        <w:jc w:val="both"/>
      </w:pPr>
      <w:r>
        <w:rPr>
          <w:rFonts w:ascii="Arial" w:cs="Arial" w:eastAsia="Arial" w:hAnsi="Arial"/>
          <w:i/>
          <w:iCs/>
          <w:color w:val="5A6A8A"/>
          <w:sz w:val="19"/>
          <w:szCs w:val="19"/>
        </w:rPr>
        <w:t xml:space="preserve">NIST SP 800-53 Rev 5 control families referenced: AC (Access Control), AT (Awareness and Training), AU (Audit and Accountability), CM (Configuration Management), IA (Identification and Authentication), IR (Incident Response), MP (Media Protection), PE (Physical and Environmental Protection), PL (Planning), PM (Program Management), PS (Personnel Security), RA (Risk Assessment), SA (System and Services Acquisition), SC (System and Communications Protection), SI (System and Information Integrity). ISO/IEC 27001:2022 Annex A references use the 2022 control numbering (A.5–A.8 domains).</w:t>
      </w:r>
    </w:p>
    <w:p>
      <w:pPr>
        <w:spacing w:after="160" w:before="0"/>
      </w:pPr>
      <w:r>
        <w:t xml:space="preserve"/>
      </w:r>
    </w:p>
    <w:p>
      <w:pPr>
        <w:jc w:val="center"/>
      </w:pPr>
      <w:r>
        <w:rPr>
          <w:rFonts w:ascii="Arial" w:cs="Arial" w:eastAsia="Arial" w:hAnsi="Arial"/>
          <w:b/>
          <w:bCs/>
          <w:color w:val="152168"/>
          <w:sz w:val="20"/>
          <w:szCs w:val="20"/>
        </w:rPr>
        <w:t xml:space="preserve">END OF DOCUMENT</w:t>
      </w:r>
    </w:p>
    <w:p>
      <w:pPr>
        <w:jc w:val="center"/>
      </w:pPr>
      <w:r>
        <w:rPr>
          <w:rFonts w:ascii="Arial" w:cs="Arial" w:eastAsia="Arial" w:hAnsi="Arial"/>
          <w:color w:val="5A6A8A"/>
          <w:sz w:val="18"/>
          <w:szCs w:val="18"/>
        </w:rPr>
        <w:t xml:space="preserve">ENT-Draft-POL-AUP-Comprehensive-6.26  |  Version 1.0  |  © [ORGANIZATION NAME]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space="4"/>
      </w:pBdr>
      <w:spacing w:before="0"/>
    </w:pPr>
    <w:r>
      <w:rPr>
        <w:rFonts w:ascii="Arial" w:cs="Arial" w:eastAsia="Arial" w:hAnsi="Arial"/>
        <w:i/>
        <w:iCs/>
        <w:color w:val="5A6A8A"/>
        <w:sz w:val="16"/>
        <w:szCs w:val="16"/>
      </w:rPr>
      <w:t xml:space="preserve">INTERNAL — CONFIDENTIAL  |  © [ORGANIZATION NAME].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F" w:sz="4" w:space="4"/>
      </w:pBdr>
      <w:tabs>
        <w:tab w:val="right" w:pos="9026"/>
      </w:tabs>
      <w:spacing w:after="0"/>
    </w:pPr>
    <w:r>
      <w:rPr>
        <w:rFonts w:ascii="Arial" w:cs="Arial" w:eastAsia="Arial" w:hAnsi="Arial"/>
        <w:color w:val="5A6A8A"/>
        <w:sz w:val="18"/>
        <w:szCs w:val="18"/>
      </w:rPr>
      <w:t xml:space="preserve">ENT-Draft-POL-AUP-Comprehensive-6.26  |  Acceptable Use Policy</w:t>
    </w:r>
    <w:r>
      <w:rPr>
        <w:rFonts w:ascii="Arial" w:cs="Arial" w:eastAsia="Arial" w:hAnsi="Arial"/>
        <w:color w:val="5A6A8A"/>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52168"/>
      <w:sz w:val="30"/>
      <w:szCs w:val="30"/>
    </w:rPr>
  </w:style>
  <w:style w:type="paragraph" w:styleId="Heading2">
    <w:name w:val="Heading 2"/>
    <w:basedOn w:val="Normal"/>
    <w:next w:val="Normal"/>
    <w:qFormat/>
    <w:pPr>
      <w:spacing w:after="80" w:before="280"/>
      <w:outlineLvl w:val="1"/>
    </w:pPr>
    <w:rPr>
      <w:rFonts w:ascii="Arial" w:cs="Arial" w:eastAsia="Arial" w:hAnsi="Arial"/>
      <w:b/>
      <w:bCs/>
      <w:color w:val="152168"/>
      <w:sz w:val="26"/>
      <w:szCs w:val="26"/>
    </w:rPr>
  </w:style>
  <w:style w:type="paragraph" w:styleId="Heading3">
    <w:name w:val="Heading 3"/>
    <w:basedOn w:val="Normal"/>
    <w:next w:val="Normal"/>
    <w:qFormat/>
    <w:pPr>
      <w:spacing w:after="60" w:before="220"/>
      <w:outlineLvl w:val="2"/>
    </w:pPr>
    <w:rPr>
      <w:rFonts w:ascii="Arial" w:cs="Arial" w:eastAsia="Arial" w:hAnsi="Arial"/>
      <w:b/>
      <w:bCs/>
      <w:color w:val="4F46E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Acceptable Use Policy</dc:title>
  <dc:creator>Abbott Cyber Consulting</dc:creator>
  <dc:description>ENT-Draft-POL-AUP-Comprehensive-6.26</dc:description>
  <cp:lastModifiedBy>Un-named</cp:lastModifiedBy>
  <cp:revision>1</cp:revision>
  <dcterms:created xsi:type="dcterms:W3CDTF">2026-06-18T23:51:51.463Z</dcterms:created>
  <dcterms:modified xsi:type="dcterms:W3CDTF">2026-06-18T23:51:51.463Z</dcterms:modified>
</cp:coreProperties>
</file>

<file path=docProps/custom.xml><?xml version="1.0" encoding="utf-8"?>
<Properties xmlns="http://schemas.openxmlformats.org/officeDocument/2006/custom-properties" xmlns:vt="http://schemas.openxmlformats.org/officeDocument/2006/docPropsVTypes"/>
</file>