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0"/>
      </w:pPr>
      <w:r>
        <w:t xml:space="preserve"/>
      </w:r>
    </w:p>
    <w:p>
      <w:pPr>
        <w:spacing w:after="80"/>
        <w:jc w:val="center"/>
      </w:pPr>
      <w:r>
        <w:rPr>
          <w:rFonts w:ascii="Arial" w:cs="Arial" w:eastAsia="Arial" w:hAnsi="Arial"/>
          <w:b/>
          <w:bCs/>
          <w:color w:val="152168"/>
          <w:sz w:val="52"/>
          <w:szCs w:val="52"/>
        </w:rPr>
        <w:t xml:space="preserve">[ORGANIZATION NAME]</w:t>
      </w:r>
    </w:p>
    <w:p>
      <w:pPr>
        <w:spacing w:after="240"/>
        <w:jc w:val="center"/>
      </w:pPr>
      <w:r>
        <w:rPr>
          <w:rFonts w:ascii="Arial" w:cs="Arial" w:eastAsia="Arial" w:hAnsi="Arial"/>
          <w:color w:val="07B4D9"/>
          <w:sz w:val="30"/>
          <w:szCs w:val="30"/>
        </w:rPr>
        <w:t xml:space="preserve">Information Security</w:t>
      </w:r>
    </w:p>
    <w:p>
      <w:pPr>
        <w:pBdr>
          <w:bottom w:val="single" w:color="07B4D9" w:sz="8" w:space="1"/>
        </w:pBdr>
        <w:spacing w:after="240"/>
      </w:pPr>
      <w:r>
        <w:t xml:space="preserve"/>
      </w:r>
    </w:p>
    <w:p>
      <w:pPr>
        <w:spacing w:after="60"/>
        <w:jc w:val="center"/>
      </w:pPr>
      <w:r>
        <w:rPr>
          <w:rFonts w:ascii="Arial" w:cs="Arial" w:eastAsia="Arial" w:hAnsi="Arial"/>
          <w:b/>
          <w:bCs/>
          <w:color w:val="152168"/>
          <w:sz w:val="48"/>
          <w:szCs w:val="48"/>
        </w:rPr>
        <w:t xml:space="preserve">Artificial Intelligence</w:t>
      </w:r>
    </w:p>
    <w:p>
      <w:pPr>
        <w:spacing w:after="240"/>
        <w:jc w:val="center"/>
      </w:pPr>
      <w:r>
        <w:rPr>
          <w:rFonts w:ascii="Arial" w:cs="Arial" w:eastAsia="Arial" w:hAnsi="Arial"/>
          <w:b/>
          <w:bCs/>
          <w:color w:val="152168"/>
          <w:sz w:val="48"/>
          <w:szCs w:val="48"/>
        </w:rPr>
        <w:t xml:space="preserve">Governance Policy</w:t>
      </w:r>
    </w:p>
    <w:p>
      <w:pPr>
        <w:spacing w:after="60"/>
        <w:jc w:val="center"/>
      </w:pPr>
      <w:r>
        <w:rPr>
          <w:rFonts w:ascii="Arial" w:cs="Arial" w:eastAsia="Arial" w:hAnsi="Arial"/>
          <w:color w:val="5A6A8A"/>
          <w:sz w:val="24"/>
          <w:szCs w:val="24"/>
        </w:rPr>
        <w:t xml:space="preserve">ENT-Draft-POL-AI Governance-6.26</w:t>
      </w:r>
    </w:p>
    <w:p>
      <w:pPr>
        <w:spacing w:after="400"/>
        <w:jc w:val="center"/>
      </w:pPr>
      <w:r>
        <w:rPr>
          <w:rFonts w:ascii="Arial" w:cs="Arial" w:eastAsia="Arial" w:hAnsi="Arial"/>
          <w:color w:val="5A6A8A"/>
          <w:sz w:val="22"/>
          <w:szCs w:val="22"/>
        </w:rPr>
        <w:t xml:space="preserve">Version 1.0  |  DRAFT  |  June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520"/>
        <w:gridCol w:w="2160"/>
        <w:gridCol w:w="2520"/>
      </w:tblGrid>
      <w:tr>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Document ID</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ENT-Draft-POL-AI Governance-6.26</w:t>
            </w:r>
          </w:p>
        </w:tc>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Classification</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Internal — Confidential</w:t>
            </w:r>
          </w:p>
        </w:tc>
      </w:tr>
      <w:tr>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Title</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Artificial Intelligence Governance Policy</w:t>
            </w:r>
          </w:p>
        </w:tc>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Status</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DRAFT</w:t>
            </w:r>
          </w:p>
        </w:tc>
      </w:tr>
      <w:tr>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Version</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1.0</w:t>
            </w:r>
          </w:p>
        </w:tc>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Effective Date</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[TO BE SET ON APPROVAL]</w:t>
            </w:r>
          </w:p>
        </w:tc>
      </w:tr>
      <w:tr>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Policy Owner</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[CISO / vCISO]</w:t>
            </w:r>
          </w:p>
        </w:tc>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Review Cycle</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Annual (or after material AI incident)</w:t>
            </w:r>
          </w:p>
        </w:tc>
      </w:tr>
      <w:tr>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Approved By</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[Executive Leadership / Board]</w:t>
            </w:r>
          </w:p>
        </w:tc>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Next Review Date</w:t>
            </w:r>
          </w:p>
        </w:tc>
        <w:tc>
          <w:tcPr>
            <w:tcW w:type="dxa" w:w="25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[DATE + 1 YEAR]</w:t>
            </w:r>
          </w:p>
        </w:tc>
      </w:tr>
      <w:tr>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Frameworks</w:t>
            </w:r>
          </w:p>
        </w:tc>
        <w:tc>
          <w:tcPr>
            <w:tcW w:type="dxa" w:w="7200"/>
            <w:gridSpan w:val="3"/>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tcPr>
          <w:p>
            <w:r>
              <w:rPr>
                <w:rFonts w:ascii="Arial" w:cs="Arial" w:eastAsia="Arial" w:hAnsi="Arial"/>
                <w:color w:val="1A2340"/>
                <w:sz w:val="19"/>
                <w:szCs w:val="19"/>
              </w:rPr>
              <w:t xml:space="preserve">NIST AI RMF (GOVERN | MAP | MEASURE | MANAGE)  |  ISO/IEC 42001:2023  |  NIST SP 800-53  |  ISO/IEC 27001:2022</w:t>
            </w:r>
          </w:p>
        </w:tc>
      </w:tr>
    </w:tbl>
    <w:p>
      <w:pPr>
        <w:spacing w:after="2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7B4D9" w:sz="4"/>
              <w:left w:val="single" w:color="07B4D9" w:sz="4"/>
              <w:bottom w:val="single" w:color="07B4D9" w:sz="4"/>
              <w:right w:val="single" w:color="07B4D9" w:sz="4"/>
            </w:tcBorders>
            <w:shd w:fill="07B4D9" w:val="clear"/>
            <w:tcMar>
              <w:top w:type="dxa" w:w="80"/>
              <w:left w:type="dxa" w:w="120"/>
              <w:bottom w:type="dxa" w:w="80"/>
              <w:right w:type="dxa" w:w="120"/>
            </w:tcMar>
          </w:tcPr>
          <w:p>
            <w:r>
              <w:rPr>
                <w:rFonts w:ascii="Arial" w:cs="Arial" w:eastAsia="Arial" w:hAnsi="Arial"/>
                <w:b/>
                <w:bCs/>
                <w:color w:val="FFFFFF"/>
                <w:sz w:val="19"/>
                <w:szCs w:val="19"/>
              </w:rPr>
              <w:t xml:space="preserve">GOVERN</w:t>
            </w:r>
          </w:p>
        </w:tc>
        <w:tc>
          <w:tcPr>
            <w:tcW w:type="dxa" w:w="2340"/>
            <w:tcBorders>
              <w:top w:val="single" w:color="07B4D9" w:sz="4"/>
              <w:left w:val="single" w:color="07B4D9" w:sz="4"/>
              <w:bottom w:val="single" w:color="07B4D9" w:sz="4"/>
              <w:right w:val="single" w:color="07B4D9" w:sz="4"/>
            </w:tcBorders>
            <w:shd w:fill="07B4D9" w:val="clear"/>
            <w:tcMar>
              <w:top w:type="dxa" w:w="80"/>
              <w:left w:type="dxa" w:w="120"/>
              <w:bottom w:type="dxa" w:w="80"/>
              <w:right w:type="dxa" w:w="120"/>
            </w:tcMar>
          </w:tcPr>
          <w:p>
            <w:r>
              <w:rPr>
                <w:rFonts w:ascii="Arial" w:cs="Arial" w:eastAsia="Arial" w:hAnsi="Arial"/>
                <w:b/>
                <w:bCs/>
                <w:color w:val="FFFFFF"/>
                <w:sz w:val="19"/>
                <w:szCs w:val="19"/>
              </w:rPr>
              <w:t xml:space="preserve">MAP</w:t>
            </w:r>
          </w:p>
        </w:tc>
        <w:tc>
          <w:tcPr>
            <w:tcW w:type="dxa" w:w="2340"/>
            <w:tcBorders>
              <w:top w:val="single" w:color="07B4D9" w:sz="4"/>
              <w:left w:val="single" w:color="07B4D9" w:sz="4"/>
              <w:bottom w:val="single" w:color="07B4D9" w:sz="4"/>
              <w:right w:val="single" w:color="07B4D9" w:sz="4"/>
            </w:tcBorders>
            <w:shd w:fill="07B4D9" w:val="clear"/>
            <w:tcMar>
              <w:top w:type="dxa" w:w="80"/>
              <w:left w:type="dxa" w:w="120"/>
              <w:bottom w:type="dxa" w:w="80"/>
              <w:right w:type="dxa" w:w="120"/>
            </w:tcMar>
          </w:tcPr>
          <w:p>
            <w:r>
              <w:rPr>
                <w:rFonts w:ascii="Arial" w:cs="Arial" w:eastAsia="Arial" w:hAnsi="Arial"/>
                <w:b/>
                <w:bCs/>
                <w:color w:val="FFFFFF"/>
                <w:sz w:val="19"/>
                <w:szCs w:val="19"/>
              </w:rPr>
              <w:t xml:space="preserve">MEASURE</w:t>
            </w:r>
          </w:p>
        </w:tc>
        <w:tc>
          <w:tcPr>
            <w:tcW w:type="dxa" w:w="2340"/>
            <w:tcBorders>
              <w:top w:val="single" w:color="07B4D9" w:sz="4"/>
              <w:left w:val="single" w:color="07B4D9" w:sz="4"/>
              <w:bottom w:val="single" w:color="07B4D9" w:sz="4"/>
              <w:right w:val="single" w:color="07B4D9" w:sz="4"/>
            </w:tcBorders>
            <w:shd w:fill="07B4D9" w:val="clear"/>
            <w:tcMar>
              <w:top w:type="dxa" w:w="80"/>
              <w:left w:type="dxa" w:w="120"/>
              <w:bottom w:type="dxa" w:w="80"/>
              <w:right w:type="dxa" w:w="120"/>
            </w:tcMar>
          </w:tcPr>
          <w:p>
            <w:r>
              <w:rPr>
                <w:rFonts w:ascii="Arial" w:cs="Arial" w:eastAsia="Arial" w:hAnsi="Arial"/>
                <w:b/>
                <w:bCs/>
                <w:color w:val="FFFFFF"/>
                <w:sz w:val="19"/>
                <w:szCs w:val="19"/>
              </w:rPr>
              <w:t xml:space="preserve">MANAGE</w:t>
            </w:r>
          </w:p>
        </w:tc>
      </w:tr>
      <w:tr>
        <w:tc>
          <w:tcPr>
            <w:tcW w:type="dxa" w:w="23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GV.1 · GV.2 · GV.3
GV.4 · GV.5 · GV.6</w:t>
            </w:r>
          </w:p>
        </w:tc>
        <w:tc>
          <w:tcPr>
            <w:tcW w:type="dxa" w:w="23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MP.1 · MP.2 · MP.3
MP.4 · MP.5</w:t>
            </w:r>
          </w:p>
        </w:tc>
        <w:tc>
          <w:tcPr>
            <w:tcW w:type="dxa" w:w="23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MS.1 · MS.2 · MS.3
MS.4</w:t>
            </w:r>
          </w:p>
        </w:tc>
        <w:tc>
          <w:tcPr>
            <w:tcW w:type="dxa" w:w="23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MG.1 · MG.2 · MG.3
MG.4</w:t>
            </w:r>
          </w:p>
        </w:tc>
      </w:tr>
    </w:tbl>
    <w:p>
      <w:pPr>
        <w:spacing w:after="80" w:before="0"/>
      </w:pPr>
      <w:r>
        <w:t xml:space="preserve"/>
      </w:r>
    </w:p>
    <w:p>
      <w:pPr>
        <w:spacing w:after="60" w:before="40"/>
        <w:jc w:val="both"/>
      </w:pPr>
      <w:r>
        <w:rPr>
          <w:rFonts w:ascii="Arial" w:cs="Arial" w:eastAsia="Arial" w:hAnsi="Arial"/>
          <w:i/>
          <w:iCs/>
          <w:color w:val="5A6A8A"/>
          <w:sz w:val="19"/>
          <w:szCs w:val="19"/>
        </w:rPr>
        <w:t xml:space="preserve">This policy addresses all four NIST AI RMF core functions and is structured to satisfy ISO/IEC 42001:2023 Clauses 4–10. Framework cross-references appear in each section. Appendix E contains the complete compliance mapping.</w:t>
      </w:r>
    </w:p>
    <w:p>
      <w:r>
        <w:br w:type="page"/>
      </w:r>
    </w:p>
    <w:p>
      <w:pPr>
        <w:pStyle w:val="Heading1"/>
        <w:pBdr>
          <w:bottom w:val="single" w:color="07B4D9" w:sz="8" w:space="4"/>
        </w:pBdr>
        <w:spacing w:after="120" w:before="400"/>
      </w:pPr>
      <w:r>
        <w:rPr>
          <w:rFonts w:ascii="Arial" w:cs="Arial" w:eastAsia="Arial" w:hAnsi="Arial"/>
          <w:b/>
          <w:bCs/>
          <w:color w:val="152168"/>
          <w:sz w:val="30"/>
          <w:szCs w:val="30"/>
        </w:rPr>
        <w:t xml:space="preserve">Table of Contents</w:t>
      </w:r>
    </w:p>
    <w:p>
      <w:pPr>
        <w:tabs>
          <w:tab w:val="right" w:pos="9026"/>
        </w:tabs>
        <w:spacing w:after="20" w:before="80"/>
      </w:pPr>
      <w:r>
        <w:rPr>
          <w:rFonts w:ascii="Arial" w:cs="Arial" w:eastAsia="Arial" w:hAnsi="Arial"/>
          <w:b/>
          <w:bCs/>
          <w:color w:val="1A2340"/>
          <w:sz w:val="22"/>
          <w:szCs w:val="22"/>
        </w:rPr>
        <w:t xml:space="preserve">1  Purpose</w:t>
      </w:r>
      <w:r>
        <w:rPr>
          <w:rFonts w:ascii="Arial" w:cs="Arial" w:eastAsia="Arial" w:hAnsi="Arial"/>
          <w:color w:val="5A6A8A"/>
          <w:sz w:val="20"/>
          <w:szCs w:val="20"/>
        </w:rPr>
        <w:t xml:space="preserve">	3</w:t>
      </w:r>
    </w:p>
    <w:p>
      <w:pPr>
        <w:tabs>
          <w:tab w:val="right" w:pos="9026"/>
        </w:tabs>
        <w:spacing w:after="20" w:before="80"/>
      </w:pPr>
      <w:r>
        <w:rPr>
          <w:rFonts w:ascii="Arial" w:cs="Arial" w:eastAsia="Arial" w:hAnsi="Arial"/>
          <w:b/>
          <w:bCs/>
          <w:color w:val="1A2340"/>
          <w:sz w:val="22"/>
          <w:szCs w:val="22"/>
        </w:rPr>
        <w:t xml:space="preserve">2  Scope</w:t>
      </w:r>
      <w:r>
        <w:rPr>
          <w:rFonts w:ascii="Arial" w:cs="Arial" w:eastAsia="Arial" w:hAnsi="Arial"/>
          <w:color w:val="5A6A8A"/>
          <w:sz w:val="20"/>
          <w:szCs w:val="20"/>
        </w:rPr>
        <w:t xml:space="preserve">	3</w:t>
      </w:r>
    </w:p>
    <w:p>
      <w:pPr>
        <w:tabs>
          <w:tab w:val="right" w:pos="9026"/>
        </w:tabs>
        <w:spacing w:after="20" w:before="80"/>
      </w:pPr>
      <w:r>
        <w:rPr>
          <w:rFonts w:ascii="Arial" w:cs="Arial" w:eastAsia="Arial" w:hAnsi="Arial"/>
          <w:b/>
          <w:bCs/>
          <w:color w:val="1A2340"/>
          <w:sz w:val="22"/>
          <w:szCs w:val="22"/>
        </w:rPr>
        <w:t xml:space="preserve">3  Policy Statement</w:t>
      </w:r>
      <w:r>
        <w:rPr>
          <w:rFonts w:ascii="Arial" w:cs="Arial" w:eastAsia="Arial" w:hAnsi="Arial"/>
          <w:color w:val="5A6A8A"/>
          <w:sz w:val="20"/>
          <w:szCs w:val="20"/>
        </w:rPr>
        <w:t xml:space="preserve">	4</w:t>
      </w:r>
    </w:p>
    <w:p>
      <w:pPr>
        <w:tabs>
          <w:tab w:val="right" w:pos="9026"/>
        </w:tabs>
        <w:spacing w:after="20" w:before="80"/>
      </w:pPr>
      <w:r>
        <w:rPr>
          <w:rFonts w:ascii="Arial" w:cs="Arial" w:eastAsia="Arial" w:hAnsi="Arial"/>
          <w:b/>
          <w:bCs/>
          <w:color w:val="1A2340"/>
          <w:sz w:val="22"/>
          <w:szCs w:val="22"/>
        </w:rPr>
        <w:t xml:space="preserve">4  Definitions</w:t>
      </w:r>
      <w:r>
        <w:rPr>
          <w:rFonts w:ascii="Arial" w:cs="Arial" w:eastAsia="Arial" w:hAnsi="Arial"/>
          <w:color w:val="5A6A8A"/>
          <w:sz w:val="20"/>
          <w:szCs w:val="20"/>
        </w:rPr>
        <w:t xml:space="preserve">	4</w:t>
      </w:r>
    </w:p>
    <w:p>
      <w:pPr>
        <w:tabs>
          <w:tab w:val="right" w:pos="9026"/>
        </w:tabs>
        <w:spacing w:after="20" w:before="80"/>
      </w:pPr>
      <w:r>
        <w:rPr>
          <w:rFonts w:ascii="Arial" w:cs="Arial" w:eastAsia="Arial" w:hAnsi="Arial"/>
          <w:b/>
          <w:bCs/>
          <w:color w:val="1A2340"/>
          <w:sz w:val="22"/>
          <w:szCs w:val="22"/>
        </w:rPr>
        <w:t xml:space="preserve">5  Roles and Responsibilities</w:t>
      </w:r>
      <w:r>
        <w:rPr>
          <w:rFonts w:ascii="Arial" w:cs="Arial" w:eastAsia="Arial" w:hAnsi="Arial"/>
          <w:color w:val="5A6A8A"/>
          <w:sz w:val="20"/>
          <w:szCs w:val="20"/>
        </w:rPr>
        <w:t xml:space="preserve">	6</w:t>
      </w:r>
    </w:p>
    <w:p>
      <w:pPr>
        <w:tabs>
          <w:tab w:val="right" w:pos="9026"/>
        </w:tabs>
        <w:spacing w:after="20" w:before="30"/>
      </w:pPr>
      <w:r>
        <w:rPr>
          <w:rFonts w:ascii="Arial" w:cs="Arial" w:eastAsia="Arial" w:hAnsi="Arial"/>
          <w:b w:val="false"/>
          <w:bCs w:val="false"/>
          <w:color w:val="5A6A8A"/>
          <w:sz w:val="20"/>
          <w:szCs w:val="20"/>
        </w:rPr>
        <w:t xml:space="preserve">  5.1  AI Governance Committee</w:t>
      </w:r>
      <w:r>
        <w:rPr>
          <w:rFonts w:ascii="Arial" w:cs="Arial" w:eastAsia="Arial" w:hAnsi="Arial"/>
          <w:color w:val="5A6A8A"/>
          <w:sz w:val="20"/>
          <w:szCs w:val="20"/>
        </w:rPr>
        <w:t xml:space="preserve">	6</w:t>
      </w:r>
    </w:p>
    <w:p>
      <w:pPr>
        <w:tabs>
          <w:tab w:val="right" w:pos="9026"/>
        </w:tabs>
        <w:spacing w:after="20" w:before="30"/>
      </w:pPr>
      <w:r>
        <w:rPr>
          <w:rFonts w:ascii="Arial" w:cs="Arial" w:eastAsia="Arial" w:hAnsi="Arial"/>
          <w:b w:val="false"/>
          <w:bCs w:val="false"/>
          <w:color w:val="5A6A8A"/>
          <w:sz w:val="20"/>
          <w:szCs w:val="20"/>
        </w:rPr>
        <w:t xml:space="preserve">  5.2  CISO / vCISO (Policy Owner)</w:t>
      </w:r>
      <w:r>
        <w:rPr>
          <w:rFonts w:ascii="Arial" w:cs="Arial" w:eastAsia="Arial" w:hAnsi="Arial"/>
          <w:color w:val="5A6A8A"/>
          <w:sz w:val="20"/>
          <w:szCs w:val="20"/>
        </w:rPr>
        <w:t xml:space="preserve">	6</w:t>
      </w:r>
    </w:p>
    <w:p>
      <w:pPr>
        <w:tabs>
          <w:tab w:val="right" w:pos="9026"/>
        </w:tabs>
        <w:spacing w:after="20" w:before="30"/>
      </w:pPr>
      <w:r>
        <w:rPr>
          <w:rFonts w:ascii="Arial" w:cs="Arial" w:eastAsia="Arial" w:hAnsi="Arial"/>
          <w:b w:val="false"/>
          <w:bCs w:val="false"/>
          <w:color w:val="5A6A8A"/>
          <w:sz w:val="20"/>
          <w:szCs w:val="20"/>
        </w:rPr>
        <w:t xml:space="preserve">  5.3  Department Heads and AI System Owners</w:t>
      </w:r>
      <w:r>
        <w:rPr>
          <w:rFonts w:ascii="Arial" w:cs="Arial" w:eastAsia="Arial" w:hAnsi="Arial"/>
          <w:color w:val="5A6A8A"/>
          <w:sz w:val="20"/>
          <w:szCs w:val="20"/>
        </w:rPr>
        <w:t xml:space="preserve">	7</w:t>
      </w:r>
    </w:p>
    <w:p>
      <w:pPr>
        <w:tabs>
          <w:tab w:val="right" w:pos="9026"/>
        </w:tabs>
        <w:spacing w:after="20" w:before="30"/>
      </w:pPr>
      <w:r>
        <w:rPr>
          <w:rFonts w:ascii="Arial" w:cs="Arial" w:eastAsia="Arial" w:hAnsi="Arial"/>
          <w:b w:val="false"/>
          <w:bCs w:val="false"/>
          <w:color w:val="5A6A8A"/>
          <w:sz w:val="20"/>
          <w:szCs w:val="20"/>
        </w:rPr>
        <w:t xml:space="preserve">  5.4  All Employees and Contractors</w:t>
      </w:r>
      <w:r>
        <w:rPr>
          <w:rFonts w:ascii="Arial" w:cs="Arial" w:eastAsia="Arial" w:hAnsi="Arial"/>
          <w:color w:val="5A6A8A"/>
          <w:sz w:val="20"/>
          <w:szCs w:val="20"/>
        </w:rPr>
        <w:t xml:space="preserve">	7</w:t>
      </w:r>
    </w:p>
    <w:p>
      <w:pPr>
        <w:tabs>
          <w:tab w:val="right" w:pos="9026"/>
        </w:tabs>
        <w:spacing w:after="20" w:before="80"/>
      </w:pPr>
      <w:r>
        <w:rPr>
          <w:rFonts w:ascii="Arial" w:cs="Arial" w:eastAsia="Arial" w:hAnsi="Arial"/>
          <w:b/>
          <w:bCs/>
          <w:color w:val="1A2340"/>
          <w:sz w:val="22"/>
          <w:szCs w:val="22"/>
        </w:rPr>
        <w:t xml:space="preserve">6  Policy Requirements</w:t>
      </w:r>
      <w:r>
        <w:rPr>
          <w:rFonts w:ascii="Arial" w:cs="Arial" w:eastAsia="Arial" w:hAnsi="Arial"/>
          <w:color w:val="5A6A8A"/>
          <w:sz w:val="20"/>
          <w:szCs w:val="20"/>
        </w:rPr>
        <w:t xml:space="preserve">	7</w:t>
      </w:r>
    </w:p>
    <w:p>
      <w:pPr>
        <w:tabs>
          <w:tab w:val="right" w:pos="9026"/>
        </w:tabs>
        <w:spacing w:after="20" w:before="30"/>
      </w:pPr>
      <w:r>
        <w:rPr>
          <w:rFonts w:ascii="Arial" w:cs="Arial" w:eastAsia="Arial" w:hAnsi="Arial"/>
          <w:b w:val="false"/>
          <w:bCs w:val="false"/>
          <w:color w:val="5A6A8A"/>
          <w:sz w:val="20"/>
          <w:szCs w:val="20"/>
        </w:rPr>
        <w:t xml:space="preserve">  6.1  AI Governance Structure and Accountability</w:t>
      </w:r>
      <w:r>
        <w:rPr>
          <w:rFonts w:ascii="Arial" w:cs="Arial" w:eastAsia="Arial" w:hAnsi="Arial"/>
          <w:color w:val="5A6A8A"/>
          <w:sz w:val="20"/>
          <w:szCs w:val="20"/>
        </w:rPr>
        <w:t xml:space="preserve">	7</w:t>
      </w:r>
    </w:p>
    <w:p>
      <w:pPr>
        <w:tabs>
          <w:tab w:val="right" w:pos="9026"/>
        </w:tabs>
        <w:spacing w:after="20" w:before="30"/>
      </w:pPr>
      <w:r>
        <w:rPr>
          <w:rFonts w:ascii="Arial" w:cs="Arial" w:eastAsia="Arial" w:hAnsi="Arial"/>
          <w:b w:val="false"/>
          <w:bCs w:val="false"/>
          <w:color w:val="5A6A8A"/>
          <w:sz w:val="20"/>
          <w:szCs w:val="20"/>
        </w:rPr>
        <w:t xml:space="preserve">  6.2  AI Use Case Inventory and Classification</w:t>
      </w:r>
      <w:r>
        <w:rPr>
          <w:rFonts w:ascii="Arial" w:cs="Arial" w:eastAsia="Arial" w:hAnsi="Arial"/>
          <w:color w:val="5A6A8A"/>
          <w:sz w:val="20"/>
          <w:szCs w:val="20"/>
        </w:rPr>
        <w:t xml:space="preserve">	8</w:t>
      </w:r>
    </w:p>
    <w:p>
      <w:pPr>
        <w:tabs>
          <w:tab w:val="right" w:pos="9026"/>
        </w:tabs>
        <w:spacing w:after="20" w:before="30"/>
      </w:pPr>
      <w:r>
        <w:rPr>
          <w:rFonts w:ascii="Arial" w:cs="Arial" w:eastAsia="Arial" w:hAnsi="Arial"/>
          <w:b w:val="false"/>
          <w:bCs w:val="false"/>
          <w:color w:val="5A6A8A"/>
          <w:sz w:val="20"/>
          <w:szCs w:val="20"/>
        </w:rPr>
        <w:t xml:space="preserve">  6.3  AI Risk Assessment</w:t>
      </w:r>
      <w:r>
        <w:rPr>
          <w:rFonts w:ascii="Arial" w:cs="Arial" w:eastAsia="Arial" w:hAnsi="Arial"/>
          <w:color w:val="5A6A8A"/>
          <w:sz w:val="20"/>
          <w:szCs w:val="20"/>
        </w:rPr>
        <w:t xml:space="preserve">	9</w:t>
      </w:r>
    </w:p>
    <w:p>
      <w:pPr>
        <w:tabs>
          <w:tab w:val="right" w:pos="9026"/>
        </w:tabs>
        <w:spacing w:after="20" w:before="30"/>
      </w:pPr>
      <w:r>
        <w:rPr>
          <w:rFonts w:ascii="Arial" w:cs="Arial" w:eastAsia="Arial" w:hAnsi="Arial"/>
          <w:b w:val="false"/>
          <w:bCs w:val="false"/>
          <w:color w:val="5A6A8A"/>
          <w:sz w:val="20"/>
          <w:szCs w:val="20"/>
        </w:rPr>
        <w:t xml:space="preserve">  6.4  Approved AI Tools and Procurement</w:t>
      </w:r>
      <w:r>
        <w:rPr>
          <w:rFonts w:ascii="Arial" w:cs="Arial" w:eastAsia="Arial" w:hAnsi="Arial"/>
          <w:color w:val="5A6A8A"/>
          <w:sz w:val="20"/>
          <w:szCs w:val="20"/>
        </w:rPr>
        <w:t xml:space="preserve">	10</w:t>
      </w:r>
    </w:p>
    <w:p>
      <w:pPr>
        <w:tabs>
          <w:tab w:val="right" w:pos="9026"/>
        </w:tabs>
        <w:spacing w:after="20" w:before="30"/>
      </w:pPr>
      <w:r>
        <w:rPr>
          <w:rFonts w:ascii="Arial" w:cs="Arial" w:eastAsia="Arial" w:hAnsi="Arial"/>
          <w:b w:val="false"/>
          <w:bCs w:val="false"/>
          <w:color w:val="5A6A8A"/>
          <w:sz w:val="20"/>
          <w:szCs w:val="20"/>
        </w:rPr>
        <w:t xml:space="preserve">  6.5  Data Classification and Input Controls</w:t>
      </w:r>
      <w:r>
        <w:rPr>
          <w:rFonts w:ascii="Arial" w:cs="Arial" w:eastAsia="Arial" w:hAnsi="Arial"/>
          <w:color w:val="5A6A8A"/>
          <w:sz w:val="20"/>
          <w:szCs w:val="20"/>
        </w:rPr>
        <w:t xml:space="preserve">	11</w:t>
      </w:r>
    </w:p>
    <w:p>
      <w:pPr>
        <w:tabs>
          <w:tab w:val="right" w:pos="9026"/>
        </w:tabs>
        <w:spacing w:after="20" w:before="30"/>
      </w:pPr>
      <w:r>
        <w:rPr>
          <w:rFonts w:ascii="Arial" w:cs="Arial" w:eastAsia="Arial" w:hAnsi="Arial"/>
          <w:b w:val="false"/>
          <w:bCs w:val="false"/>
          <w:color w:val="5A6A8A"/>
          <w:sz w:val="20"/>
          <w:szCs w:val="20"/>
        </w:rPr>
        <w:t xml:space="preserve">  6.6  Acceptable Use</w:t>
      </w:r>
      <w:r>
        <w:rPr>
          <w:rFonts w:ascii="Arial" w:cs="Arial" w:eastAsia="Arial" w:hAnsi="Arial"/>
          <w:color w:val="5A6A8A"/>
          <w:sz w:val="20"/>
          <w:szCs w:val="20"/>
        </w:rPr>
        <w:t xml:space="preserve">	12</w:t>
      </w:r>
    </w:p>
    <w:p>
      <w:pPr>
        <w:tabs>
          <w:tab w:val="right" w:pos="9026"/>
        </w:tabs>
        <w:spacing w:after="20" w:before="30"/>
      </w:pPr>
      <w:r>
        <w:rPr>
          <w:rFonts w:ascii="Arial" w:cs="Arial" w:eastAsia="Arial" w:hAnsi="Arial"/>
          <w:b w:val="false"/>
          <w:bCs w:val="false"/>
          <w:color w:val="5A6A8A"/>
          <w:sz w:val="20"/>
          <w:szCs w:val="20"/>
        </w:rPr>
        <w:t xml:space="preserve">  6.7  Human Oversight and Output Review</w:t>
      </w:r>
      <w:r>
        <w:rPr>
          <w:rFonts w:ascii="Arial" w:cs="Arial" w:eastAsia="Arial" w:hAnsi="Arial"/>
          <w:color w:val="5A6A8A"/>
          <w:sz w:val="20"/>
          <w:szCs w:val="20"/>
        </w:rPr>
        <w:t xml:space="preserve">	13</w:t>
      </w:r>
    </w:p>
    <w:p>
      <w:pPr>
        <w:tabs>
          <w:tab w:val="right" w:pos="9026"/>
        </w:tabs>
        <w:spacing w:after="20" w:before="30"/>
      </w:pPr>
      <w:r>
        <w:rPr>
          <w:rFonts w:ascii="Arial" w:cs="Arial" w:eastAsia="Arial" w:hAnsi="Arial"/>
          <w:b w:val="false"/>
          <w:bCs w:val="false"/>
          <w:color w:val="5A6A8A"/>
          <w:sz w:val="20"/>
          <w:szCs w:val="20"/>
        </w:rPr>
        <w:t xml:space="preserve">  6.8  Transparency and Disclosure</w:t>
      </w:r>
      <w:r>
        <w:rPr>
          <w:rFonts w:ascii="Arial" w:cs="Arial" w:eastAsia="Arial" w:hAnsi="Arial"/>
          <w:color w:val="5A6A8A"/>
          <w:sz w:val="20"/>
          <w:szCs w:val="20"/>
        </w:rPr>
        <w:t xml:space="preserve">	14</w:t>
      </w:r>
    </w:p>
    <w:p>
      <w:pPr>
        <w:tabs>
          <w:tab w:val="right" w:pos="9026"/>
        </w:tabs>
        <w:spacing w:after="20" w:before="30"/>
      </w:pPr>
      <w:r>
        <w:rPr>
          <w:rFonts w:ascii="Arial" w:cs="Arial" w:eastAsia="Arial" w:hAnsi="Arial"/>
          <w:b w:val="false"/>
          <w:bCs w:val="false"/>
          <w:color w:val="5A6A8A"/>
          <w:sz w:val="20"/>
          <w:szCs w:val="20"/>
        </w:rPr>
        <w:t xml:space="preserve">  6.9  Training and Awareness</w:t>
      </w:r>
      <w:r>
        <w:rPr>
          <w:rFonts w:ascii="Arial" w:cs="Arial" w:eastAsia="Arial" w:hAnsi="Arial"/>
          <w:color w:val="5A6A8A"/>
          <w:sz w:val="20"/>
          <w:szCs w:val="20"/>
        </w:rPr>
        <w:t xml:space="preserve">	15</w:t>
      </w:r>
    </w:p>
    <w:p>
      <w:pPr>
        <w:tabs>
          <w:tab w:val="right" w:pos="9026"/>
        </w:tabs>
        <w:spacing w:after="20" w:before="30"/>
      </w:pPr>
      <w:r>
        <w:rPr>
          <w:rFonts w:ascii="Arial" w:cs="Arial" w:eastAsia="Arial" w:hAnsi="Arial"/>
          <w:b w:val="false"/>
          <w:bCs w:val="false"/>
          <w:color w:val="5A6A8A"/>
          <w:sz w:val="20"/>
          <w:szCs w:val="20"/>
        </w:rPr>
        <w:t xml:space="preserve">  6.10  AI Incident Management</w:t>
      </w:r>
      <w:r>
        <w:rPr>
          <w:rFonts w:ascii="Arial" w:cs="Arial" w:eastAsia="Arial" w:hAnsi="Arial"/>
          <w:color w:val="5A6A8A"/>
          <w:sz w:val="20"/>
          <w:szCs w:val="20"/>
        </w:rPr>
        <w:t xml:space="preserve">	15</w:t>
      </w:r>
    </w:p>
    <w:p>
      <w:pPr>
        <w:tabs>
          <w:tab w:val="right" w:pos="9026"/>
        </w:tabs>
        <w:spacing w:after="20" w:before="30"/>
      </w:pPr>
      <w:r>
        <w:rPr>
          <w:rFonts w:ascii="Arial" w:cs="Arial" w:eastAsia="Arial" w:hAnsi="Arial"/>
          <w:b w:val="false"/>
          <w:bCs w:val="false"/>
          <w:color w:val="5A6A8A"/>
          <w:sz w:val="20"/>
          <w:szCs w:val="20"/>
        </w:rPr>
        <w:t xml:space="preserve">  6.11  Monitoring and Audit</w:t>
      </w:r>
      <w:r>
        <w:rPr>
          <w:rFonts w:ascii="Arial" w:cs="Arial" w:eastAsia="Arial" w:hAnsi="Arial"/>
          <w:color w:val="5A6A8A"/>
          <w:sz w:val="20"/>
          <w:szCs w:val="20"/>
        </w:rPr>
        <w:t xml:space="preserve">	16</w:t>
      </w:r>
    </w:p>
    <w:p>
      <w:pPr>
        <w:tabs>
          <w:tab w:val="right" w:pos="9026"/>
        </w:tabs>
        <w:spacing w:after="20" w:before="30"/>
      </w:pPr>
      <w:r>
        <w:rPr>
          <w:rFonts w:ascii="Arial" w:cs="Arial" w:eastAsia="Arial" w:hAnsi="Arial"/>
          <w:b w:val="false"/>
          <w:bCs w:val="false"/>
          <w:color w:val="5A6A8A"/>
          <w:sz w:val="20"/>
          <w:szCs w:val="20"/>
        </w:rPr>
        <w:t xml:space="preserve">  6.12  Continual Improvement</w:t>
      </w:r>
      <w:r>
        <w:rPr>
          <w:rFonts w:ascii="Arial" w:cs="Arial" w:eastAsia="Arial" w:hAnsi="Arial"/>
          <w:color w:val="5A6A8A"/>
          <w:sz w:val="20"/>
          <w:szCs w:val="20"/>
        </w:rPr>
        <w:t xml:space="preserve">	17</w:t>
      </w:r>
    </w:p>
    <w:p>
      <w:pPr>
        <w:tabs>
          <w:tab w:val="right" w:pos="9026"/>
        </w:tabs>
        <w:spacing w:after="20" w:before="80"/>
      </w:pPr>
      <w:r>
        <w:rPr>
          <w:rFonts w:ascii="Arial" w:cs="Arial" w:eastAsia="Arial" w:hAnsi="Arial"/>
          <w:b/>
          <w:bCs/>
          <w:color w:val="1A2340"/>
          <w:sz w:val="22"/>
          <w:szCs w:val="22"/>
        </w:rPr>
        <w:t xml:space="preserve">7  Compliance and Enforcement</w:t>
      </w:r>
      <w:r>
        <w:rPr>
          <w:rFonts w:ascii="Arial" w:cs="Arial" w:eastAsia="Arial" w:hAnsi="Arial"/>
          <w:color w:val="5A6A8A"/>
          <w:sz w:val="20"/>
          <w:szCs w:val="20"/>
        </w:rPr>
        <w:t xml:space="preserve">	17</w:t>
      </w:r>
    </w:p>
    <w:p>
      <w:pPr>
        <w:tabs>
          <w:tab w:val="right" w:pos="9026"/>
        </w:tabs>
        <w:spacing w:after="20" w:before="80"/>
      </w:pPr>
      <w:r>
        <w:rPr>
          <w:rFonts w:ascii="Arial" w:cs="Arial" w:eastAsia="Arial" w:hAnsi="Arial"/>
          <w:b/>
          <w:bCs/>
          <w:color w:val="1A2340"/>
          <w:sz w:val="22"/>
          <w:szCs w:val="22"/>
        </w:rPr>
        <w:t xml:space="preserve">8  Policy Exceptions</w:t>
      </w:r>
      <w:r>
        <w:rPr>
          <w:rFonts w:ascii="Arial" w:cs="Arial" w:eastAsia="Arial" w:hAnsi="Arial"/>
          <w:color w:val="5A6A8A"/>
          <w:sz w:val="20"/>
          <w:szCs w:val="20"/>
        </w:rPr>
        <w:t xml:space="preserve">	18</w:t>
      </w:r>
    </w:p>
    <w:p>
      <w:pPr>
        <w:tabs>
          <w:tab w:val="right" w:pos="9026"/>
        </w:tabs>
        <w:spacing w:after="20" w:before="80"/>
      </w:pPr>
      <w:r>
        <w:rPr>
          <w:rFonts w:ascii="Arial" w:cs="Arial" w:eastAsia="Arial" w:hAnsi="Arial"/>
          <w:b/>
          <w:bCs/>
          <w:color w:val="1A2340"/>
          <w:sz w:val="22"/>
          <w:szCs w:val="22"/>
        </w:rPr>
        <w:t xml:space="preserve">9  Related Documents and Cross-References</w:t>
      </w:r>
      <w:r>
        <w:rPr>
          <w:rFonts w:ascii="Arial" w:cs="Arial" w:eastAsia="Arial" w:hAnsi="Arial"/>
          <w:color w:val="5A6A8A"/>
          <w:sz w:val="20"/>
          <w:szCs w:val="20"/>
        </w:rPr>
        <w:t xml:space="preserve">	18</w:t>
      </w:r>
    </w:p>
    <w:p>
      <w:pPr>
        <w:tabs>
          <w:tab w:val="right" w:pos="9026"/>
        </w:tabs>
        <w:spacing w:after="20" w:before="80"/>
      </w:pPr>
      <w:r>
        <w:rPr>
          <w:rFonts w:ascii="Arial" w:cs="Arial" w:eastAsia="Arial" w:hAnsi="Arial"/>
          <w:b/>
          <w:bCs/>
          <w:color w:val="1A2340"/>
          <w:sz w:val="22"/>
          <w:szCs w:val="22"/>
        </w:rPr>
        <w:t xml:space="preserve">10  Document Control and Revision History</w:t>
      </w:r>
      <w:r>
        <w:rPr>
          <w:rFonts w:ascii="Arial" w:cs="Arial" w:eastAsia="Arial" w:hAnsi="Arial"/>
          <w:color w:val="5A6A8A"/>
          <w:sz w:val="20"/>
          <w:szCs w:val="20"/>
        </w:rPr>
        <w:t xml:space="preserve">	19</w:t>
      </w:r>
    </w:p>
    <w:p>
      <w:pPr>
        <w:tabs>
          <w:tab w:val="right" w:pos="9026"/>
        </w:tabs>
        <w:spacing w:after="20" w:before="30"/>
      </w:pPr>
      <w:r>
        <w:rPr>
          <w:rFonts w:ascii="Arial" w:cs="Arial" w:eastAsia="Arial" w:hAnsi="Arial"/>
          <w:b/>
          <w:bCs/>
          <w:color w:val="5A6A8A"/>
          <w:sz w:val="20"/>
          <w:szCs w:val="20"/>
        </w:rPr>
        <w:t xml:space="preserve">       Appendix A — AI Use Case Classification Matrix</w:t>
      </w:r>
      <w:r>
        <w:rPr>
          <w:rFonts w:ascii="Arial" w:cs="Arial" w:eastAsia="Arial" w:hAnsi="Arial"/>
          <w:color w:val="5A6A8A"/>
          <w:sz w:val="20"/>
          <w:szCs w:val="20"/>
        </w:rPr>
        <w:t xml:space="preserve">	20</w:t>
      </w:r>
    </w:p>
    <w:p>
      <w:pPr>
        <w:tabs>
          <w:tab w:val="right" w:pos="9026"/>
        </w:tabs>
        <w:spacing w:after="20" w:before="30"/>
      </w:pPr>
      <w:r>
        <w:rPr>
          <w:rFonts w:ascii="Arial" w:cs="Arial" w:eastAsia="Arial" w:hAnsi="Arial"/>
          <w:b/>
          <w:bCs/>
          <w:color w:val="5A6A8A"/>
          <w:sz w:val="20"/>
          <w:szCs w:val="20"/>
        </w:rPr>
        <w:t xml:space="preserve">       Appendix B — Data Input Classification Quick Reference</w:t>
      </w:r>
      <w:r>
        <w:rPr>
          <w:rFonts w:ascii="Arial" w:cs="Arial" w:eastAsia="Arial" w:hAnsi="Arial"/>
          <w:color w:val="5A6A8A"/>
          <w:sz w:val="20"/>
          <w:szCs w:val="20"/>
        </w:rPr>
        <w:t xml:space="preserve">	21</w:t>
      </w:r>
    </w:p>
    <w:p>
      <w:pPr>
        <w:tabs>
          <w:tab w:val="right" w:pos="9026"/>
        </w:tabs>
        <w:spacing w:after="20" w:before="30"/>
      </w:pPr>
      <w:r>
        <w:rPr>
          <w:rFonts w:ascii="Arial" w:cs="Arial" w:eastAsia="Arial" w:hAnsi="Arial"/>
          <w:b/>
          <w:bCs/>
          <w:color w:val="5A6A8A"/>
          <w:sz w:val="20"/>
          <w:szCs w:val="20"/>
        </w:rPr>
        <w:t xml:space="preserve">       Appendix C — AI Impact Assessment Template</w:t>
      </w:r>
      <w:r>
        <w:rPr>
          <w:rFonts w:ascii="Arial" w:cs="Arial" w:eastAsia="Arial" w:hAnsi="Arial"/>
          <w:color w:val="5A6A8A"/>
          <w:sz w:val="20"/>
          <w:szCs w:val="20"/>
        </w:rPr>
        <w:t xml:space="preserve">	22</w:t>
      </w:r>
    </w:p>
    <w:p>
      <w:pPr>
        <w:tabs>
          <w:tab w:val="right" w:pos="9026"/>
        </w:tabs>
        <w:spacing w:after="20" w:before="30"/>
      </w:pPr>
      <w:r>
        <w:rPr>
          <w:rFonts w:ascii="Arial" w:cs="Arial" w:eastAsia="Arial" w:hAnsi="Arial"/>
          <w:b/>
          <w:bCs/>
          <w:color w:val="5A6A8A"/>
          <w:sz w:val="20"/>
          <w:szCs w:val="20"/>
        </w:rPr>
        <w:t xml:space="preserve">       Appendix D — Approved AI Tools Register</w:t>
      </w:r>
      <w:r>
        <w:rPr>
          <w:rFonts w:ascii="Arial" w:cs="Arial" w:eastAsia="Arial" w:hAnsi="Arial"/>
          <w:color w:val="5A6A8A"/>
          <w:sz w:val="20"/>
          <w:szCs w:val="20"/>
        </w:rPr>
        <w:t xml:space="preserve">	23</w:t>
      </w:r>
    </w:p>
    <w:p>
      <w:pPr>
        <w:tabs>
          <w:tab w:val="right" w:pos="9026"/>
        </w:tabs>
        <w:spacing w:after="20" w:before="30"/>
      </w:pPr>
      <w:r>
        <w:rPr>
          <w:rFonts w:ascii="Arial" w:cs="Arial" w:eastAsia="Arial" w:hAnsi="Arial"/>
          <w:b/>
          <w:bCs/>
          <w:color w:val="5A6A8A"/>
          <w:sz w:val="20"/>
          <w:szCs w:val="20"/>
        </w:rPr>
        <w:t xml:space="preserve">       Appendix E — NIST AI RMF and ISO 42001 Compliance Mapping</w:t>
      </w:r>
      <w:r>
        <w:rPr>
          <w:rFonts w:ascii="Arial" w:cs="Arial" w:eastAsia="Arial" w:hAnsi="Arial"/>
          <w:color w:val="5A6A8A"/>
          <w:sz w:val="20"/>
          <w:szCs w:val="20"/>
        </w:rPr>
        <w:t xml:space="preserve">	24</w:t>
      </w:r>
    </w:p>
    <w:p>
      <w:r>
        <w:br w:type="page"/>
      </w:r>
    </w:p>
    <w:p>
      <w:pPr>
        <w:pStyle w:val="Heading1"/>
        <w:pBdr>
          <w:bottom w:val="single" w:color="07B4D9" w:sz="8" w:space="4"/>
        </w:pBdr>
        <w:spacing w:after="120" w:before="400"/>
      </w:pPr>
      <w:bookmarkStart w:name="s1" w:id="1"/>
      <w:r>
        <w:rPr>
          <w:rFonts w:ascii="Arial" w:cs="Arial" w:eastAsia="Arial" w:hAnsi="Arial"/>
          <w:b/>
          <w:bCs/>
          <w:color w:val="152168"/>
          <w:sz w:val="30"/>
          <w:szCs w:val="30"/>
        </w:rPr>
        <w:t xml:space="preserve">1. Purpose</w:t>
      </w:r>
      <w:bookmarkEnd w:id="2"/>
    </w:p>
    <w:p>
      <w:pPr>
        <w:spacing w:after="80" w:before="60"/>
        <w:jc w:val="both"/>
      </w:pPr>
      <w:r>
        <w:rPr>
          <w:rFonts w:ascii="Arial" w:cs="Arial" w:eastAsia="Arial" w:hAnsi="Arial"/>
          <w:color w:val="1A2340"/>
          <w:sz w:val="22"/>
          <w:szCs w:val="22"/>
        </w:rPr>
        <w:t xml:space="preserve">This policy establishes the governance framework, risk management requirements, operational controls, and accountability structures for the responsible adoption and use of Artificial Intelligence (AI) systems within [ORGANIZATION NAME] (the "Organization"). It ensures AI use enhances operational outcomes, service delivery, and organizational performance while protecting the confidentiality, integrity, and availability of organizational information and the rights of individuals whose data may be processed.</w:t>
      </w:r>
    </w:p>
    <w:p>
      <w:pPr>
        <w:spacing w:after="80" w:before="60"/>
        <w:jc w:val="both"/>
      </w:pPr>
      <w:r>
        <w:rPr>
          <w:rFonts w:ascii="Arial" w:cs="Arial" w:eastAsia="Arial" w:hAnsi="Arial"/>
          <w:color w:val="1A2340"/>
          <w:sz w:val="22"/>
          <w:szCs w:val="22"/>
        </w:rPr>
        <w:t xml:space="preserve">This policy is aligned with the NIST AI Risk Management Framework (AI RMF 1.0) — addressing all four core functions: GOVERN, MAP, MEASURE, and MANAGE — and with ISO/IEC 42001:2023, the international standard for AI Management Systems (AIMS). It satisfies the requirements of those frameworks as detailed in Appendix E.</w:t>
      </w:r>
    </w:p>
    <w:p>
      <w:pPr>
        <w:spacing w:after="80" w:before="60"/>
        <w:jc w:val="both"/>
      </w:pPr>
      <w:r>
        <w:rPr>
          <w:rFonts w:ascii="Arial" w:cs="Arial" w:eastAsia="Arial" w:hAnsi="Arial"/>
          <w:color w:val="1A2340"/>
          <w:sz w:val="22"/>
          <w:szCs w:val="22"/>
        </w:rPr>
        <w:t xml:space="preserve">Secondary objectives include ensuring AI use remains consistent with applicable privacy, data protection, and sector-specific regulatory obligations; preserving customer and stakeholder trust; and establishing a foundation for responsible AI scaling as the Organization's AI footprint grows.</w:t>
      </w:r>
    </w:p>
    <w:p>
      <w:pPr>
        <w:pStyle w:val="Heading1"/>
        <w:pBdr>
          <w:bottom w:val="single" w:color="07B4D9" w:sz="8" w:space="4"/>
        </w:pBdr>
        <w:spacing w:after="120" w:before="400"/>
      </w:pPr>
      <w:bookmarkStart w:name="s2" w:id="3"/>
      <w:r>
        <w:rPr>
          <w:rFonts w:ascii="Arial" w:cs="Arial" w:eastAsia="Arial" w:hAnsi="Arial"/>
          <w:b/>
          <w:bCs/>
          <w:color w:val="152168"/>
          <w:sz w:val="30"/>
          <w:szCs w:val="30"/>
        </w:rPr>
        <w:t xml:space="preserve">2. Scope</w:t>
      </w:r>
      <w:bookmarkEnd w:id="4"/>
    </w:p>
    <w:p>
      <w:pPr>
        <w:spacing w:after="80" w:before="60"/>
        <w:jc w:val="both"/>
      </w:pPr>
      <w:r>
        <w:rPr>
          <w:rFonts w:ascii="Arial" w:cs="Arial" w:eastAsia="Arial" w:hAnsi="Arial"/>
          <w:color w:val="1A2340"/>
          <w:sz w:val="22"/>
          <w:szCs w:val="22"/>
        </w:rPr>
        <w:t xml:space="preserve">2.1  This policy applies to:</w:t>
      </w:r>
    </w:p>
    <w:p>
      <w:pPr>
        <w:pStyle w:val="ListParagraph"/>
        <w:numPr>
          <w:ilvl w:val="0"/>
          <w:numId w:val="2"/>
        </w:numPr>
        <w:spacing w:after="40" w:before="40"/>
      </w:pPr>
      <w:r>
        <w:rPr>
          <w:rFonts w:ascii="Arial" w:cs="Arial" w:eastAsia="Arial" w:hAnsi="Arial"/>
          <w:color w:val="1A2340"/>
          <w:sz w:val="22"/>
          <w:szCs w:val="22"/>
        </w:rPr>
        <w:t xml:space="preserve">All employees, contractors, consultants, temporary workers, volunteers, and third-party agents acting on behalf of [ORGANIZATION NAME] who use, develop, procure, deploy, or oversee any AI system for organizational purposes.</w:t>
      </w:r>
    </w:p>
    <w:p>
      <w:pPr>
        <w:pStyle w:val="ListParagraph"/>
        <w:numPr>
          <w:ilvl w:val="0"/>
          <w:numId w:val="2"/>
        </w:numPr>
        <w:spacing w:after="40" w:before="40"/>
      </w:pPr>
      <w:r>
        <w:rPr>
          <w:rFonts w:ascii="Arial" w:cs="Arial" w:eastAsia="Arial" w:hAnsi="Arial"/>
          <w:color w:val="1A2340"/>
          <w:sz w:val="22"/>
          <w:szCs w:val="22"/>
        </w:rPr>
        <w:t xml:space="preserve">All AI systems, tools, platforms, agents, and automated decision-making capabilities used for organizational business purposes — whether hosted on-premises, in the cloud, or accessed via a third-party subscription — including generative AI, machine learning models, AI-assisted analytics, robotic process automation with AI components, and autonomous agents.</w:t>
      </w:r>
    </w:p>
    <w:p>
      <w:pPr>
        <w:pStyle w:val="ListParagraph"/>
        <w:numPr>
          <w:ilvl w:val="0"/>
          <w:numId w:val="2"/>
        </w:numPr>
        <w:spacing w:after="40" w:before="40"/>
      </w:pPr>
      <w:r>
        <w:rPr>
          <w:rFonts w:ascii="Arial" w:cs="Arial" w:eastAsia="Arial" w:hAnsi="Arial"/>
          <w:color w:val="1A2340"/>
          <w:sz w:val="22"/>
          <w:szCs w:val="22"/>
        </w:rPr>
        <w:t xml:space="preserve">All departments and business units within [ORGANIZATION NAME] and its subsidiaries.</w:t>
      </w:r>
    </w:p>
    <w:p>
      <w:pPr>
        <w:pStyle w:val="ListParagraph"/>
        <w:numPr>
          <w:ilvl w:val="0"/>
          <w:numId w:val="2"/>
        </w:numPr>
        <w:spacing w:after="40" w:before="40"/>
      </w:pPr>
      <w:r>
        <w:rPr>
          <w:rFonts w:ascii="Arial" w:cs="Arial" w:eastAsia="Arial" w:hAnsi="Arial"/>
          <w:color w:val="1A2340"/>
          <w:sz w:val="22"/>
          <w:szCs w:val="22"/>
        </w:rPr>
        <w:t xml:space="preserve">Use of AI tools on personally owned devices or through personally licensed accounts where such use involves organizational data.</w:t>
      </w:r>
    </w:p>
    <w:p>
      <w:pPr>
        <w:spacing w:after="120" w:before="0"/>
      </w:pPr>
      <w:r>
        <w:t xml:space="preserve"/>
      </w:r>
    </w:p>
    <w:p>
      <w:pPr>
        <w:spacing w:after="80" w:before="60"/>
        <w:jc w:val="both"/>
      </w:pPr>
      <w:r>
        <w:rPr>
          <w:rFonts w:ascii="Arial" w:cs="Arial" w:eastAsia="Arial" w:hAnsi="Arial"/>
          <w:color w:val="1A2340"/>
          <w:sz w:val="22"/>
          <w:szCs w:val="22"/>
        </w:rPr>
        <w:t xml:space="preserve">2.2  This policy applies across the full AI system lifecycle: design, procurement, deployment, operation, monitoring, and decommissioning.</w:t>
      </w:r>
    </w:p>
    <w:p>
      <w:pPr>
        <w:spacing w:after="80" w:before="60"/>
        <w:jc w:val="both"/>
      </w:pPr>
      <w:r>
        <w:rPr>
          <w:rFonts w:ascii="Arial" w:cs="Arial" w:eastAsia="Arial" w:hAnsi="Arial"/>
          <w:color w:val="1A2340"/>
          <w:sz w:val="22"/>
          <w:szCs w:val="22"/>
        </w:rPr>
        <w:t xml:space="preserve">2.3  Where a specific AI use case is governed by a more restrictive regulatory requirement, client contract, or brand standard, the more restrictive control prevails.</w:t>
      </w:r>
    </w:p>
    <w:p>
      <w:pPr>
        <w:spacing w:after="80" w:before="60"/>
        <w:jc w:val="both"/>
      </w:pPr>
      <w:r>
        <w:rPr>
          <w:rFonts w:ascii="Arial" w:cs="Arial" w:eastAsia="Arial" w:hAnsi="Arial"/>
          <w:color w:val="1A2340"/>
          <w:sz w:val="22"/>
          <w:szCs w:val="22"/>
        </w:rPr>
        <w:t xml:space="preserve">2.4  This policy does not apply to academic research conducted independently of organizational operations, unless organizational data or infrastructure is involved.</w:t>
      </w:r>
    </w:p>
    <w:p>
      <w:pPr>
        <w:pStyle w:val="Heading1"/>
        <w:pBdr>
          <w:bottom w:val="single" w:color="07B4D9" w:sz="8" w:space="4"/>
        </w:pBdr>
        <w:spacing w:after="120" w:before="400"/>
      </w:pPr>
      <w:bookmarkStart w:name="s3" w:id="5"/>
      <w:r>
        <w:rPr>
          <w:rFonts w:ascii="Arial" w:cs="Arial" w:eastAsia="Arial" w:hAnsi="Arial"/>
          <w:b/>
          <w:bCs/>
          <w:color w:val="152168"/>
          <w:sz w:val="30"/>
          <w:szCs w:val="30"/>
        </w:rPr>
        <w:t xml:space="preserve">3. Policy Statement</w:t>
      </w:r>
      <w:bookmarkEnd w:id="6"/>
    </w:p>
    <w:p>
      <w:pPr>
        <w:spacing w:after="80" w:before="60"/>
        <w:jc w:val="both"/>
      </w:pPr>
      <w:r>
        <w:rPr>
          <w:rFonts w:ascii="Arial" w:cs="Arial" w:eastAsia="Arial" w:hAnsi="Arial"/>
          <w:color w:val="1A2340"/>
          <w:sz w:val="22"/>
          <w:szCs w:val="22"/>
        </w:rPr>
        <w:t xml:space="preserve">[ORGANIZATION NAME] is committed to the responsible, ethical, and risk-informed use of Artificial Intelligence. The Organization adopts AI to improve efficiency, service quality, decision-making, and competitive capability — and does so with clear accountability, rigorous risk management, and respect for human dignity and privacy.</w:t>
      </w:r>
    </w:p>
    <w:p>
      <w:pPr>
        <w:spacing w:after="80" w:before="60"/>
        <w:jc w:val="both"/>
      </w:pPr>
      <w:r>
        <w:rPr>
          <w:rFonts w:ascii="Arial" w:cs="Arial" w:eastAsia="Arial" w:hAnsi="Arial"/>
          <w:color w:val="1A2340"/>
          <w:sz w:val="22"/>
          <w:szCs w:val="22"/>
        </w:rPr>
        <w:t xml:space="preserve">The Organization affirms the following governing principles for all AI activity:</w:t>
      </w:r>
    </w:p>
    <w:p>
      <w:pPr>
        <w:pStyle w:val="ListParagraph"/>
        <w:numPr>
          <w:ilvl w:val="0"/>
          <w:numId w:val="2"/>
        </w:numPr>
        <w:spacing w:after="40" w:before="40"/>
      </w:pPr>
      <w:r>
        <w:rPr>
          <w:rFonts w:ascii="Arial" w:cs="Arial" w:eastAsia="Arial" w:hAnsi="Arial"/>
          <w:color w:val="1A2340"/>
          <w:sz w:val="22"/>
          <w:szCs w:val="22"/>
        </w:rPr>
        <w:t xml:space="preserve">Human Oversight: AI systems are tools that augment human judgment — they do not replace human accountability. Consequential decisions require documented human review and sign-off.</w:t>
      </w:r>
    </w:p>
    <w:p>
      <w:pPr>
        <w:pStyle w:val="ListParagraph"/>
        <w:numPr>
          <w:ilvl w:val="0"/>
          <w:numId w:val="2"/>
        </w:numPr>
        <w:spacing w:after="40" w:before="40"/>
      </w:pPr>
      <w:r>
        <w:rPr>
          <w:rFonts w:ascii="Arial" w:cs="Arial" w:eastAsia="Arial" w:hAnsi="Arial"/>
          <w:color w:val="1A2340"/>
          <w:sz w:val="22"/>
          <w:szCs w:val="22"/>
        </w:rPr>
        <w:t xml:space="preserve">Responsible Use: AI must be used in a manner consistent with applicable law, regulatory requirements, ethical standards, and the Organization's values.</w:t>
      </w:r>
    </w:p>
    <w:p>
      <w:pPr>
        <w:pStyle w:val="ListParagraph"/>
        <w:numPr>
          <w:ilvl w:val="0"/>
          <w:numId w:val="2"/>
        </w:numPr>
        <w:spacing w:after="40" w:before="40"/>
      </w:pPr>
      <w:r>
        <w:rPr>
          <w:rFonts w:ascii="Arial" w:cs="Arial" w:eastAsia="Arial" w:hAnsi="Arial"/>
          <w:color w:val="1A2340"/>
          <w:sz w:val="22"/>
          <w:szCs w:val="22"/>
        </w:rPr>
        <w:t xml:space="preserve">Risk-Based Governance: AI risks are identified, assessed, and treated proportionate to the potential impact on the Organization, its customers, employees, and third parties.</w:t>
      </w:r>
    </w:p>
    <w:p>
      <w:pPr>
        <w:pStyle w:val="ListParagraph"/>
        <w:numPr>
          <w:ilvl w:val="0"/>
          <w:numId w:val="2"/>
        </w:numPr>
        <w:spacing w:after="40" w:before="40"/>
      </w:pPr>
      <w:r>
        <w:rPr>
          <w:rFonts w:ascii="Arial" w:cs="Arial" w:eastAsia="Arial" w:hAnsi="Arial"/>
          <w:color w:val="1A2340"/>
          <w:sz w:val="22"/>
          <w:szCs w:val="22"/>
        </w:rPr>
        <w:t xml:space="preserve">Transparency: AI use in external communications, customer interactions, and regulated processes is disclosed where required by law or where a reasonable person would expect disclosure.</w:t>
      </w:r>
    </w:p>
    <w:p>
      <w:pPr>
        <w:pStyle w:val="ListParagraph"/>
        <w:numPr>
          <w:ilvl w:val="0"/>
          <w:numId w:val="2"/>
        </w:numPr>
        <w:spacing w:after="40" w:before="40"/>
      </w:pPr>
      <w:r>
        <w:rPr>
          <w:rFonts w:ascii="Arial" w:cs="Arial" w:eastAsia="Arial" w:hAnsi="Arial"/>
          <w:color w:val="1A2340"/>
          <w:sz w:val="22"/>
          <w:szCs w:val="22"/>
        </w:rPr>
        <w:t xml:space="preserve">Data Protection: Organizational, customer, and employee data is protected throughout its use in AI systems, consistent with applicable privacy and data protection obligations.</w:t>
      </w:r>
    </w:p>
    <w:p>
      <w:pPr>
        <w:pStyle w:val="ListParagraph"/>
        <w:numPr>
          <w:ilvl w:val="0"/>
          <w:numId w:val="2"/>
        </w:numPr>
        <w:spacing w:after="40" w:before="40"/>
      </w:pPr>
      <w:r>
        <w:rPr>
          <w:rFonts w:ascii="Arial" w:cs="Arial" w:eastAsia="Arial" w:hAnsi="Arial"/>
          <w:color w:val="1A2340"/>
          <w:sz w:val="22"/>
          <w:szCs w:val="22"/>
        </w:rPr>
        <w:t xml:space="preserve">Fairness and Non-Discrimination: AI systems are evaluated for discriminatory outcomes or algorithmic bias, particularly in decisions affecting employment, access to services, or individual rights.</w:t>
      </w:r>
    </w:p>
    <w:p>
      <w:pPr>
        <w:pStyle w:val="ListParagraph"/>
        <w:numPr>
          <w:ilvl w:val="0"/>
          <w:numId w:val="2"/>
        </w:numPr>
        <w:spacing w:after="40" w:before="40"/>
      </w:pPr>
      <w:r>
        <w:rPr>
          <w:rFonts w:ascii="Arial" w:cs="Arial" w:eastAsia="Arial" w:hAnsi="Arial"/>
          <w:color w:val="1A2340"/>
          <w:sz w:val="22"/>
          <w:szCs w:val="22"/>
        </w:rPr>
        <w:t xml:space="preserve">Continual Improvement: The Organization actively monitors AI risk posture and governance effectiveness and improves its AI management system in response to incidents, regulatory changes, and lessons learned.</w:t>
      </w:r>
    </w:p>
    <w:p>
      <w:pPr>
        <w:pStyle w:val="Heading1"/>
        <w:pBdr>
          <w:bottom w:val="single" w:color="07B4D9" w:sz="8" w:space="4"/>
        </w:pBdr>
        <w:spacing w:after="120" w:before="400"/>
      </w:pPr>
      <w:bookmarkStart w:name="s4" w:id="7"/>
      <w:r>
        <w:rPr>
          <w:rFonts w:ascii="Arial" w:cs="Arial" w:eastAsia="Arial" w:hAnsi="Arial"/>
          <w:b/>
          <w:bCs/>
          <w:color w:val="152168"/>
          <w:sz w:val="30"/>
          <w:szCs w:val="30"/>
        </w:rPr>
        <w:t xml:space="preserve">4. Definitions</w:t>
      </w:r>
      <w:bookmarkEnd w:id="8"/>
    </w:p>
    <w:p>
      <w:pPr>
        <w:spacing w:after="80" w:before="60"/>
        <w:jc w:val="both"/>
      </w:pPr>
      <w:r>
        <w:rPr>
          <w:rFonts w:ascii="Arial" w:cs="Arial" w:eastAsia="Arial" w:hAnsi="Arial"/>
          <w:color w:val="1A2340"/>
          <w:sz w:val="22"/>
          <w:szCs w:val="22"/>
        </w:rPr>
        <w:t xml:space="preserve">The following definitions apply throughout this policy and all subordinate documents referenced herein.</w:t>
      </w:r>
    </w:p>
    <w:p>
      <w:pPr>
        <w:spacing w:after="60" w:before="0"/>
      </w:pPr>
      <w:r>
        <w:t xml:space="preserve"/>
      </w:r>
    </w:p>
    <w:p>
      <w:pPr>
        <w:spacing w:after="60" w:before="60"/>
        <w:jc w:val="both"/>
      </w:pPr>
      <w:r>
        <w:rPr>
          <w:rFonts w:ascii="Arial" w:cs="Arial" w:eastAsia="Arial" w:hAnsi="Arial"/>
          <w:b/>
          <w:bCs/>
          <w:color w:val="152168"/>
          <w:sz w:val="22"/>
          <w:szCs w:val="22"/>
        </w:rPr>
        <w:t xml:space="preserve">AI System: </w:t>
      </w:r>
      <w:r>
        <w:rPr>
          <w:rFonts w:ascii="Arial" w:cs="Arial" w:eastAsia="Arial" w:hAnsi="Arial"/>
          <w:color w:val="1A2340"/>
          <w:sz w:val="22"/>
          <w:szCs w:val="22"/>
        </w:rPr>
        <w:t xml:space="preserve">A machine-based system designed to operate with varying levels of autonomy and that infers outputs — such as predictions, recommendations, decisions, or content — from inputs it receives, and that may affect real or virtual environments. (Source: ISO/IEC 42001:2023; NIST AI RMF 1.0)</w:t>
      </w:r>
    </w:p>
    <w:p>
      <w:pPr>
        <w:spacing w:after="60" w:before="60"/>
        <w:jc w:val="both"/>
      </w:pPr>
      <w:r>
        <w:rPr>
          <w:rFonts w:ascii="Arial" w:cs="Arial" w:eastAsia="Arial" w:hAnsi="Arial"/>
          <w:b/>
          <w:bCs/>
          <w:color w:val="152168"/>
          <w:sz w:val="22"/>
          <w:szCs w:val="22"/>
        </w:rPr>
        <w:t xml:space="preserve">Agentic AI: </w:t>
      </w:r>
      <w:r>
        <w:rPr>
          <w:rFonts w:ascii="Arial" w:cs="Arial" w:eastAsia="Arial" w:hAnsi="Arial"/>
          <w:color w:val="1A2340"/>
          <w:sz w:val="22"/>
          <w:szCs w:val="22"/>
        </w:rPr>
        <w:t xml:space="preserve">An AI system configured to autonomously plan and execute multi-step tasks, trigger external actions (e.g., sending email, modifying records, querying APIs), or chain sub-tasks without step-by-step human prompting. Agentic AI carries elevated risk due to its broader action scope.</w:t>
      </w:r>
    </w:p>
    <w:p>
      <w:pPr>
        <w:spacing w:after="60" w:before="60"/>
        <w:jc w:val="both"/>
      </w:pPr>
      <w:r>
        <w:rPr>
          <w:rFonts w:ascii="Arial" w:cs="Arial" w:eastAsia="Arial" w:hAnsi="Arial"/>
          <w:b/>
          <w:bCs/>
          <w:color w:val="152168"/>
          <w:sz w:val="22"/>
          <w:szCs w:val="22"/>
        </w:rPr>
        <w:t xml:space="preserve">Algorithmic Bias: </w:t>
      </w:r>
      <w:r>
        <w:rPr>
          <w:rFonts w:ascii="Arial" w:cs="Arial" w:eastAsia="Arial" w:hAnsi="Arial"/>
          <w:color w:val="1A2340"/>
          <w:sz w:val="22"/>
          <w:szCs w:val="22"/>
        </w:rPr>
        <w:t xml:space="preserve">Systematic and unfair discriminatory outcomes produced by an AI system, often derived from biased training data, flawed model design, or inappropriate use of the system outside its intended context.</w:t>
      </w:r>
    </w:p>
    <w:p>
      <w:pPr>
        <w:spacing w:after="60" w:before="60"/>
        <w:jc w:val="both"/>
      </w:pPr>
      <w:r>
        <w:rPr>
          <w:rFonts w:ascii="Arial" w:cs="Arial" w:eastAsia="Arial" w:hAnsi="Arial"/>
          <w:b/>
          <w:bCs/>
          <w:color w:val="152168"/>
          <w:sz w:val="22"/>
          <w:szCs w:val="22"/>
        </w:rPr>
        <w:t xml:space="preserve">AI Governance Committee (AIGC): </w:t>
      </w:r>
      <w:r>
        <w:rPr>
          <w:rFonts w:ascii="Arial" w:cs="Arial" w:eastAsia="Arial" w:hAnsi="Arial"/>
          <w:color w:val="1A2340"/>
          <w:sz w:val="22"/>
          <w:szCs w:val="22"/>
        </w:rPr>
        <w:t xml:space="preserve">The cross-functional body responsible for organizational AI governance, including policy oversight, use case approval, risk posture review, and escalation decisions. Composition is defined in Section 5.1.</w:t>
      </w:r>
    </w:p>
    <w:p>
      <w:pPr>
        <w:spacing w:after="60" w:before="60"/>
        <w:jc w:val="both"/>
      </w:pPr>
      <w:r>
        <w:rPr>
          <w:rFonts w:ascii="Arial" w:cs="Arial" w:eastAsia="Arial" w:hAnsi="Arial"/>
          <w:b/>
          <w:bCs/>
          <w:color w:val="152168"/>
          <w:sz w:val="22"/>
          <w:szCs w:val="22"/>
        </w:rPr>
        <w:t xml:space="preserve">AI Impact Assessment (AIIA): </w:t>
      </w:r>
      <w:r>
        <w:rPr>
          <w:rFonts w:ascii="Arial" w:cs="Arial" w:eastAsia="Arial" w:hAnsi="Arial"/>
          <w:color w:val="1A2340"/>
          <w:sz w:val="22"/>
          <w:szCs w:val="22"/>
        </w:rPr>
        <w:t xml:space="preserve">A structured evaluation of the potential consequences of deploying an AI system, covering risks to individuals, operations, legal compliance, and ethical obligations. Required before High-Impact AI use cases go live. (See Appendix C)</w:t>
      </w:r>
    </w:p>
    <w:p>
      <w:pPr>
        <w:spacing w:after="60" w:before="60"/>
        <w:jc w:val="both"/>
      </w:pPr>
      <w:r>
        <w:rPr>
          <w:rFonts w:ascii="Arial" w:cs="Arial" w:eastAsia="Arial" w:hAnsi="Arial"/>
          <w:b/>
          <w:bCs/>
          <w:color w:val="152168"/>
          <w:sz w:val="22"/>
          <w:szCs w:val="22"/>
        </w:rPr>
        <w:t xml:space="preserve">AI System Owner: </w:t>
      </w:r>
      <w:r>
        <w:rPr>
          <w:rFonts w:ascii="Arial" w:cs="Arial" w:eastAsia="Arial" w:hAnsi="Arial"/>
          <w:color w:val="1A2340"/>
          <w:sz w:val="22"/>
          <w:szCs w:val="22"/>
        </w:rPr>
        <w:t xml:space="preserve">The individual (typically a department head or designated manager) accountable for the ongoing management, compliance, and risk posture of a specific AI system or use case deployed within their domain.</w:t>
      </w:r>
    </w:p>
    <w:p>
      <w:pPr>
        <w:spacing w:after="60" w:before="60"/>
        <w:jc w:val="both"/>
      </w:pPr>
      <w:r>
        <w:rPr>
          <w:rFonts w:ascii="Arial" w:cs="Arial" w:eastAsia="Arial" w:hAnsi="Arial"/>
          <w:b/>
          <w:bCs/>
          <w:color w:val="152168"/>
          <w:sz w:val="22"/>
          <w:szCs w:val="22"/>
        </w:rPr>
        <w:t xml:space="preserve">Approved AI Tools Register: </w:t>
      </w:r>
      <w:r>
        <w:rPr>
          <w:rFonts w:ascii="Arial" w:cs="Arial" w:eastAsia="Arial" w:hAnsi="Arial"/>
          <w:color w:val="1A2340"/>
          <w:sz w:val="22"/>
          <w:szCs w:val="22"/>
        </w:rPr>
        <w:t xml:space="preserve">The Organization's authoritative list of AI tools, platforms, and subscriptions approved for use with organizational data, maintained by the CISO / vCISO. Refer to Appendix D.</w:t>
      </w:r>
    </w:p>
    <w:p>
      <w:pPr>
        <w:spacing w:after="60" w:before="60"/>
        <w:jc w:val="both"/>
      </w:pPr>
      <w:r>
        <w:rPr>
          <w:rFonts w:ascii="Arial" w:cs="Arial" w:eastAsia="Arial" w:hAnsi="Arial"/>
          <w:b/>
          <w:bCs/>
          <w:color w:val="152168"/>
          <w:sz w:val="22"/>
          <w:szCs w:val="22"/>
        </w:rPr>
        <w:t xml:space="preserve">Data Processing Agreement (DPA): </w:t>
      </w:r>
      <w:r>
        <w:rPr>
          <w:rFonts w:ascii="Arial" w:cs="Arial" w:eastAsia="Arial" w:hAnsi="Arial"/>
          <w:color w:val="1A2340"/>
          <w:sz w:val="22"/>
          <w:szCs w:val="22"/>
        </w:rPr>
        <w:t xml:space="preserve">A legally binding contract between the Organization and an AI vendor specifying data categories processed, processing purposes, security requirements, subprocessor disclosure, breach notification timelines, and data deletion rights. Required for all AI vendors that process organizational or personal data.</w:t>
      </w:r>
    </w:p>
    <w:p>
      <w:pPr>
        <w:spacing w:after="60" w:before="60"/>
        <w:jc w:val="both"/>
      </w:pPr>
      <w:r>
        <w:rPr>
          <w:rFonts w:ascii="Arial" w:cs="Arial" w:eastAsia="Arial" w:hAnsi="Arial"/>
          <w:b/>
          <w:bCs/>
          <w:color w:val="152168"/>
          <w:sz w:val="22"/>
          <w:szCs w:val="22"/>
        </w:rPr>
        <w:t xml:space="preserve">Generative AI: </w:t>
      </w:r>
      <w:r>
        <w:rPr>
          <w:rFonts w:ascii="Arial" w:cs="Arial" w:eastAsia="Arial" w:hAnsi="Arial"/>
          <w:color w:val="1A2340"/>
          <w:sz w:val="22"/>
          <w:szCs w:val="22"/>
        </w:rPr>
        <w:t xml:space="preserve">AI systems capable of producing text, images, audio, video, code, or other content in response to prompts. Includes large language models (LLMs), image generation models, and similar technologies.</w:t>
      </w:r>
    </w:p>
    <w:p>
      <w:pPr>
        <w:spacing w:after="60" w:before="60"/>
        <w:jc w:val="both"/>
      </w:pPr>
      <w:r>
        <w:rPr>
          <w:rFonts w:ascii="Arial" w:cs="Arial" w:eastAsia="Arial" w:hAnsi="Arial"/>
          <w:b/>
          <w:bCs/>
          <w:color w:val="152168"/>
          <w:sz w:val="22"/>
          <w:szCs w:val="22"/>
        </w:rPr>
        <w:t xml:space="preserve">Hallucination: </w:t>
      </w:r>
      <w:r>
        <w:rPr>
          <w:rFonts w:ascii="Arial" w:cs="Arial" w:eastAsia="Arial" w:hAnsi="Arial"/>
          <w:color w:val="1A2340"/>
          <w:sz w:val="22"/>
          <w:szCs w:val="22"/>
        </w:rPr>
        <w:t xml:space="preserve">The generation by an AI system of plausible-sounding but factually incorrect, outdated, or entirely fabricated information. AI hallucinations can occur without any warning signal from the system. All AI-generated factual content must be independently verified before use in consequential decisions or external communications.</w:t>
      </w:r>
    </w:p>
    <w:p>
      <w:pPr>
        <w:spacing w:after="60" w:before="60"/>
        <w:jc w:val="both"/>
      </w:pPr>
      <w:r>
        <w:rPr>
          <w:rFonts w:ascii="Arial" w:cs="Arial" w:eastAsia="Arial" w:hAnsi="Arial"/>
          <w:b/>
          <w:bCs/>
          <w:color w:val="152168"/>
          <w:sz w:val="22"/>
          <w:szCs w:val="22"/>
        </w:rPr>
        <w:t xml:space="preserve">High-Impact AI Use Case: </w:t>
      </w:r>
      <w:r>
        <w:rPr>
          <w:rFonts w:ascii="Arial" w:cs="Arial" w:eastAsia="Arial" w:hAnsi="Arial"/>
          <w:color w:val="1A2340"/>
          <w:sz w:val="22"/>
          <w:szCs w:val="22"/>
        </w:rPr>
        <w:t xml:space="preserve">An AI use case where AI output directly or significantly influences decisions affecting employment, financial outcomes, legal compliance, individual rights, public communications, or safety. Requires mandatory AI Impact Assessment and AIGC sign-off before deployment.</w:t>
      </w:r>
    </w:p>
    <w:p>
      <w:pPr>
        <w:spacing w:after="60" w:before="60"/>
        <w:jc w:val="both"/>
      </w:pPr>
      <w:r>
        <w:rPr>
          <w:rFonts w:ascii="Arial" w:cs="Arial" w:eastAsia="Arial" w:hAnsi="Arial"/>
          <w:b/>
          <w:bCs/>
          <w:color w:val="152168"/>
          <w:sz w:val="22"/>
          <w:szCs w:val="22"/>
        </w:rPr>
        <w:t xml:space="preserve">Human-in-the-Loop (HITL): </w:t>
      </w:r>
      <w:r>
        <w:rPr>
          <w:rFonts w:ascii="Arial" w:cs="Arial" w:eastAsia="Arial" w:hAnsi="Arial"/>
          <w:color w:val="1A2340"/>
          <w:sz w:val="22"/>
          <w:szCs w:val="22"/>
        </w:rPr>
        <w:t xml:space="preserve">A control design requiring a qualified human to review, verify, or approve AI output before any consequential action is taken. The minimum oversight standard for all AI output under this policy.</w:t>
      </w:r>
    </w:p>
    <w:p>
      <w:pPr>
        <w:spacing w:after="60" w:before="60"/>
        <w:jc w:val="both"/>
      </w:pPr>
      <w:r>
        <w:rPr>
          <w:rFonts w:ascii="Arial" w:cs="Arial" w:eastAsia="Arial" w:hAnsi="Arial"/>
          <w:b/>
          <w:bCs/>
          <w:color w:val="152168"/>
          <w:sz w:val="22"/>
          <w:szCs w:val="22"/>
        </w:rPr>
        <w:t xml:space="preserve">Prohibited Data: </w:t>
      </w:r>
      <w:r>
        <w:rPr>
          <w:rFonts w:ascii="Arial" w:cs="Arial" w:eastAsia="Arial" w:hAnsi="Arial"/>
          <w:color w:val="1A2340"/>
          <w:sz w:val="22"/>
          <w:szCs w:val="22"/>
        </w:rPr>
        <w:t xml:space="preserve">Data categories that must never be submitted to any AI platform under any circumstances. Defined in Appendix B.</w:t>
      </w:r>
    </w:p>
    <w:p>
      <w:pPr>
        <w:spacing w:after="60" w:before="60"/>
        <w:jc w:val="both"/>
      </w:pPr>
      <w:r>
        <w:rPr>
          <w:rFonts w:ascii="Arial" w:cs="Arial" w:eastAsia="Arial" w:hAnsi="Arial"/>
          <w:b/>
          <w:bCs/>
          <w:color w:val="152168"/>
          <w:sz w:val="22"/>
          <w:szCs w:val="22"/>
        </w:rPr>
        <w:t xml:space="preserve">Retrieval-Augmented Generation (RAG): </w:t>
      </w:r>
      <w:r>
        <w:rPr>
          <w:rFonts w:ascii="Arial" w:cs="Arial" w:eastAsia="Arial" w:hAnsi="Arial"/>
          <w:color w:val="1A2340"/>
          <w:sz w:val="22"/>
          <w:szCs w:val="22"/>
        </w:rPr>
        <w:t xml:space="preserve">An AI architecture in which the AI model retrieves relevant documents or data from an external knowledge base before generating a response. RAG-enabled systems require access controls and content governance on the knowledge base.</w:t>
      </w:r>
    </w:p>
    <w:p>
      <w:pPr>
        <w:spacing w:after="60" w:before="60"/>
        <w:jc w:val="both"/>
      </w:pPr>
      <w:r>
        <w:rPr>
          <w:rFonts w:ascii="Arial" w:cs="Arial" w:eastAsia="Arial" w:hAnsi="Arial"/>
          <w:b/>
          <w:bCs/>
          <w:color w:val="152168"/>
          <w:sz w:val="22"/>
          <w:szCs w:val="22"/>
        </w:rPr>
        <w:t xml:space="preserve">Shadow AI: </w:t>
      </w:r>
      <w:r>
        <w:rPr>
          <w:rFonts w:ascii="Arial" w:cs="Arial" w:eastAsia="Arial" w:hAnsi="Arial"/>
          <w:color w:val="1A2340"/>
          <w:sz w:val="22"/>
          <w:szCs w:val="22"/>
        </w:rPr>
        <w:t xml:space="preserve">The use of unapproved AI tools, platforms, or accounts for organizational purposes, outside the governance controls established by this policy. Shadow AI use is a policy violation subject to the consequences defined in Section 7.</w:t>
      </w:r>
    </w:p>
    <w:p>
      <w:pPr>
        <w:spacing w:after="60" w:before="60"/>
        <w:jc w:val="both"/>
      </w:pPr>
      <w:r>
        <w:rPr>
          <w:rFonts w:ascii="Arial" w:cs="Arial" w:eastAsia="Arial" w:hAnsi="Arial"/>
          <w:b/>
          <w:bCs/>
          <w:color w:val="152168"/>
          <w:sz w:val="22"/>
          <w:szCs w:val="22"/>
        </w:rPr>
        <w:t xml:space="preserve">Trustworthy AI: </w:t>
      </w:r>
      <w:r>
        <w:rPr>
          <w:rFonts w:ascii="Arial" w:cs="Arial" w:eastAsia="Arial" w:hAnsi="Arial"/>
          <w:color w:val="1A2340"/>
          <w:sz w:val="22"/>
          <w:szCs w:val="22"/>
        </w:rPr>
        <w:t xml:space="preserve">AI characterized by validity, reliability, safety, security, explainability, privacy protection, fairness, and accountability across the full AI lifecycle. (Source: NIST AI RMF 1.0)</w:t>
      </w:r>
    </w:p>
    <w:p>
      <w:r>
        <w:br w:type="page"/>
      </w:r>
    </w:p>
    <w:p>
      <w:pPr>
        <w:pStyle w:val="Heading1"/>
        <w:pBdr>
          <w:bottom w:val="single" w:color="07B4D9" w:sz="8" w:space="4"/>
        </w:pBdr>
        <w:spacing w:after="120" w:before="400"/>
      </w:pPr>
      <w:bookmarkStart w:name="s5" w:id="9"/>
      <w:r>
        <w:rPr>
          <w:rFonts w:ascii="Arial" w:cs="Arial" w:eastAsia="Arial" w:hAnsi="Arial"/>
          <w:b/>
          <w:bCs/>
          <w:color w:val="152168"/>
          <w:sz w:val="30"/>
          <w:szCs w:val="30"/>
        </w:rPr>
        <w:t xml:space="preserve">5. Roles and Responsibilities</w:t>
      </w:r>
      <w:bookmarkEnd w:id="10"/>
    </w:p>
    <w:p>
      <w:pPr>
        <w:spacing w:after="60" w:before="40"/>
        <w:jc w:val="both"/>
      </w:pPr>
      <w:r>
        <w:rPr>
          <w:rFonts w:ascii="Arial" w:cs="Arial" w:eastAsia="Arial" w:hAnsi="Arial"/>
          <w:i/>
          <w:iCs/>
          <w:color w:val="5A6A8A"/>
          <w:sz w:val="19"/>
          <w:szCs w:val="19"/>
        </w:rPr>
        <w:t xml:space="preserve">ISO 42001 Ref: Clauses 5.1, 5.3 | NIST AI RMF Ref: GOVERN 1.2, GOVERN 2.1, GOVERN 2.2, GOVERN 5.1, GOVERN 5.2</w:t>
      </w:r>
    </w:p>
    <w:p>
      <w:pPr>
        <w:spacing w:after="60" w:before="0"/>
      </w:pPr>
      <w:r>
        <w:t xml:space="preserve"/>
      </w:r>
    </w:p>
    <w:p>
      <w:pPr>
        <w:pStyle w:val="Heading2"/>
        <w:spacing w:after="80" w:before="280"/>
      </w:pPr>
      <w:bookmarkStart w:name="s51" w:id="11"/>
      <w:r>
        <w:rPr>
          <w:rFonts w:ascii="Arial" w:cs="Arial" w:eastAsia="Arial" w:hAnsi="Arial"/>
          <w:b/>
          <w:bCs/>
          <w:color w:val="152168"/>
          <w:sz w:val="26"/>
          <w:szCs w:val="26"/>
        </w:rPr>
        <w:t xml:space="preserve">5.1  AI Governance Committee (AIGC)</w:t>
      </w:r>
      <w:bookmarkEnd w:id="12"/>
    </w:p>
    <w:p>
      <w:pPr>
        <w:spacing w:after="80" w:before="60"/>
        <w:jc w:val="both"/>
      </w:pPr>
      <w:r>
        <w:rPr>
          <w:rFonts w:ascii="Arial" w:cs="Arial" w:eastAsia="Arial" w:hAnsi="Arial"/>
          <w:color w:val="1A2340"/>
          <w:sz w:val="22"/>
          <w:szCs w:val="22"/>
        </w:rPr>
        <w:t xml:space="preserve">The AI Governance Committee is the primary oversight body for AI risk and governance. It is chaired by [Executive Sponsor — e.g., CIO, CISO, or COO] and comprises representatives from Information Security, Legal and Compliance, Human Resources, Finance, and senior operational department heads.</w:t>
      </w:r>
    </w:p>
    <w:p>
      <w:pPr>
        <w:spacing w:after="80" w:before="60"/>
        <w:jc w:val="both"/>
      </w:pPr>
      <w:r>
        <w:rPr>
          <w:rFonts w:ascii="Arial" w:cs="Arial" w:eastAsia="Arial" w:hAnsi="Arial"/>
          <w:color w:val="1A2340"/>
          <w:sz w:val="22"/>
          <w:szCs w:val="22"/>
        </w:rPr>
        <w:t xml:space="preserve">The AIGC is responsible for:</w:t>
      </w:r>
    </w:p>
    <w:p>
      <w:pPr>
        <w:pStyle w:val="ListParagraph"/>
        <w:numPr>
          <w:ilvl w:val="0"/>
          <w:numId w:val="2"/>
        </w:numPr>
        <w:spacing w:after="40" w:before="40"/>
      </w:pPr>
      <w:r>
        <w:rPr>
          <w:rFonts w:ascii="Arial" w:cs="Arial" w:eastAsia="Arial" w:hAnsi="Arial"/>
          <w:color w:val="1A2340"/>
          <w:sz w:val="22"/>
          <w:szCs w:val="22"/>
        </w:rPr>
        <w:t xml:space="preserve">Establishing, approving, and periodically reviewing the Organization's AI governance policies, standards, and risk tolerance thresholds.</w:t>
      </w:r>
    </w:p>
    <w:p>
      <w:pPr>
        <w:pStyle w:val="ListParagraph"/>
        <w:numPr>
          <w:ilvl w:val="0"/>
          <w:numId w:val="2"/>
        </w:numPr>
        <w:spacing w:after="40" w:before="40"/>
      </w:pPr>
      <w:r>
        <w:rPr>
          <w:rFonts w:ascii="Arial" w:cs="Arial" w:eastAsia="Arial" w:hAnsi="Arial"/>
          <w:color w:val="1A2340"/>
          <w:sz w:val="22"/>
          <w:szCs w:val="22"/>
        </w:rPr>
        <w:t xml:space="preserve">Approving High-Impact AI Use Cases before deployment, following receipt of a completed AI Impact Assessment.</w:t>
      </w:r>
    </w:p>
    <w:p>
      <w:pPr>
        <w:pStyle w:val="ListParagraph"/>
        <w:numPr>
          <w:ilvl w:val="0"/>
          <w:numId w:val="2"/>
        </w:numPr>
        <w:spacing w:after="40" w:before="40"/>
      </w:pPr>
      <w:r>
        <w:rPr>
          <w:rFonts w:ascii="Arial" w:cs="Arial" w:eastAsia="Arial" w:hAnsi="Arial"/>
          <w:color w:val="1A2340"/>
          <w:sz w:val="22"/>
          <w:szCs w:val="22"/>
        </w:rPr>
        <w:t xml:space="preserve">Reviewing AI risk posture and incident trends at least quarterly.</w:t>
      </w:r>
    </w:p>
    <w:p>
      <w:pPr>
        <w:pStyle w:val="ListParagraph"/>
        <w:numPr>
          <w:ilvl w:val="0"/>
          <w:numId w:val="2"/>
        </w:numPr>
        <w:spacing w:after="40" w:before="40"/>
      </w:pPr>
      <w:r>
        <w:rPr>
          <w:rFonts w:ascii="Arial" w:cs="Arial" w:eastAsia="Arial" w:hAnsi="Arial"/>
          <w:color w:val="1A2340"/>
          <w:sz w:val="22"/>
          <w:szCs w:val="22"/>
        </w:rPr>
        <w:t xml:space="preserve">Authorizing exceptions to this policy per Section 8.</w:t>
      </w:r>
    </w:p>
    <w:p>
      <w:pPr>
        <w:pStyle w:val="ListParagraph"/>
        <w:numPr>
          <w:ilvl w:val="0"/>
          <w:numId w:val="2"/>
        </w:numPr>
        <w:spacing w:after="40" w:before="40"/>
      </w:pPr>
      <w:r>
        <w:rPr>
          <w:rFonts w:ascii="Arial" w:cs="Arial" w:eastAsia="Arial" w:hAnsi="Arial"/>
          <w:color w:val="1A2340"/>
          <w:sz w:val="22"/>
          <w:szCs w:val="22"/>
        </w:rPr>
        <w:t xml:space="preserve">Sponsoring AI training and awareness programs.</w:t>
      </w:r>
    </w:p>
    <w:p>
      <w:pPr>
        <w:pStyle w:val="ListParagraph"/>
        <w:numPr>
          <w:ilvl w:val="0"/>
          <w:numId w:val="2"/>
        </w:numPr>
        <w:spacing w:after="40" w:before="40"/>
      </w:pPr>
      <w:r>
        <w:rPr>
          <w:rFonts w:ascii="Arial" w:cs="Arial" w:eastAsia="Arial" w:hAnsi="Arial"/>
          <w:color w:val="1A2340"/>
          <w:sz w:val="22"/>
          <w:szCs w:val="22"/>
        </w:rPr>
        <w:t xml:space="preserve">Ensuring AI governance resources are adequate and proportionate to the Organization's AI footprint.</w:t>
      </w:r>
    </w:p>
    <w:p>
      <w:pPr>
        <w:pStyle w:val="ListParagraph"/>
        <w:numPr>
          <w:ilvl w:val="0"/>
          <w:numId w:val="2"/>
        </w:numPr>
        <w:spacing w:after="40" w:before="40"/>
      </w:pPr>
      <w:r>
        <w:rPr>
          <w:rFonts w:ascii="Arial" w:cs="Arial" w:eastAsia="Arial" w:hAnsi="Arial"/>
          <w:color w:val="1A2340"/>
          <w:sz w:val="22"/>
          <w:szCs w:val="22"/>
        </w:rPr>
        <w:t xml:space="preserve">Receiving and reviewing management review outputs per Sections 6.12 and 9.3.</w:t>
      </w:r>
    </w:p>
    <w:p>
      <w:pPr>
        <w:pStyle w:val="Heading2"/>
        <w:spacing w:after="80" w:before="280"/>
      </w:pPr>
      <w:bookmarkStart w:name="s52" w:id="13"/>
      <w:r>
        <w:rPr>
          <w:rFonts w:ascii="Arial" w:cs="Arial" w:eastAsia="Arial" w:hAnsi="Arial"/>
          <w:b/>
          <w:bCs/>
          <w:color w:val="152168"/>
          <w:sz w:val="26"/>
          <w:szCs w:val="26"/>
        </w:rPr>
        <w:t xml:space="preserve">5.2  CISO / vCISO (Policy Owner)</w:t>
      </w:r>
      <w:bookmarkEnd w:id="14"/>
    </w:p>
    <w:p>
      <w:pPr>
        <w:spacing w:after="80" w:before="60"/>
        <w:jc w:val="both"/>
      </w:pPr>
      <w:r>
        <w:rPr>
          <w:rFonts w:ascii="Arial" w:cs="Arial" w:eastAsia="Arial" w:hAnsi="Arial"/>
          <w:color w:val="1A2340"/>
          <w:sz w:val="22"/>
          <w:szCs w:val="22"/>
        </w:rPr>
        <w:t xml:space="preserve">The CISO or designated vCISO is the accountable policy owner. Responsibilities include:</w:t>
      </w:r>
    </w:p>
    <w:p>
      <w:pPr>
        <w:pStyle w:val="ListParagraph"/>
        <w:numPr>
          <w:ilvl w:val="0"/>
          <w:numId w:val="2"/>
        </w:numPr>
        <w:spacing w:after="40" w:before="40"/>
      </w:pPr>
      <w:r>
        <w:rPr>
          <w:rFonts w:ascii="Arial" w:cs="Arial" w:eastAsia="Arial" w:hAnsi="Arial"/>
          <w:color w:val="1A2340"/>
          <w:sz w:val="22"/>
          <w:szCs w:val="22"/>
        </w:rPr>
        <w:t xml:space="preserve">Maintaining and annually reviewing this policy and all subordinate AI standards, procedures, and guidelines.</w:t>
      </w:r>
    </w:p>
    <w:p>
      <w:pPr>
        <w:pStyle w:val="ListParagraph"/>
        <w:numPr>
          <w:ilvl w:val="0"/>
          <w:numId w:val="2"/>
        </w:numPr>
        <w:spacing w:after="40" w:before="40"/>
      </w:pPr>
      <w:r>
        <w:rPr>
          <w:rFonts w:ascii="Arial" w:cs="Arial" w:eastAsia="Arial" w:hAnsi="Arial"/>
          <w:color w:val="1A2340"/>
          <w:sz w:val="22"/>
          <w:szCs w:val="22"/>
        </w:rPr>
        <w:t xml:space="preserve">Maintaining the Approved AI Tools Register (Appendix D) and conducting third-party risk assessments for new AI vendors.</w:t>
      </w:r>
    </w:p>
    <w:p>
      <w:pPr>
        <w:pStyle w:val="ListParagraph"/>
        <w:numPr>
          <w:ilvl w:val="0"/>
          <w:numId w:val="2"/>
        </w:numPr>
        <w:spacing w:after="40" w:before="40"/>
      </w:pPr>
      <w:r>
        <w:rPr>
          <w:rFonts w:ascii="Arial" w:cs="Arial" w:eastAsia="Arial" w:hAnsi="Arial"/>
          <w:color w:val="1A2340"/>
          <w:sz w:val="22"/>
          <w:szCs w:val="22"/>
        </w:rPr>
        <w:t xml:space="preserve">Operating the AI incident response process (Section 6.10) and reporting significant AI incidents to the AIGC.</w:t>
      </w:r>
    </w:p>
    <w:p>
      <w:pPr>
        <w:pStyle w:val="ListParagraph"/>
        <w:numPr>
          <w:ilvl w:val="0"/>
          <w:numId w:val="2"/>
        </w:numPr>
        <w:spacing w:after="40" w:before="40"/>
      </w:pPr>
      <w:r>
        <w:rPr>
          <w:rFonts w:ascii="Arial" w:cs="Arial" w:eastAsia="Arial" w:hAnsi="Arial"/>
          <w:color w:val="1A2340"/>
          <w:sz w:val="22"/>
          <w:szCs w:val="22"/>
        </w:rPr>
        <w:t xml:space="preserve">Overseeing AI monitoring, audit, and DLP controls (Section 6.11).</w:t>
      </w:r>
    </w:p>
    <w:p>
      <w:pPr>
        <w:pStyle w:val="ListParagraph"/>
        <w:numPr>
          <w:ilvl w:val="0"/>
          <w:numId w:val="2"/>
        </w:numPr>
        <w:spacing w:after="40" w:before="40"/>
      </w:pPr>
      <w:r>
        <w:rPr>
          <w:rFonts w:ascii="Arial" w:cs="Arial" w:eastAsia="Arial" w:hAnsi="Arial"/>
          <w:color w:val="1A2340"/>
          <w:sz w:val="22"/>
          <w:szCs w:val="22"/>
        </w:rPr>
        <w:t xml:space="preserve">Advising the AIGC on emerging AI threats, regulatory developments, and control gaps.</w:t>
      </w:r>
    </w:p>
    <w:p>
      <w:pPr>
        <w:pStyle w:val="ListParagraph"/>
        <w:numPr>
          <w:ilvl w:val="0"/>
          <w:numId w:val="2"/>
        </w:numPr>
        <w:spacing w:after="40" w:before="40"/>
      </w:pPr>
      <w:r>
        <w:rPr>
          <w:rFonts w:ascii="Arial" w:cs="Arial" w:eastAsia="Arial" w:hAnsi="Arial"/>
          <w:color w:val="1A2340"/>
          <w:sz w:val="22"/>
          <w:szCs w:val="22"/>
        </w:rPr>
        <w:t xml:space="preserve">Coordinating with Legal, HR, and Compliance on policy enforcement (Section 7).</w:t>
      </w:r>
    </w:p>
    <w:p>
      <w:pPr>
        <w:pStyle w:val="Heading2"/>
        <w:spacing w:after="80" w:before="280"/>
      </w:pPr>
      <w:bookmarkStart w:name="s53" w:id="15"/>
      <w:r>
        <w:rPr>
          <w:rFonts w:ascii="Arial" w:cs="Arial" w:eastAsia="Arial" w:hAnsi="Arial"/>
          <w:b/>
          <w:bCs/>
          <w:color w:val="152168"/>
          <w:sz w:val="26"/>
          <w:szCs w:val="26"/>
        </w:rPr>
        <w:t xml:space="preserve">5.3  Department Heads and AI System Owners</w:t>
      </w:r>
      <w:bookmarkEnd w:id="16"/>
    </w:p>
    <w:p>
      <w:pPr>
        <w:spacing w:after="80" w:before="60"/>
        <w:jc w:val="both"/>
      </w:pPr>
      <w:r>
        <w:rPr>
          <w:rFonts w:ascii="Arial" w:cs="Arial" w:eastAsia="Arial" w:hAnsi="Arial"/>
          <w:color w:val="1A2340"/>
          <w:sz w:val="22"/>
          <w:szCs w:val="22"/>
        </w:rPr>
        <w:t xml:space="preserve">Each department head is responsible for AI governance within their domain. Responsibilities include:</w:t>
      </w:r>
    </w:p>
    <w:p>
      <w:pPr>
        <w:pStyle w:val="ListParagraph"/>
        <w:numPr>
          <w:ilvl w:val="0"/>
          <w:numId w:val="2"/>
        </w:numPr>
        <w:spacing w:after="40" w:before="40"/>
      </w:pPr>
      <w:r>
        <w:rPr>
          <w:rFonts w:ascii="Arial" w:cs="Arial" w:eastAsia="Arial" w:hAnsi="Arial"/>
          <w:color w:val="1A2340"/>
          <w:sz w:val="22"/>
          <w:szCs w:val="22"/>
        </w:rPr>
        <w:t xml:space="preserve">Ensuring all department staff complete mandatory AI training before being granted AI tool access (Section 6.9).</w:t>
      </w:r>
    </w:p>
    <w:p>
      <w:pPr>
        <w:pStyle w:val="ListParagraph"/>
        <w:numPr>
          <w:ilvl w:val="0"/>
          <w:numId w:val="2"/>
        </w:numPr>
        <w:spacing w:after="40" w:before="40"/>
      </w:pPr>
      <w:r>
        <w:rPr>
          <w:rFonts w:ascii="Arial" w:cs="Arial" w:eastAsia="Arial" w:hAnsi="Arial"/>
          <w:color w:val="1A2340"/>
          <w:sz w:val="22"/>
          <w:szCs w:val="22"/>
        </w:rPr>
        <w:t xml:space="preserve">Enforcing acceptable use requirements (Section 6.6) and human oversight controls (Section 6.7).</w:t>
      </w:r>
    </w:p>
    <w:p>
      <w:pPr>
        <w:pStyle w:val="ListParagraph"/>
        <w:numPr>
          <w:ilvl w:val="0"/>
          <w:numId w:val="2"/>
        </w:numPr>
        <w:spacing w:after="40" w:before="40"/>
      </w:pPr>
      <w:r>
        <w:rPr>
          <w:rFonts w:ascii="Arial" w:cs="Arial" w:eastAsia="Arial" w:hAnsi="Arial"/>
          <w:color w:val="1A2340"/>
          <w:sz w:val="22"/>
          <w:szCs w:val="22"/>
        </w:rPr>
        <w:t xml:space="preserve">Submitting AI Impact Assessments for High-Impact Use Cases to the AIGC before deployment.</w:t>
      </w:r>
    </w:p>
    <w:p>
      <w:pPr>
        <w:pStyle w:val="ListParagraph"/>
        <w:numPr>
          <w:ilvl w:val="0"/>
          <w:numId w:val="2"/>
        </w:numPr>
        <w:spacing w:after="40" w:before="40"/>
      </w:pPr>
      <w:r>
        <w:rPr>
          <w:rFonts w:ascii="Arial" w:cs="Arial" w:eastAsia="Arial" w:hAnsi="Arial"/>
          <w:color w:val="1A2340"/>
          <w:sz w:val="22"/>
          <w:szCs w:val="22"/>
        </w:rPr>
        <w:t xml:space="preserve">Reporting AI incidents or suspected policy violations to the CISO / vCISO promptly.</w:t>
      </w:r>
    </w:p>
    <w:p>
      <w:pPr>
        <w:pStyle w:val="ListParagraph"/>
        <w:numPr>
          <w:ilvl w:val="0"/>
          <w:numId w:val="2"/>
        </w:numPr>
        <w:spacing w:after="40" w:before="40"/>
      </w:pPr>
      <w:r>
        <w:rPr>
          <w:rFonts w:ascii="Arial" w:cs="Arial" w:eastAsia="Arial" w:hAnsi="Arial"/>
          <w:color w:val="1A2340"/>
          <w:sz w:val="22"/>
          <w:szCs w:val="22"/>
        </w:rPr>
        <w:t xml:space="preserve">Maintaining a current inventory of AI systems and use cases within their department, consistent with Section 6.2.</w:t>
      </w:r>
    </w:p>
    <w:p>
      <w:pPr>
        <w:pStyle w:val="Heading2"/>
        <w:spacing w:after="80" w:before="280"/>
      </w:pPr>
      <w:bookmarkStart w:name="s54" w:id="17"/>
      <w:r>
        <w:rPr>
          <w:rFonts w:ascii="Arial" w:cs="Arial" w:eastAsia="Arial" w:hAnsi="Arial"/>
          <w:b/>
          <w:bCs/>
          <w:color w:val="152168"/>
          <w:sz w:val="26"/>
          <w:szCs w:val="26"/>
        </w:rPr>
        <w:t xml:space="preserve">5.4  All Employees and Contractors</w:t>
      </w:r>
      <w:bookmarkEnd w:id="18"/>
    </w:p>
    <w:p>
      <w:pPr>
        <w:spacing w:after="80" w:before="60"/>
        <w:jc w:val="both"/>
      </w:pPr>
      <w:r>
        <w:rPr>
          <w:rFonts w:ascii="Arial" w:cs="Arial" w:eastAsia="Arial" w:hAnsi="Arial"/>
          <w:color w:val="1A2340"/>
          <w:sz w:val="22"/>
          <w:szCs w:val="22"/>
        </w:rPr>
        <w:t xml:space="preserve">All individuals within the policy scope (Section 2) are responsible for:</w:t>
      </w:r>
    </w:p>
    <w:p>
      <w:pPr>
        <w:pStyle w:val="ListParagraph"/>
        <w:numPr>
          <w:ilvl w:val="0"/>
          <w:numId w:val="2"/>
        </w:numPr>
        <w:spacing w:after="40" w:before="40"/>
      </w:pPr>
      <w:r>
        <w:rPr>
          <w:rFonts w:ascii="Arial" w:cs="Arial" w:eastAsia="Arial" w:hAnsi="Arial"/>
          <w:color w:val="1A2340"/>
          <w:sz w:val="22"/>
          <w:szCs w:val="22"/>
        </w:rPr>
        <w:t xml:space="preserve">Using only AI tools on the Approved AI Tools Register for organizational purposes.</w:t>
      </w:r>
    </w:p>
    <w:p>
      <w:pPr>
        <w:pStyle w:val="ListParagraph"/>
        <w:numPr>
          <w:ilvl w:val="0"/>
          <w:numId w:val="2"/>
        </w:numPr>
        <w:spacing w:after="40" w:before="40"/>
      </w:pPr>
      <w:r>
        <w:rPr>
          <w:rFonts w:ascii="Arial" w:cs="Arial" w:eastAsia="Arial" w:hAnsi="Arial"/>
          <w:color w:val="1A2340"/>
          <w:sz w:val="22"/>
          <w:szCs w:val="22"/>
        </w:rPr>
        <w:t xml:space="preserve">Completing required AI training before using any AI tool and on the recurring schedule defined in Section 6.9.</w:t>
      </w:r>
    </w:p>
    <w:p>
      <w:pPr>
        <w:pStyle w:val="ListParagraph"/>
        <w:numPr>
          <w:ilvl w:val="0"/>
          <w:numId w:val="2"/>
        </w:numPr>
        <w:spacing w:after="40" w:before="40"/>
      </w:pPr>
      <w:r>
        <w:rPr>
          <w:rFonts w:ascii="Arial" w:cs="Arial" w:eastAsia="Arial" w:hAnsi="Arial"/>
          <w:color w:val="1A2340"/>
          <w:sz w:val="22"/>
          <w:szCs w:val="22"/>
        </w:rPr>
        <w:t xml:space="preserve">Applying data classification rules (Appendix B) before inputting any organizational data into an AI system.</w:t>
      </w:r>
    </w:p>
    <w:p>
      <w:pPr>
        <w:pStyle w:val="ListParagraph"/>
        <w:numPr>
          <w:ilvl w:val="0"/>
          <w:numId w:val="2"/>
        </w:numPr>
        <w:spacing w:after="40" w:before="40"/>
      </w:pPr>
      <w:r>
        <w:rPr>
          <w:rFonts w:ascii="Arial" w:cs="Arial" w:eastAsia="Arial" w:hAnsi="Arial"/>
          <w:color w:val="1A2340"/>
          <w:sz w:val="22"/>
          <w:szCs w:val="22"/>
        </w:rPr>
        <w:t xml:space="preserve">Applying human review before using AI output in any consequential decision, communication, or document.</w:t>
      </w:r>
    </w:p>
    <w:p>
      <w:pPr>
        <w:pStyle w:val="ListParagraph"/>
        <w:numPr>
          <w:ilvl w:val="0"/>
          <w:numId w:val="2"/>
        </w:numPr>
        <w:spacing w:after="40" w:before="40"/>
      </w:pPr>
      <w:r>
        <w:rPr>
          <w:rFonts w:ascii="Arial" w:cs="Arial" w:eastAsia="Arial" w:hAnsi="Arial"/>
          <w:color w:val="1A2340"/>
          <w:sz w:val="22"/>
          <w:szCs w:val="22"/>
        </w:rPr>
        <w:t xml:space="preserve">Reporting AI incidents, suspected data exposures, or tool malfunctions to the CISO / vCISO immediately upon discovery.</w:t>
      </w:r>
    </w:p>
    <w:p>
      <w:pPr>
        <w:pStyle w:val="ListParagraph"/>
        <w:numPr>
          <w:ilvl w:val="0"/>
          <w:numId w:val="2"/>
        </w:numPr>
        <w:spacing w:after="40" w:before="40"/>
      </w:pPr>
      <w:r>
        <w:rPr>
          <w:rFonts w:ascii="Arial" w:cs="Arial" w:eastAsia="Arial" w:hAnsi="Arial"/>
          <w:color w:val="1A2340"/>
          <w:sz w:val="22"/>
          <w:szCs w:val="22"/>
        </w:rPr>
        <w:t xml:space="preserve">Disclosing AI use in external communications, customer interactions, and regulated documents where required by applicable law or this policy.</w:t>
      </w:r>
    </w:p>
    <w:p>
      <w:r>
        <w:br w:type="page"/>
      </w:r>
    </w:p>
    <w:p>
      <w:pPr>
        <w:pStyle w:val="Heading1"/>
        <w:pBdr>
          <w:bottom w:val="single" w:color="07B4D9" w:sz="8" w:space="4"/>
        </w:pBdr>
        <w:spacing w:after="120" w:before="400"/>
      </w:pPr>
      <w:bookmarkStart w:name="s6" w:id="19"/>
      <w:r>
        <w:rPr>
          <w:rFonts w:ascii="Arial" w:cs="Arial" w:eastAsia="Arial" w:hAnsi="Arial"/>
          <w:b/>
          <w:bCs/>
          <w:color w:val="152168"/>
          <w:sz w:val="30"/>
          <w:szCs w:val="30"/>
        </w:rPr>
        <w:t xml:space="preserve">6. Policy Requirements</w:t>
      </w:r>
      <w:bookmarkEnd w:id="20"/>
    </w:p>
    <w:p>
      <w:pPr>
        <w:pStyle w:val="Heading2"/>
        <w:spacing w:after="80" w:before="280"/>
      </w:pPr>
      <w:bookmarkStart w:name="s61" w:id="21"/>
      <w:r>
        <w:rPr>
          <w:rFonts w:ascii="Arial" w:cs="Arial" w:eastAsia="Arial" w:hAnsi="Arial"/>
          <w:b/>
          <w:bCs/>
          <w:color w:val="152168"/>
          <w:sz w:val="26"/>
          <w:szCs w:val="26"/>
        </w:rPr>
        <w:t xml:space="preserve">6.1  AI Governance Structure and Accountability</w:t>
      </w:r>
      <w:bookmarkEnd w:id="22"/>
    </w:p>
    <w:p>
      <w:pPr>
        <w:spacing w:after="60" w:before="40"/>
        <w:jc w:val="both"/>
      </w:pPr>
      <w:r>
        <w:rPr>
          <w:rFonts w:ascii="Arial" w:cs="Arial" w:eastAsia="Arial" w:hAnsi="Arial"/>
          <w:i/>
          <w:iCs/>
          <w:color w:val="5A6A8A"/>
          <w:sz w:val="19"/>
          <w:szCs w:val="19"/>
        </w:rPr>
        <w:t xml:space="preserve">ISO 42001: 4.1, 4.4, 5.1, 5.2, 5.3 | NIST AI RMF: GOVERN 1.1, 1.2, 1.4, 2.1, 5.1, 5.2, 6.1, 6.2</w:t>
      </w:r>
    </w:p>
    <w:p>
      <w:pPr>
        <w:spacing w:after="60" w:before="0"/>
      </w:pPr>
      <w:r>
        <w:t xml:space="preserve"/>
      </w:r>
    </w:p>
    <w:p>
      <w:pPr>
        <w:spacing w:after="80" w:before="60"/>
        <w:jc w:val="both"/>
      </w:pPr>
      <w:r>
        <w:rPr>
          <w:rFonts w:ascii="Arial" w:cs="Arial" w:eastAsia="Arial" w:hAnsi="Arial"/>
          <w:color w:val="1A2340"/>
          <w:sz w:val="22"/>
          <w:szCs w:val="22"/>
        </w:rPr>
        <w:t xml:space="preserve">6.1.1  The Organization maintains an AI Management System (AIMS) consistent with ISO/IEC 42001:2023, encompassing this policy, subordinate procedures, a use case inventory, risk registers, training programs, monitoring controls, and management review mechanisms.</w:t>
      </w:r>
    </w:p>
    <w:p>
      <w:pPr>
        <w:spacing w:after="80" w:before="60"/>
        <w:jc w:val="both"/>
      </w:pPr>
      <w:r>
        <w:rPr>
          <w:rFonts w:ascii="Arial" w:cs="Arial" w:eastAsia="Arial" w:hAnsi="Arial"/>
          <w:color w:val="1A2340"/>
          <w:sz w:val="22"/>
          <w:szCs w:val="22"/>
        </w:rPr>
        <w:t xml:space="preserve">6.1.2  The AIGC meets at least quarterly to review AI risk posture, policy compliance, incident trends, and regulatory developments. Extraordinary sessions must be convened within ten (10) business days of a High severity AI incident.</w:t>
      </w:r>
    </w:p>
    <w:p>
      <w:pPr>
        <w:spacing w:after="80" w:before="60"/>
        <w:jc w:val="both"/>
      </w:pPr>
      <w:r>
        <w:rPr>
          <w:rFonts w:ascii="Arial" w:cs="Arial" w:eastAsia="Arial" w:hAnsi="Arial"/>
          <w:color w:val="1A2340"/>
          <w:sz w:val="22"/>
          <w:szCs w:val="22"/>
        </w:rPr>
        <w:t xml:space="preserve">6.1.3  The Organization maintains a documented statement of risk tolerance for AI use, reviewed and approved by the AIGC annually. AI systems whose residual risk exceeds the approved tolerance require AIGC sign-off before continued operation.</w:t>
      </w:r>
    </w:p>
    <w:p>
      <w:pPr>
        <w:spacing w:after="80" w:before="60"/>
        <w:jc w:val="both"/>
      </w:pPr>
      <w:r>
        <w:rPr>
          <w:rFonts w:ascii="Arial" w:cs="Arial" w:eastAsia="Arial" w:hAnsi="Arial"/>
          <w:color w:val="1A2340"/>
          <w:sz w:val="22"/>
          <w:szCs w:val="22"/>
        </w:rPr>
        <w:t xml:space="preserve">6.1.4  All AI systems that affect individuals must include documented accountability: the AI system owner, the data classification of inputs, the nature of outputs, the oversight mechanism, and the escalation path for anomalies.</w:t>
      </w:r>
    </w:p>
    <w:p>
      <w:pPr>
        <w:spacing w:after="80" w:before="60"/>
        <w:jc w:val="both"/>
      </w:pPr>
      <w:r>
        <w:rPr>
          <w:rFonts w:ascii="Arial" w:cs="Arial" w:eastAsia="Arial" w:hAnsi="Arial"/>
          <w:color w:val="1A2340"/>
          <w:sz w:val="22"/>
          <w:szCs w:val="22"/>
        </w:rPr>
        <w:t xml:space="preserve">6.1.5  This policy is reviewed at least annually and after any of the following trigger events: a material AI security incident; a significant change in the Organization's AI tool portfolio; a relevant new regulatory requirement; or a material change in an approved vendor's terms, ownership, or security posture.</w:t>
      </w:r>
    </w:p>
    <w:p>
      <w:pPr>
        <w:pStyle w:val="Heading2"/>
        <w:spacing w:after="80" w:before="280"/>
      </w:pPr>
      <w:bookmarkStart w:name="s62" w:id="23"/>
      <w:r>
        <w:rPr>
          <w:rFonts w:ascii="Arial" w:cs="Arial" w:eastAsia="Arial" w:hAnsi="Arial"/>
          <w:b/>
          <w:bCs/>
          <w:color w:val="152168"/>
          <w:sz w:val="26"/>
          <w:szCs w:val="26"/>
        </w:rPr>
        <w:t xml:space="preserve">6.2  AI Use Case Inventory and Classification</w:t>
      </w:r>
      <w:bookmarkEnd w:id="24"/>
    </w:p>
    <w:p>
      <w:pPr>
        <w:spacing w:after="60" w:before="40"/>
        <w:jc w:val="both"/>
      </w:pPr>
      <w:r>
        <w:rPr>
          <w:rFonts w:ascii="Arial" w:cs="Arial" w:eastAsia="Arial" w:hAnsi="Arial"/>
          <w:i/>
          <w:iCs/>
          <w:color w:val="5A6A8A"/>
          <w:sz w:val="19"/>
          <w:szCs w:val="19"/>
        </w:rPr>
        <w:t xml:space="preserve">ISO 42001: 4.1, 6.1, 8.4 | NIST AI RMF: MAP 1.1, 1.5, 2.1, 2.2, 3.5, 5.1</w:t>
      </w:r>
    </w:p>
    <w:p>
      <w:pPr>
        <w:spacing w:after="60" w:before="0"/>
      </w:pPr>
      <w:r>
        <w:t xml:space="preserve"/>
      </w:r>
    </w:p>
    <w:p>
      <w:pPr>
        <w:spacing w:after="80" w:before="60"/>
        <w:jc w:val="both"/>
      </w:pPr>
      <w:r>
        <w:rPr>
          <w:rFonts w:ascii="Arial" w:cs="Arial" w:eastAsia="Arial" w:hAnsi="Arial"/>
          <w:color w:val="1A2340"/>
          <w:sz w:val="22"/>
          <w:szCs w:val="22"/>
        </w:rPr>
        <w:t xml:space="preserve">6.2.1  The CISO / vCISO maintains an AI Use Case Inventory covering all AI systems in active use. Each entry records at minimum: use case name, department, AI tool / platform, data inputs, output type, impact classification, AI system owner, and date of last risk review.</w:t>
      </w:r>
    </w:p>
    <w:p>
      <w:pPr>
        <w:spacing w:after="80" w:before="60"/>
        <w:jc w:val="both"/>
      </w:pPr>
      <w:r>
        <w:rPr>
          <w:rFonts w:ascii="Arial" w:cs="Arial" w:eastAsia="Arial" w:hAnsi="Arial"/>
          <w:color w:val="1A2340"/>
          <w:sz w:val="22"/>
          <w:szCs w:val="22"/>
        </w:rPr>
        <w:t xml:space="preserve">6.2.2  Each AI use case is classified by impact level:</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Impact Class</w:t>
            </w:r>
          </w:p>
        </w:tc>
        <w:tc>
          <w:tcPr>
            <w:tcW w:type="dxa" w:w="40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c>
          <w:tcPr>
            <w:tcW w:type="dxa" w:w="35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Additional Controls Required</w:t>
            </w:r>
          </w:p>
        </w:tc>
      </w:tr>
      <w:tr>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Standard</w:t>
            </w:r>
          </w:p>
        </w:tc>
        <w:tc>
          <w:tcPr>
            <w:tcW w:type="dxa" w:w="4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AI used for internal productivity, content drafting, or analysis with no direct decision-making authority and low data sensitivity.</w:t>
            </w:r>
          </w:p>
        </w:tc>
        <w:tc>
          <w:tcPr>
            <w:tcW w:type="dxa" w:w="3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Approved tool required; training required; human review before use.</w:t>
            </w:r>
          </w:p>
        </w:tc>
      </w:tr>
      <w:tr>
        <w:tc>
          <w:tcPr>
            <w:tcW w:type="dxa" w:w="1800"/>
            <w:tcBorders>
              <w:top w:val="single" w:color="DDE3EF" w:sz="4"/>
              <w:left w:val="single" w:color="DDE3EF" w:sz="4"/>
              <w:bottom w:val="single" w:color="DDE3EF" w:sz="4"/>
              <w:right w:val="single" w:color="DDE3EF" w:sz="4"/>
            </w:tcBorders>
            <w:shd w:fill="FFF7E6"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Elevated</w:t>
            </w:r>
          </w:p>
        </w:tc>
        <w:tc>
          <w:tcPr>
            <w:tcW w:type="dxa" w:w="4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AI output influences operational decisions, customer communications, HR activities, or involves Moderate/High sensitivity data.</w:t>
            </w:r>
          </w:p>
        </w:tc>
        <w:tc>
          <w:tcPr>
            <w:tcW w:type="dxa" w:w="3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All Standard controls; data sanitization per Appendix B; documented oversight workflow.</w:t>
            </w:r>
          </w:p>
        </w:tc>
      </w:tr>
      <w:tr>
        <w:tc>
          <w:tcPr>
            <w:tcW w:type="dxa" w:w="18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High-Impact</w:t>
            </w:r>
          </w:p>
        </w:tc>
        <w:tc>
          <w:tcPr>
            <w:tcW w:type="dxa" w:w="4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AI output directly drives or materially influences employment, financial, legal/compliance, safety-critical, or rights-affecting decisions; or agentic AI with broad action scope.</w:t>
            </w:r>
          </w:p>
        </w:tc>
        <w:tc>
          <w:tcPr>
            <w:tcW w:type="dxa" w:w="3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All Elevated controls; mandatory AI Impact Assessment (Appendix C); AIGC approval; ongoing monitoring; periodic re-assessment.</w:t>
            </w:r>
          </w:p>
        </w:tc>
      </w:tr>
    </w:tbl>
    <w:p>
      <w:pPr>
        <w:spacing w:after="80" w:before="0"/>
      </w:pPr>
      <w:r>
        <w:t xml:space="preserve"/>
      </w:r>
    </w:p>
    <w:p>
      <w:pPr>
        <w:spacing w:after="80" w:before="60"/>
        <w:jc w:val="both"/>
      </w:pPr>
      <w:r>
        <w:rPr>
          <w:rFonts w:ascii="Arial" w:cs="Arial" w:eastAsia="Arial" w:hAnsi="Arial"/>
          <w:color w:val="1A2340"/>
          <w:sz w:val="22"/>
          <w:szCs w:val="22"/>
        </w:rPr>
        <w:t xml:space="preserve">6.2.3  Any AI use case not yet inventoried constitutes unapproved use. Employees who identify an active AI use case not in the Inventory must notify the CISO / vCISO within five (5) business days.</w:t>
      </w:r>
    </w:p>
    <w:p>
      <w:pPr>
        <w:spacing w:after="80" w:before="60"/>
        <w:jc w:val="both"/>
      </w:pPr>
      <w:r>
        <w:rPr>
          <w:rFonts w:ascii="Arial" w:cs="Arial" w:eastAsia="Arial" w:hAnsi="Arial"/>
          <w:color w:val="1A2340"/>
          <w:sz w:val="22"/>
          <w:szCs w:val="22"/>
        </w:rPr>
        <w:t xml:space="preserve">6.2.4  The AI Use Case Inventory is reviewed and updated at least semi-annually and whenever a new AI tool is approved, an existing tool is decommissioned, or a use case's scope materially changes.</w:t>
      </w:r>
    </w:p>
    <w:p>
      <w:pPr>
        <w:pStyle w:val="Heading2"/>
        <w:spacing w:after="80" w:before="280"/>
      </w:pPr>
      <w:bookmarkStart w:name="s63" w:id="25"/>
      <w:r>
        <w:rPr>
          <w:rFonts w:ascii="Arial" w:cs="Arial" w:eastAsia="Arial" w:hAnsi="Arial"/>
          <w:b/>
          <w:bCs/>
          <w:color w:val="152168"/>
          <w:sz w:val="26"/>
          <w:szCs w:val="26"/>
        </w:rPr>
        <w:t xml:space="preserve">6.3  AI Risk Assessment</w:t>
      </w:r>
      <w:bookmarkEnd w:id="26"/>
    </w:p>
    <w:p>
      <w:pPr>
        <w:spacing w:after="60" w:before="40"/>
        <w:jc w:val="both"/>
      </w:pPr>
      <w:r>
        <w:rPr>
          <w:rFonts w:ascii="Arial" w:cs="Arial" w:eastAsia="Arial" w:hAnsi="Arial"/>
          <w:i/>
          <w:iCs/>
          <w:color w:val="5A6A8A"/>
          <w:sz w:val="19"/>
          <w:szCs w:val="19"/>
        </w:rPr>
        <w:t xml:space="preserve">ISO 42001: 6.1.2, 6.1.3, 8.2, 8.3, 8.4 | NIST AI RMF: MAP 4.1, 4.2, 5.2; MEASURE 1.1, 1.3, 2.1, 2.5, 2.6, 2.9, 4.1; MANAGE 1.1</w:t>
      </w:r>
    </w:p>
    <w:p>
      <w:pPr>
        <w:spacing w:after="60" w:before="0"/>
      </w:pPr>
      <w:r>
        <w:t xml:space="preserve"/>
      </w:r>
    </w:p>
    <w:p>
      <w:pPr>
        <w:spacing w:after="80" w:before="60"/>
        <w:jc w:val="both"/>
      </w:pPr>
      <w:r>
        <w:rPr>
          <w:rFonts w:ascii="Arial" w:cs="Arial" w:eastAsia="Arial" w:hAnsi="Arial"/>
          <w:color w:val="1A2340"/>
          <w:sz w:val="22"/>
          <w:szCs w:val="22"/>
        </w:rPr>
        <w:t xml:space="preserve">6.3.1  Before any AI system is approved for use, a risk assessment appropriate to its impact classification must be completed. Elevated and High-Impact use cases require a full AI Impact Assessment (AIIA) using the template in Appendix C.</w:t>
      </w:r>
    </w:p>
    <w:p>
      <w:pPr>
        <w:spacing w:after="80" w:before="60"/>
        <w:jc w:val="both"/>
      </w:pPr>
      <w:r>
        <w:rPr>
          <w:rFonts w:ascii="Arial" w:cs="Arial" w:eastAsia="Arial" w:hAnsi="Arial"/>
          <w:color w:val="1A2340"/>
          <w:sz w:val="22"/>
          <w:szCs w:val="22"/>
        </w:rPr>
        <w:t xml:space="preserve">6.3.2  The AIIA evaluates the following risk dimensions at minimum:</w:t>
      </w:r>
    </w:p>
    <w:p>
      <w:pPr>
        <w:pStyle w:val="ListParagraph"/>
        <w:numPr>
          <w:ilvl w:val="0"/>
          <w:numId w:val="2"/>
        </w:numPr>
        <w:spacing w:after="40" w:before="40"/>
      </w:pPr>
      <w:r>
        <w:rPr>
          <w:rFonts w:ascii="Arial" w:cs="Arial" w:eastAsia="Arial" w:hAnsi="Arial"/>
          <w:color w:val="1A2340"/>
          <w:sz w:val="22"/>
          <w:szCs w:val="22"/>
        </w:rPr>
        <w:t xml:space="preserve">Technical risks: accuracy, reliability, robustness, adversarial vulnerability, hallucination rate.</w:t>
      </w:r>
    </w:p>
    <w:p>
      <w:pPr>
        <w:pStyle w:val="ListParagraph"/>
        <w:numPr>
          <w:ilvl w:val="0"/>
          <w:numId w:val="2"/>
        </w:numPr>
        <w:spacing w:after="40" w:before="40"/>
      </w:pPr>
      <w:r>
        <w:rPr>
          <w:rFonts w:ascii="Arial" w:cs="Arial" w:eastAsia="Arial" w:hAnsi="Arial"/>
          <w:color w:val="1A2340"/>
          <w:sz w:val="22"/>
          <w:szCs w:val="22"/>
        </w:rPr>
        <w:t xml:space="preserve">Data risks: sensitivity of input data, data residency, training data provenance, potential for data leakage.</w:t>
      </w:r>
    </w:p>
    <w:p>
      <w:pPr>
        <w:pStyle w:val="ListParagraph"/>
        <w:numPr>
          <w:ilvl w:val="0"/>
          <w:numId w:val="2"/>
        </w:numPr>
        <w:spacing w:after="40" w:before="40"/>
      </w:pPr>
      <w:r>
        <w:rPr>
          <w:rFonts w:ascii="Arial" w:cs="Arial" w:eastAsia="Arial" w:hAnsi="Arial"/>
          <w:color w:val="1A2340"/>
          <w:sz w:val="22"/>
          <w:szCs w:val="22"/>
        </w:rPr>
        <w:t xml:space="preserve">Fairness and bias: potential for discriminatory outputs affecting protected classes or individuals.</w:t>
      </w:r>
    </w:p>
    <w:p>
      <w:pPr>
        <w:pStyle w:val="ListParagraph"/>
        <w:numPr>
          <w:ilvl w:val="0"/>
          <w:numId w:val="2"/>
        </w:numPr>
        <w:spacing w:after="40" w:before="40"/>
      </w:pPr>
      <w:r>
        <w:rPr>
          <w:rFonts w:ascii="Arial" w:cs="Arial" w:eastAsia="Arial" w:hAnsi="Arial"/>
          <w:color w:val="1A2340"/>
          <w:sz w:val="22"/>
          <w:szCs w:val="22"/>
        </w:rPr>
        <w:t xml:space="preserve">Privacy risks: processing of personal data, compliance with applicable privacy regulations.</w:t>
      </w:r>
    </w:p>
    <w:p>
      <w:pPr>
        <w:pStyle w:val="ListParagraph"/>
        <w:numPr>
          <w:ilvl w:val="0"/>
          <w:numId w:val="2"/>
        </w:numPr>
        <w:spacing w:after="40" w:before="40"/>
      </w:pPr>
      <w:r>
        <w:rPr>
          <w:rFonts w:ascii="Arial" w:cs="Arial" w:eastAsia="Arial" w:hAnsi="Arial"/>
          <w:color w:val="1A2340"/>
          <w:sz w:val="22"/>
          <w:szCs w:val="22"/>
        </w:rPr>
        <w:t xml:space="preserve">Operational risks: dependency risk, continuity, vendor concentration, integration failure.</w:t>
      </w:r>
    </w:p>
    <w:p>
      <w:pPr>
        <w:pStyle w:val="ListParagraph"/>
        <w:numPr>
          <w:ilvl w:val="0"/>
          <w:numId w:val="2"/>
        </w:numPr>
        <w:spacing w:after="40" w:before="40"/>
      </w:pPr>
      <w:r>
        <w:rPr>
          <w:rFonts w:ascii="Arial" w:cs="Arial" w:eastAsia="Arial" w:hAnsi="Arial"/>
          <w:color w:val="1A2340"/>
          <w:sz w:val="22"/>
          <w:szCs w:val="22"/>
        </w:rPr>
        <w:t xml:space="preserve">Legal and regulatory risks: compliance with applicable law, contractual obligations, and sector-specific regulations.</w:t>
      </w:r>
    </w:p>
    <w:p>
      <w:pPr>
        <w:pStyle w:val="ListParagraph"/>
        <w:numPr>
          <w:ilvl w:val="0"/>
          <w:numId w:val="2"/>
        </w:numPr>
        <w:spacing w:after="40" w:before="40"/>
      </w:pPr>
      <w:r>
        <w:rPr>
          <w:rFonts w:ascii="Arial" w:cs="Arial" w:eastAsia="Arial" w:hAnsi="Arial"/>
          <w:color w:val="1A2340"/>
          <w:sz w:val="22"/>
          <w:szCs w:val="22"/>
        </w:rPr>
        <w:t xml:space="preserve">Reputational risks: potential for misuse, negative public perception, or brand damage.</w:t>
      </w:r>
    </w:p>
    <w:p>
      <w:pPr>
        <w:spacing w:after="80" w:before="60"/>
        <w:jc w:val="both"/>
      </w:pPr>
      <w:r>
        <w:rPr>
          <w:rFonts w:ascii="Arial" w:cs="Arial" w:eastAsia="Arial" w:hAnsi="Arial"/>
          <w:color w:val="1A2340"/>
          <w:sz w:val="22"/>
          <w:szCs w:val="22"/>
        </w:rPr>
        <w:t xml:space="preserve">6.3.3  Risk assessments are reviewed and updated: upon material change to the AI system or its use case; annually for High-Impact use cases; upon any relevant security incident; and upon significant change to the vendor's terms, security posture, or ownership.</w:t>
      </w:r>
    </w:p>
    <w:p>
      <w:pPr>
        <w:spacing w:after="80" w:before="60"/>
        <w:jc w:val="both"/>
      </w:pPr>
      <w:r>
        <w:rPr>
          <w:rFonts w:ascii="Arial" w:cs="Arial" w:eastAsia="Arial" w:hAnsi="Arial"/>
          <w:color w:val="1A2340"/>
          <w:sz w:val="22"/>
          <w:szCs w:val="22"/>
        </w:rPr>
        <w:t xml:space="preserve">6.3.4  Residual risks above the Organization's approved risk tolerance require documented AIGC acceptance before the system may operate. Risk acceptance is time-bounded and subject to annual renewal.</w:t>
      </w:r>
    </w:p>
    <w:p>
      <w:pPr>
        <w:spacing w:after="80" w:before="60"/>
        <w:jc w:val="both"/>
      </w:pPr>
      <w:r>
        <w:rPr>
          <w:rFonts w:ascii="Arial" w:cs="Arial" w:eastAsia="Arial" w:hAnsi="Arial"/>
          <w:color w:val="1A2340"/>
          <w:sz w:val="22"/>
          <w:szCs w:val="22"/>
        </w:rPr>
        <w:t xml:space="preserve">6.3.5  The CISO / vCISO maintains a consolidated AI Risk Register updated as new use cases are assessed and risk treatments are applied.</w:t>
      </w:r>
    </w:p>
    <w:p>
      <w:pPr>
        <w:pStyle w:val="Heading2"/>
        <w:spacing w:after="80" w:before="280"/>
      </w:pPr>
      <w:bookmarkStart w:name="s64" w:id="27"/>
      <w:r>
        <w:rPr>
          <w:rFonts w:ascii="Arial" w:cs="Arial" w:eastAsia="Arial" w:hAnsi="Arial"/>
          <w:b/>
          <w:bCs/>
          <w:color w:val="152168"/>
          <w:sz w:val="26"/>
          <w:szCs w:val="26"/>
        </w:rPr>
        <w:t xml:space="preserve">6.4  Approved AI Tools and Procurement</w:t>
      </w:r>
      <w:bookmarkEnd w:id="28"/>
    </w:p>
    <w:p>
      <w:pPr>
        <w:spacing w:after="60" w:before="40"/>
        <w:jc w:val="both"/>
      </w:pPr>
      <w:r>
        <w:rPr>
          <w:rFonts w:ascii="Arial" w:cs="Arial" w:eastAsia="Arial" w:hAnsi="Arial"/>
          <w:i/>
          <w:iCs/>
          <w:color w:val="5A6A8A"/>
          <w:sz w:val="19"/>
          <w:szCs w:val="19"/>
        </w:rPr>
        <w:t xml:space="preserve">ISO 42001: 8.1, 8.3 | NIST AI RMF: GOVERN 1.1, 4.1, 4.2, 6.2; MAP 3.1, 3.2, 3.5; MANAGE 3.1, 3.2</w:t>
      </w:r>
    </w:p>
    <w:p>
      <w:pPr>
        <w:spacing w:after="60" w:before="0"/>
      </w:pPr>
      <w:r>
        <w:t xml:space="preserve"/>
      </w:r>
    </w:p>
    <w:p>
      <w:pPr>
        <w:spacing w:after="80" w:before="60"/>
        <w:jc w:val="both"/>
      </w:pPr>
      <w:r>
        <w:rPr>
          <w:rFonts w:ascii="Arial" w:cs="Arial" w:eastAsia="Arial" w:hAnsi="Arial"/>
          <w:color w:val="1A2340"/>
          <w:sz w:val="22"/>
          <w:szCs w:val="22"/>
        </w:rPr>
        <w:t xml:space="preserve">6.4.1  Employees must use only AI tools listed in the Approved AI Tools Register (Appendix D) for any organizational purpose. Use of unapproved AI tools, platforms, or personally licensed accounts for organizational data is prohibited (Shadow AI) — a policy violation subject to enforcement under Section 7.</w:t>
      </w:r>
    </w:p>
    <w:p>
      <w:pPr>
        <w:spacing w:after="80" w:before="60"/>
        <w:jc w:val="both"/>
      </w:pPr>
      <w:r>
        <w:rPr>
          <w:rFonts w:ascii="Arial" w:cs="Arial" w:eastAsia="Arial" w:hAnsi="Arial"/>
          <w:color w:val="1A2340"/>
          <w:sz w:val="22"/>
          <w:szCs w:val="22"/>
        </w:rPr>
        <w:t xml:space="preserve">6.4.2  To request approval of a new AI tool, the requesting department head submits a formal request to the CISO / vCISO including: tool name, vendor, proposed use case, data types to be used, estimated user count, and subscription tier. The CISO / vCISO conducts a vendor risk assessment before any use begins. No use is permitted until approval is formally confirmed in writing.</w:t>
      </w:r>
    </w:p>
    <w:p>
      <w:pPr>
        <w:spacing w:after="80" w:before="60"/>
        <w:jc w:val="both"/>
      </w:pPr>
      <w:r>
        <w:rPr>
          <w:rFonts w:ascii="Arial" w:cs="Arial" w:eastAsia="Arial" w:hAnsi="Arial"/>
          <w:color w:val="1A2340"/>
          <w:sz w:val="22"/>
          <w:szCs w:val="22"/>
        </w:rPr>
        <w:t xml:space="preserve">6.4.3  All approved AI vendors that process organizational or personal data must satisfy the following minimum requirements:</w:t>
      </w:r>
    </w:p>
    <w:p>
      <w:pPr>
        <w:pStyle w:val="ListParagraph"/>
        <w:numPr>
          <w:ilvl w:val="0"/>
          <w:numId w:val="2"/>
        </w:numPr>
        <w:spacing w:after="40" w:before="40"/>
      </w:pPr>
      <w:r>
        <w:rPr>
          <w:rFonts w:ascii="Arial" w:cs="Arial" w:eastAsia="Arial" w:hAnsi="Arial"/>
          <w:color w:val="1A2340"/>
          <w:sz w:val="22"/>
          <w:szCs w:val="22"/>
        </w:rPr>
        <w:t xml:space="preserve">A signed Data Processing Agreement (DPA) covering all required elements per the Definitions in Section 4.</w:t>
      </w:r>
    </w:p>
    <w:p>
      <w:pPr>
        <w:pStyle w:val="ListParagraph"/>
        <w:numPr>
          <w:ilvl w:val="0"/>
          <w:numId w:val="2"/>
        </w:numPr>
        <w:spacing w:after="40" w:before="40"/>
      </w:pPr>
      <w:r>
        <w:rPr>
          <w:rFonts w:ascii="Arial" w:cs="Arial" w:eastAsia="Arial" w:hAnsi="Arial"/>
          <w:color w:val="1A2340"/>
          <w:sz w:val="22"/>
          <w:szCs w:val="22"/>
        </w:rPr>
        <w:t xml:space="preserve">A written commitment (in the DPA, Order Form, or addendum) that the Organization's input data will not be used to train, fine-tune, or improve the vendor's AI models. Terms of Service language alone does not satisfy this requirement.</w:t>
      </w:r>
    </w:p>
    <w:p>
      <w:pPr>
        <w:pStyle w:val="ListParagraph"/>
        <w:numPr>
          <w:ilvl w:val="0"/>
          <w:numId w:val="2"/>
        </w:numPr>
        <w:spacing w:after="40" w:before="40"/>
      </w:pPr>
      <w:r>
        <w:rPr>
          <w:rFonts w:ascii="Arial" w:cs="Arial" w:eastAsia="Arial" w:hAnsi="Arial"/>
          <w:color w:val="1A2340"/>
          <w:sz w:val="22"/>
          <w:szCs w:val="22"/>
        </w:rPr>
        <w:t xml:space="preserve">Support for Multi-Factor Authentication (MFA) on all accounts used for organizational data.</w:t>
      </w:r>
    </w:p>
    <w:p>
      <w:pPr>
        <w:pStyle w:val="ListParagraph"/>
        <w:numPr>
          <w:ilvl w:val="0"/>
          <w:numId w:val="2"/>
        </w:numPr>
        <w:spacing w:after="40" w:before="40"/>
      </w:pPr>
      <w:r>
        <w:rPr>
          <w:rFonts w:ascii="Arial" w:cs="Arial" w:eastAsia="Arial" w:hAnsi="Arial"/>
          <w:color w:val="1A2340"/>
          <w:sz w:val="22"/>
          <w:szCs w:val="22"/>
        </w:rPr>
        <w:t xml:space="preserve">A current SOC 2 Type II report confirming the AI platform is in scope — not only the underlying hosting infrastructure.</w:t>
      </w:r>
    </w:p>
    <w:p>
      <w:pPr>
        <w:pStyle w:val="ListParagraph"/>
        <w:numPr>
          <w:ilvl w:val="0"/>
          <w:numId w:val="2"/>
        </w:numPr>
        <w:spacing w:after="40" w:before="40"/>
      </w:pPr>
      <w:r>
        <w:rPr>
          <w:rFonts w:ascii="Arial" w:cs="Arial" w:eastAsia="Arial" w:hAnsi="Arial"/>
          <w:color w:val="1A2340"/>
          <w:sz w:val="22"/>
          <w:szCs w:val="22"/>
        </w:rPr>
        <w:t xml:space="preserve">Documented data residency commitments consistent with the Organization's regulatory obligations.</w:t>
      </w:r>
    </w:p>
    <w:p>
      <w:pPr>
        <w:spacing w:after="80" w:before="60"/>
        <w:jc w:val="both"/>
      </w:pPr>
      <w:r>
        <w:rPr>
          <w:rFonts w:ascii="Arial" w:cs="Arial" w:eastAsia="Arial" w:hAnsi="Arial"/>
          <w:color w:val="1A2340"/>
          <w:sz w:val="22"/>
          <w:szCs w:val="22"/>
        </w:rPr>
        <w:t xml:space="preserve">6.4.4  AI systems with RAG or agentic capabilities require additional controls:</w:t>
      </w:r>
    </w:p>
    <w:p>
      <w:pPr>
        <w:pStyle w:val="ListParagraph"/>
        <w:numPr>
          <w:ilvl w:val="0"/>
          <w:numId w:val="2"/>
        </w:numPr>
        <w:spacing w:after="40" w:before="40"/>
      </w:pPr>
      <w:r>
        <w:rPr>
          <w:rFonts w:ascii="Arial" w:cs="Arial" w:eastAsia="Arial" w:hAnsi="Arial"/>
          <w:color w:val="1A2340"/>
          <w:sz w:val="22"/>
          <w:szCs w:val="22"/>
        </w:rPr>
        <w:t xml:space="preserve">RAG knowledge bases must not contain Prohibited Data (Appendix B) and must implement document-level access controls consistent with user roles.</w:t>
      </w:r>
    </w:p>
    <w:p>
      <w:pPr>
        <w:pStyle w:val="ListParagraph"/>
        <w:numPr>
          <w:ilvl w:val="0"/>
          <w:numId w:val="2"/>
        </w:numPr>
        <w:spacing w:after="40" w:before="40"/>
      </w:pPr>
      <w:r>
        <w:rPr>
          <w:rFonts w:ascii="Arial" w:cs="Arial" w:eastAsia="Arial" w:hAnsi="Arial"/>
          <w:color w:val="1A2340"/>
          <w:sz w:val="22"/>
          <w:szCs w:val="22"/>
        </w:rPr>
        <w:t xml:space="preserve">Agentic AI actions must be enumerated and scoped to the minimum necessary, and must be subject to Human-in-the-Loop approval for all consequential actions. Fully autonomous financial or HR actions are prohibited.</w:t>
      </w:r>
    </w:p>
    <w:p>
      <w:pPr>
        <w:spacing w:after="80" w:before="60"/>
        <w:jc w:val="both"/>
      </w:pPr>
      <w:r>
        <w:rPr>
          <w:rFonts w:ascii="Arial" w:cs="Arial" w:eastAsia="Arial" w:hAnsi="Arial"/>
          <w:color w:val="1A2340"/>
          <w:sz w:val="22"/>
          <w:szCs w:val="22"/>
        </w:rPr>
        <w:t xml:space="preserve">6.4.5  Approval is tier-specific. A subscription tier downgrade may invalidate the vendor's approval. Employees must notify the CISO / vCISO before changing the subscription tier of any approved AI tool.</w:t>
      </w:r>
    </w:p>
    <w:p>
      <w:pPr>
        <w:spacing w:after="80" w:before="60"/>
        <w:jc w:val="both"/>
      </w:pPr>
      <w:r>
        <w:rPr>
          <w:rFonts w:ascii="Arial" w:cs="Arial" w:eastAsia="Arial" w:hAnsi="Arial"/>
          <w:color w:val="1A2340"/>
          <w:sz w:val="22"/>
          <w:szCs w:val="22"/>
        </w:rPr>
        <w:t xml:space="preserve">6.4.6  The CISO / vCISO monitors approved AI vendors on an ongoing basis and may suspend or revoke approval if the vendor updates data handling terms inconsistently with this policy, experiences a security breach, or changes ownership.</w:t>
      </w:r>
    </w:p>
    <w:p>
      <w:pPr>
        <w:pStyle w:val="Heading2"/>
        <w:spacing w:after="80" w:before="280"/>
      </w:pPr>
      <w:bookmarkStart w:name="s65" w:id="29"/>
      <w:r>
        <w:rPr>
          <w:rFonts w:ascii="Arial" w:cs="Arial" w:eastAsia="Arial" w:hAnsi="Arial"/>
          <w:b/>
          <w:bCs/>
          <w:color w:val="152168"/>
          <w:sz w:val="26"/>
          <w:szCs w:val="26"/>
        </w:rPr>
        <w:t xml:space="preserve">6.5  Data Classification and Input Controls</w:t>
      </w:r>
      <w:bookmarkEnd w:id="30"/>
    </w:p>
    <w:p>
      <w:pPr>
        <w:spacing w:after="60" w:before="40"/>
        <w:jc w:val="both"/>
      </w:pPr>
      <w:r>
        <w:rPr>
          <w:rFonts w:ascii="Arial" w:cs="Arial" w:eastAsia="Arial" w:hAnsi="Arial"/>
          <w:i/>
          <w:iCs/>
          <w:color w:val="5A6A8A"/>
          <w:sz w:val="19"/>
          <w:szCs w:val="19"/>
        </w:rPr>
        <w:t xml:space="preserve">ISO 42001: 8.2, 8.4, 8.7 | NIST AI RMF: MAP 1.6, 2.3; GOVERN 1.6; MEASURE 2.7</w:t>
      </w:r>
    </w:p>
    <w:p>
      <w:pPr>
        <w:spacing w:after="60" w:before="0"/>
      </w:pPr>
      <w:r>
        <w:t xml:space="preserve"/>
      </w:r>
    </w:p>
    <w:p>
      <w:pPr>
        <w:spacing w:after="80" w:before="60"/>
        <w:jc w:val="both"/>
      </w:pPr>
      <w:r>
        <w:rPr>
          <w:rFonts w:ascii="Arial" w:cs="Arial" w:eastAsia="Arial" w:hAnsi="Arial"/>
          <w:color w:val="1A2340"/>
          <w:sz w:val="22"/>
          <w:szCs w:val="22"/>
        </w:rPr>
        <w:t xml:space="preserve">6.5.1  Before inputting any organizational data into an AI system, the employee is responsible for classifying the data using the Organization's data classification framework and Appendix B of this policy.</w:t>
      </w:r>
    </w:p>
    <w:p>
      <w:pPr>
        <w:spacing w:after="80" w:before="60"/>
        <w:jc w:val="both"/>
      </w:pPr>
      <w:r>
        <w:rPr>
          <w:rFonts w:ascii="Arial" w:cs="Arial" w:eastAsia="Arial" w:hAnsi="Arial"/>
          <w:color w:val="1A2340"/>
          <w:sz w:val="22"/>
          <w:szCs w:val="22"/>
        </w:rPr>
        <w:t xml:space="preserve">6.5.2  The following data input zones apply to all AI tool use: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40"/>
        <w:gridCol w:w="1440"/>
        <w:gridCol w:w="1440"/>
        <w:gridCol w:w="3440"/>
      </w:tblGrid>
      <w:tr>
        <w:tc>
          <w:tcPr>
            <w:tcW w:type="dxa" w:w="16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Data Zone</w:t>
            </w:r>
          </w:p>
        </w:tc>
        <w:tc>
          <w:tcPr>
            <w:tcW w:type="dxa" w:w="144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Direct Entry</w:t>
            </w:r>
          </w:p>
        </w:tc>
        <w:tc>
          <w:tcPr>
            <w:tcW w:type="dxa" w:w="144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Sanitize First</w:t>
            </w:r>
          </w:p>
        </w:tc>
        <w:tc>
          <w:tcPr>
            <w:tcW w:type="dxa" w:w="144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Prohibited</w:t>
            </w:r>
          </w:p>
        </w:tc>
        <w:tc>
          <w:tcPr>
            <w:tcW w:type="dxa" w:w="344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Required Action</w:t>
            </w:r>
          </w:p>
        </w:tc>
      </w:tr>
      <w:tr>
        <w:tc>
          <w:tcPr>
            <w:tcW w:type="dxa" w:w="16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Public / Low Sensitivity</w:t>
            </w:r>
          </w:p>
        </w:tc>
        <w:tc>
          <w:tcPr>
            <w:tcW w:type="dxa" w:w="14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w:t>
            </w:r>
          </w:p>
        </w:tc>
        <w:tc>
          <w:tcPr>
            <w:tcW w:type="dxa" w:w="1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3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Enter as-is. No masking required. Examples: public statistics, generic SOPs with no client or employee data, publicly available research.</w:t>
            </w:r>
          </w:p>
        </w:tc>
      </w:tr>
      <w:tr>
        <w:tc>
          <w:tcPr>
            <w:tcW w:type="dxa" w:w="1600"/>
            <w:tcBorders>
              <w:top w:val="single" w:color="DDE3EF" w:sz="4"/>
              <w:left w:val="single" w:color="DDE3EF" w:sz="4"/>
              <w:bottom w:val="single" w:color="DDE3EF" w:sz="4"/>
              <w:right w:val="single" w:color="DDE3EF" w:sz="4"/>
            </w:tcBorders>
            <w:shd w:fill="FFF7E6"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Internal / Moderate Sensitivity</w:t>
            </w:r>
          </w:p>
        </w:tc>
        <w:tc>
          <w:tcPr>
            <w:tcW w:type="dxa" w:w="1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440"/>
            <w:tcBorders>
              <w:top w:val="single" w:color="DDE3EF" w:sz="4"/>
              <w:left w:val="single" w:color="DDE3EF" w:sz="4"/>
              <w:bottom w:val="single" w:color="DDE3EF" w:sz="4"/>
              <w:right w:val="single" w:color="DDE3EF" w:sz="4"/>
            </w:tcBorders>
            <w:shd w:fill="FFF7E6"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w:t>
            </w:r>
          </w:p>
        </w:tc>
        <w:tc>
          <w:tcPr>
            <w:tcW w:type="dxa" w:w="1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3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Replace all identifiers before entry using placeholders per Appendix B (e.g., CLIENT_A, EMPLOYEE_A). The entering employee is accountable for complete sanitization.</w:t>
            </w:r>
          </w:p>
        </w:tc>
      </w:tr>
      <w:tr>
        <w:tc>
          <w:tcPr>
            <w:tcW w:type="dxa" w:w="16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Prohibited — Zero Tolerance</w:t>
            </w:r>
          </w:p>
        </w:tc>
        <w:tc>
          <w:tcPr>
            <w:tcW w:type="dxa" w:w="1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44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w:t>
            </w:r>
          </w:p>
        </w:tc>
        <w:tc>
          <w:tcPr>
            <w:tcW w:type="dxa" w:w="3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Never enter under any circumstances. Includes all items in Appendix B Prohibited tier: cardholder data, government IDs, authentication credentials, financial account details.</w:t>
            </w:r>
          </w:p>
        </w:tc>
      </w:tr>
    </w:tbl>
    <w:p>
      <w:pPr>
        <w:spacing w:after="80" w:before="0"/>
      </w:pPr>
      <w:r>
        <w:t xml:space="preserve"/>
      </w:r>
    </w:p>
    <w:p>
      <w:pPr>
        <w:spacing w:after="80" w:before="60"/>
        <w:jc w:val="both"/>
      </w:pPr>
      <w:r>
        <w:rPr>
          <w:rFonts w:ascii="Arial" w:cs="Arial" w:eastAsia="Arial" w:hAnsi="Arial"/>
          <w:color w:val="1A2340"/>
          <w:sz w:val="22"/>
          <w:szCs w:val="22"/>
        </w:rPr>
        <w:t xml:space="preserve">6.5.3  When in doubt, treat data as Prohibited and consult the CISO / vCISO before entry.</w:t>
      </w:r>
    </w:p>
    <w:p>
      <w:pPr>
        <w:spacing w:after="80" w:before="60"/>
        <w:jc w:val="both"/>
      </w:pPr>
      <w:r>
        <w:rPr>
          <w:rFonts w:ascii="Arial" w:cs="Arial" w:eastAsia="Arial" w:hAnsi="Arial"/>
          <w:color w:val="1A2340"/>
          <w:sz w:val="22"/>
          <w:szCs w:val="22"/>
        </w:rPr>
        <w:t xml:space="preserve">6.5.4  Employees must not use AI systems to process personal data in a manner that violates applicable privacy laws. Any AI use case involving personal data at scale must be reviewed by Legal / Compliance and included in the AI Use Case Inventory.</w:t>
      </w:r>
    </w:p>
    <w:p>
      <w:pPr>
        <w:pStyle w:val="Heading2"/>
        <w:spacing w:after="80" w:before="280"/>
      </w:pPr>
      <w:bookmarkStart w:name="s66" w:id="31"/>
      <w:r>
        <w:rPr>
          <w:rFonts w:ascii="Arial" w:cs="Arial" w:eastAsia="Arial" w:hAnsi="Arial"/>
          <w:b/>
          <w:bCs/>
          <w:color w:val="152168"/>
          <w:sz w:val="26"/>
          <w:szCs w:val="26"/>
        </w:rPr>
        <w:t xml:space="preserve">6.6  Acceptable Use</w:t>
      </w:r>
      <w:bookmarkEnd w:id="32"/>
    </w:p>
    <w:p>
      <w:pPr>
        <w:spacing w:after="60" w:before="40"/>
        <w:jc w:val="both"/>
      </w:pPr>
      <w:r>
        <w:rPr>
          <w:rFonts w:ascii="Arial" w:cs="Arial" w:eastAsia="Arial" w:hAnsi="Arial"/>
          <w:i/>
          <w:iCs/>
          <w:color w:val="5A6A8A"/>
          <w:sz w:val="19"/>
          <w:szCs w:val="19"/>
        </w:rPr>
        <w:t xml:space="preserve">ISO 42001: 8.1, 8.5 | NIST AI RMF: GOVERN 1.1, 1.3, 1.5, 6.1; MAP 5.1, 5.2</w:t>
      </w:r>
    </w:p>
    <w:p>
      <w:pPr>
        <w:spacing w:after="60" w:before="0"/>
      </w:pPr>
      <w:r>
        <w:t xml:space="preserve"/>
      </w:r>
    </w:p>
    <w:p>
      <w:pPr>
        <w:spacing w:after="80" w:before="60"/>
        <w:jc w:val="both"/>
      </w:pPr>
      <w:r>
        <w:rPr>
          <w:rFonts w:ascii="Arial" w:cs="Arial" w:eastAsia="Arial" w:hAnsi="Arial"/>
          <w:color w:val="1A2340"/>
          <w:sz w:val="22"/>
          <w:szCs w:val="22"/>
        </w:rPr>
        <w:t xml:space="preserve">6.6.1  Permitted AI use cases include those below. Permitted use is conditional on: (a) using only an approved AI tool; (b) applying applicable data classification rules (Section 6.5); and (c) applying human review before use of output in any consequential activity.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Permitted AI Use Cases</w:t>
            </w:r>
          </w:p>
        </w:tc>
        <w:tc>
          <w:tcPr>
            <w:tcW w:type="dxa" w:w="468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Prohibited AI Use Cases</w:t>
            </w:r>
          </w:p>
        </w:tc>
      </w:tr>
      <w:tr>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2340"/>
                <w:sz w:val="20"/>
                <w:szCs w:val="20"/>
              </w:rPr>
              <w:t xml:space="preserve">Draft, edit, and improve internal documents, SOPs, reports, and communications (human review required before distribution).</w:t>
            </w:r>
          </w:p>
          <w:p>
            <w:pPr>
              <w:pStyle w:val="ListParagraph"/>
              <w:numPr>
                <w:ilvl w:val="0"/>
                <w:numId w:val="2"/>
              </w:numPr>
              <w:spacing w:after="40" w:before="40"/>
            </w:pPr>
            <w:r>
              <w:rPr>
                <w:rFonts w:ascii="Arial" w:cs="Arial" w:eastAsia="Arial" w:hAnsi="Arial"/>
                <w:color w:val="1A2340"/>
                <w:sz w:val="20"/>
                <w:szCs w:val="20"/>
              </w:rPr>
              <w:t xml:space="preserve">Summarize publicly available market research or competitive intelligence.</w:t>
            </w:r>
          </w:p>
          <w:p>
            <w:pPr>
              <w:pStyle w:val="ListParagraph"/>
              <w:numPr>
                <w:ilvl w:val="0"/>
                <w:numId w:val="2"/>
              </w:numPr>
              <w:spacing w:after="40" w:before="40"/>
            </w:pPr>
            <w:r>
              <w:rPr>
                <w:rFonts w:ascii="Arial" w:cs="Arial" w:eastAsia="Arial" w:hAnsi="Arial"/>
                <w:color w:val="1A2340"/>
                <w:sz w:val="20"/>
                <w:szCs w:val="20"/>
              </w:rPr>
              <w:t xml:space="preserve">Generate job descriptions, onboarding outlines, and training materials (manager review required).</w:t>
            </w:r>
          </w:p>
          <w:p>
            <w:pPr>
              <w:pStyle w:val="ListParagraph"/>
              <w:numPr>
                <w:ilvl w:val="0"/>
                <w:numId w:val="2"/>
              </w:numPr>
              <w:spacing w:after="40" w:before="40"/>
            </w:pPr>
            <w:r>
              <w:rPr>
                <w:rFonts w:ascii="Arial" w:cs="Arial" w:eastAsia="Arial" w:hAnsi="Arial"/>
                <w:color w:val="1A2340"/>
                <w:sz w:val="20"/>
                <w:szCs w:val="20"/>
              </w:rPr>
              <w:t xml:space="preserve">Draft marketing copy and promotional materials (brand and legal review required before external use).</w:t>
            </w:r>
          </w:p>
          <w:p>
            <w:pPr>
              <w:pStyle w:val="ListParagraph"/>
              <w:numPr>
                <w:ilvl w:val="0"/>
                <w:numId w:val="2"/>
              </w:numPr>
              <w:spacing w:after="40" w:before="40"/>
            </w:pPr>
            <w:r>
              <w:rPr>
                <w:rFonts w:ascii="Arial" w:cs="Arial" w:eastAsia="Arial" w:hAnsi="Arial"/>
                <w:color w:val="1A2340"/>
                <w:sz w:val="20"/>
                <w:szCs w:val="20"/>
              </w:rPr>
              <w:t xml:space="preserve">Support analytical and scenario planning tasks using sanitized or aggregated data.</w:t>
            </w:r>
          </w:p>
          <w:p>
            <w:pPr>
              <w:pStyle w:val="ListParagraph"/>
              <w:numPr>
                <w:ilvl w:val="0"/>
                <w:numId w:val="2"/>
              </w:numPr>
              <w:spacing w:after="40" w:before="40"/>
            </w:pPr>
            <w:r>
              <w:rPr>
                <w:rFonts w:ascii="Arial" w:cs="Arial" w:eastAsia="Arial" w:hAnsi="Arial"/>
                <w:color w:val="1A2340"/>
                <w:sz w:val="20"/>
                <w:szCs w:val="20"/>
              </w:rPr>
              <w:t xml:space="preserve">Assist with policy drafting, compliance documentation, and internal research.</w:t>
            </w:r>
          </w:p>
          <w:p>
            <w:pPr>
              <w:pStyle w:val="ListParagraph"/>
              <w:numPr>
                <w:ilvl w:val="0"/>
                <w:numId w:val="2"/>
              </w:numPr>
              <w:spacing w:after="40" w:before="40"/>
            </w:pPr>
            <w:r>
              <w:rPr>
                <w:rFonts w:ascii="Arial" w:cs="Arial" w:eastAsia="Arial" w:hAnsi="Arial"/>
                <w:color w:val="1A2340"/>
                <w:sz w:val="20"/>
                <w:szCs w:val="20"/>
              </w:rPr>
              <w:t xml:space="preserve">Support code review, documentation generation, and software development workflows (security review required before production deployment).</w:t>
            </w:r>
          </w:p>
        </w:tc>
        <w:tc>
          <w:tcPr>
            <w:tcW w:type="dxa" w:w="4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pPr>
              <w:pStyle w:val="ListParagraph"/>
              <w:numPr>
                <w:ilvl w:val="0"/>
                <w:numId w:val="2"/>
              </w:numPr>
              <w:spacing w:after="40" w:before="40"/>
            </w:pPr>
            <w:r>
              <w:rPr>
                <w:rFonts w:ascii="Arial" w:cs="Arial" w:eastAsia="Arial" w:hAnsi="Arial"/>
                <w:color w:val="1A2340"/>
                <w:sz w:val="20"/>
                <w:szCs w:val="20"/>
              </w:rPr>
              <w:t xml:space="preserve">Making employment decisions (hire, fire, promote, discipline) based solely on AI output without documented human review.</w:t>
            </w:r>
          </w:p>
          <w:p>
            <w:pPr>
              <w:pStyle w:val="ListParagraph"/>
              <w:numPr>
                <w:ilvl w:val="0"/>
                <w:numId w:val="2"/>
              </w:numPr>
              <w:spacing w:after="40" w:before="40"/>
            </w:pPr>
            <w:r>
              <w:rPr>
                <w:rFonts w:ascii="Arial" w:cs="Arial" w:eastAsia="Arial" w:hAnsi="Arial"/>
                <w:color w:val="1A2340"/>
                <w:sz w:val="20"/>
                <w:szCs w:val="20"/>
              </w:rPr>
              <w:t xml:space="preserve">Approving financial transactions, processing payments, or authorizing refunds based solely on AI output.</w:t>
            </w:r>
          </w:p>
          <w:p>
            <w:pPr>
              <w:pStyle w:val="ListParagraph"/>
              <w:numPr>
                <w:ilvl w:val="0"/>
                <w:numId w:val="2"/>
              </w:numPr>
              <w:spacing w:after="40" w:before="40"/>
            </w:pPr>
            <w:r>
              <w:rPr>
                <w:rFonts w:ascii="Arial" w:cs="Arial" w:eastAsia="Arial" w:hAnsi="Arial"/>
                <w:color w:val="1A2340"/>
                <w:sz w:val="20"/>
                <w:szCs w:val="20"/>
              </w:rPr>
              <w:t xml:space="preserve">Impersonating a named individual, executive, or brand representative in any communication without clear disclosure.</w:t>
            </w:r>
          </w:p>
          <w:p>
            <w:pPr>
              <w:pStyle w:val="ListParagraph"/>
              <w:numPr>
                <w:ilvl w:val="0"/>
                <w:numId w:val="2"/>
              </w:numPr>
              <w:spacing w:after="40" w:before="40"/>
            </w:pPr>
            <w:r>
              <w:rPr>
                <w:rFonts w:ascii="Arial" w:cs="Arial" w:eastAsia="Arial" w:hAnsi="Arial"/>
                <w:color w:val="1A2340"/>
                <w:sz w:val="20"/>
                <w:szCs w:val="20"/>
              </w:rPr>
              <w:t xml:space="preserve">Creating misleading, fabricated, or defamatory content about individuals, clients, competitors, or the Organization.</w:t>
            </w:r>
          </w:p>
          <w:p>
            <w:pPr>
              <w:pStyle w:val="ListParagraph"/>
              <w:numPr>
                <w:ilvl w:val="0"/>
                <w:numId w:val="2"/>
              </w:numPr>
              <w:spacing w:after="40" w:before="40"/>
            </w:pPr>
            <w:r>
              <w:rPr>
                <w:rFonts w:ascii="Arial" w:cs="Arial" w:eastAsia="Arial" w:hAnsi="Arial"/>
                <w:color w:val="1A2340"/>
                <w:sz w:val="20"/>
                <w:szCs w:val="20"/>
              </w:rPr>
              <w:t xml:space="preserve">Using AI tools not on the Approved AI Tools Register for any organizational purpose (Shadow AI).</w:t>
            </w:r>
          </w:p>
          <w:p>
            <w:pPr>
              <w:pStyle w:val="ListParagraph"/>
              <w:numPr>
                <w:ilvl w:val="0"/>
                <w:numId w:val="2"/>
              </w:numPr>
              <w:spacing w:after="40" w:before="40"/>
            </w:pPr>
            <w:r>
              <w:rPr>
                <w:rFonts w:ascii="Arial" w:cs="Arial" w:eastAsia="Arial" w:hAnsi="Arial"/>
                <w:color w:val="1A2340"/>
                <w:sz w:val="20"/>
                <w:szCs w:val="20"/>
              </w:rPr>
              <w:t xml:space="preserve">Using AI to attempt to bypass, circumvent, or test security controls or this policy.</w:t>
            </w:r>
          </w:p>
          <w:p>
            <w:pPr>
              <w:pStyle w:val="ListParagraph"/>
              <w:numPr>
                <w:ilvl w:val="0"/>
                <w:numId w:val="2"/>
              </w:numPr>
              <w:spacing w:after="40" w:before="40"/>
            </w:pPr>
            <w:r>
              <w:rPr>
                <w:rFonts w:ascii="Arial" w:cs="Arial" w:eastAsia="Arial" w:hAnsi="Arial"/>
                <w:color w:val="1A2340"/>
                <w:sz w:val="20"/>
                <w:szCs w:val="20"/>
              </w:rPr>
              <w:t xml:space="preserve">Using AI to generate, distribute, or assist in creating illegal content, including child sexual abuse material or content facilitating violence.</w:t>
            </w:r>
          </w:p>
        </w:tc>
      </w:tr>
    </w:tbl>
    <w:p>
      <w:pPr>
        <w:pStyle w:val="Heading2"/>
        <w:spacing w:after="80" w:before="280"/>
      </w:pPr>
      <w:bookmarkStart w:name="s67" w:id="33"/>
      <w:r>
        <w:rPr>
          <w:rFonts w:ascii="Arial" w:cs="Arial" w:eastAsia="Arial" w:hAnsi="Arial"/>
          <w:b/>
          <w:bCs/>
          <w:color w:val="152168"/>
          <w:sz w:val="26"/>
          <w:szCs w:val="26"/>
        </w:rPr>
        <w:t xml:space="preserve">6.7  Human Oversight and Output Review</w:t>
      </w:r>
      <w:bookmarkEnd w:id="34"/>
    </w:p>
    <w:p>
      <w:pPr>
        <w:spacing w:after="60" w:before="40"/>
        <w:jc w:val="both"/>
      </w:pPr>
      <w:r>
        <w:rPr>
          <w:rFonts w:ascii="Arial" w:cs="Arial" w:eastAsia="Arial" w:hAnsi="Arial"/>
          <w:i/>
          <w:iCs/>
          <w:color w:val="5A6A8A"/>
          <w:sz w:val="19"/>
          <w:szCs w:val="19"/>
        </w:rPr>
        <w:t xml:space="preserve">ISO 42001: 8.5, 8.6 | NIST AI RMF: GOVERN 1.5; MEASURE 2.5; MANAGE 2.2, 2.4, 4.1</w:t>
      </w:r>
    </w:p>
    <w:p>
      <w:pPr>
        <w:spacing w:after="60" w:before="0"/>
      </w:pPr>
      <w:r>
        <w:t xml:space="preserve"/>
      </w:r>
    </w:p>
    <w:p>
      <w:pPr>
        <w:spacing w:after="80" w:before="60"/>
        <w:jc w:val="both"/>
      </w:pPr>
      <w:r>
        <w:rPr>
          <w:rFonts w:ascii="Arial" w:cs="Arial" w:eastAsia="Arial" w:hAnsi="Arial"/>
          <w:color w:val="1A2340"/>
          <w:sz w:val="22"/>
          <w:szCs w:val="22"/>
        </w:rPr>
        <w:t xml:space="preserve">6.7.1  All AI output must be reviewed by a qualified human before use. AI output is advisory — it is not a final work product and does not constitute an authoritative source unless independently verified.</w:t>
      </w:r>
    </w:p>
    <w:p>
      <w:pPr>
        <w:spacing w:after="80" w:before="60"/>
        <w:jc w:val="both"/>
      </w:pPr>
      <w:r>
        <w:rPr>
          <w:rFonts w:ascii="Arial" w:cs="Arial" w:eastAsia="Arial" w:hAnsi="Arial"/>
          <w:color w:val="1A2340"/>
          <w:sz w:val="22"/>
          <w:szCs w:val="22"/>
        </w:rPr>
        <w:t xml:space="preserve">6.7.2  Minimum oversight requirements by output function:</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3500"/>
        <w:gridCol w:w="3360"/>
      </w:tblGrid>
      <w:tr>
        <w:tc>
          <w:tcPr>
            <w:tcW w:type="dxa" w:w="25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Output Function</w:t>
            </w:r>
          </w:p>
        </w:tc>
        <w:tc>
          <w:tcPr>
            <w:tcW w:type="dxa" w:w="35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Oversight Requirement</w:t>
            </w:r>
          </w:p>
        </w:tc>
        <w:tc>
          <w:tcPr>
            <w:tcW w:type="dxa" w:w="33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Minimum Reviewer</w:t>
            </w:r>
          </w:p>
        </w:tc>
      </w:tr>
      <w:tr>
        <w:tc>
          <w:tcPr>
            <w:tcW w:type="dxa" w:w="2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External communications</w:t>
            </w:r>
          </w:p>
        </w:tc>
        <w:tc>
          <w:tcPr>
            <w:tcW w:type="dxa" w:w="3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Review accuracy, tone, brand alignment, and legal implications before sending.</w:t>
            </w:r>
          </w:p>
        </w:tc>
        <w:tc>
          <w:tcPr>
            <w:tcW w:type="dxa" w:w="3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Department Manager</w:t>
            </w:r>
          </w:p>
        </w:tc>
      </w:tr>
      <w:tr>
        <w:tc>
          <w:tcPr>
            <w:tcW w:type="dxa" w:w="2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Financial analysis or recommendations</w:t>
            </w:r>
          </w:p>
        </w:tc>
        <w:tc>
          <w:tcPr>
            <w:tcW w:type="dxa" w:w="3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Verify mathematical accuracy, source data, and reasonableness against live data.</w:t>
            </w:r>
          </w:p>
        </w:tc>
        <w:tc>
          <w:tcPr>
            <w:tcW w:type="dxa" w:w="3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Finance Manager or Department Head</w:t>
            </w:r>
          </w:p>
        </w:tc>
      </w:tr>
      <w:tr>
        <w:tc>
          <w:tcPr>
            <w:tcW w:type="dxa" w:w="2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Employment and HR documents</w:t>
            </w:r>
          </w:p>
        </w:tc>
        <w:tc>
          <w:tcPr>
            <w:tcW w:type="dxa" w:w="3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Review for legal compliance, factual accuracy, and consistency with HR policy.</w:t>
            </w:r>
          </w:p>
        </w:tc>
        <w:tc>
          <w:tcPr>
            <w:tcW w:type="dxa" w:w="3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HR Manager</w:t>
            </w:r>
          </w:p>
        </w:tc>
      </w:tr>
      <w:tr>
        <w:tc>
          <w:tcPr>
            <w:tcW w:type="dxa" w:w="2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Legal or compliance submissions</w:t>
            </w:r>
          </w:p>
        </w:tc>
        <w:tc>
          <w:tcPr>
            <w:tcW w:type="dxa" w:w="3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Review for accuracy, legal sufficiency, and regulatory compliance.</w:t>
            </w:r>
          </w:p>
        </w:tc>
        <w:tc>
          <w:tcPr>
            <w:tcW w:type="dxa" w:w="3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Legal Counsel / Compliance Officer</w:t>
            </w:r>
          </w:p>
        </w:tc>
      </w:tr>
      <w:tr>
        <w:tc>
          <w:tcPr>
            <w:tcW w:type="dxa" w:w="2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Security or IT documentation</w:t>
            </w:r>
          </w:p>
        </w:tc>
        <w:tc>
          <w:tcPr>
            <w:tcW w:type="dxa" w:w="3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Review for technical accuracy and completeness.</w:t>
            </w:r>
          </w:p>
        </w:tc>
        <w:tc>
          <w:tcPr>
            <w:tcW w:type="dxa" w:w="3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CISO / IT Manager</w:t>
            </w:r>
          </w:p>
        </w:tc>
      </w:tr>
      <w:tr>
        <w:tc>
          <w:tcPr>
            <w:tcW w:type="dxa" w:w="2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Customer-facing content</w:t>
            </w:r>
          </w:p>
        </w:tc>
        <w:tc>
          <w:tcPr>
            <w:tcW w:type="dxa" w:w="3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Review for accuracy, tone, and brand consistency.</w:t>
            </w:r>
          </w:p>
        </w:tc>
        <w:tc>
          <w:tcPr>
            <w:tcW w:type="dxa" w:w="3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Marketing / Dept Manager</w:t>
            </w:r>
          </w:p>
        </w:tc>
      </w:tr>
      <w:tr>
        <w:tc>
          <w:tcPr>
            <w:tcW w:type="dxa" w:w="25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Code or technical output</w:t>
            </w:r>
          </w:p>
        </w:tc>
        <w:tc>
          <w:tcPr>
            <w:tcW w:type="dxa" w:w="35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Security and functional review before deployment to production.</w:t>
            </w:r>
          </w:p>
        </w:tc>
        <w:tc>
          <w:tcPr>
            <w:tcW w:type="dxa" w:w="3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Senior Developer / Security</w:t>
            </w:r>
          </w:p>
        </w:tc>
      </w:tr>
    </w:tbl>
    <w:p>
      <w:pPr>
        <w:spacing w:after="80" w:before="0"/>
      </w:pPr>
      <w:r>
        <w:t xml:space="preserve"/>
      </w:r>
    </w:p>
    <w:p>
      <w:pPr>
        <w:spacing w:after="80" w:before="60"/>
        <w:jc w:val="both"/>
      </w:pPr>
      <w:r>
        <w:rPr>
          <w:rFonts w:ascii="Arial" w:cs="Arial" w:eastAsia="Arial" w:hAnsi="Arial"/>
          <w:color w:val="1A2340"/>
          <w:sz w:val="22"/>
          <w:szCs w:val="22"/>
        </w:rPr>
        <w:t xml:space="preserve">6.7.3  AI may not autonomously approve refunds, process payroll, modify published pricing, authorize payments, or send external communications without explicit human approval. Any automated workflow routing a consequential action through AI without human sign-off is non-compliant.</w:t>
      </w:r>
    </w:p>
    <w:p>
      <w:pPr>
        <w:spacing w:after="80" w:before="60"/>
        <w:jc w:val="both"/>
      </w:pPr>
      <w:r>
        <w:rPr>
          <w:rFonts w:ascii="Arial" w:cs="Arial" w:eastAsia="Arial" w:hAnsi="Arial"/>
          <w:color w:val="1A2340"/>
          <w:sz w:val="22"/>
          <w:szCs w:val="22"/>
        </w:rPr>
        <w:t xml:space="preserve">6.7.4  Factual claims, statistics, legal citations, and regulatory references generated by AI must be independently verified against primary sources before inclusion in any document or communication.</w:t>
      </w:r>
    </w:p>
    <w:p>
      <w:pPr>
        <w:spacing w:after="80" w:before="60"/>
        <w:jc w:val="both"/>
      </w:pPr>
      <w:r>
        <w:rPr>
          <w:rFonts w:ascii="Arial" w:cs="Arial" w:eastAsia="Arial" w:hAnsi="Arial"/>
          <w:color w:val="1A2340"/>
          <w:sz w:val="22"/>
          <w:szCs w:val="22"/>
        </w:rPr>
        <w:t xml:space="preserve">6.7.5  AI-generated summaries of source documents must be compared against the source document before conclusions are drawn or communicated.</w:t>
      </w:r>
    </w:p>
    <w:p>
      <w:pPr>
        <w:pStyle w:val="Heading2"/>
        <w:spacing w:after="80" w:before="280"/>
      </w:pPr>
      <w:bookmarkStart w:name="s68" w:id="35"/>
      <w:r>
        <w:rPr>
          <w:rFonts w:ascii="Arial" w:cs="Arial" w:eastAsia="Arial" w:hAnsi="Arial"/>
          <w:b/>
          <w:bCs/>
          <w:color w:val="152168"/>
          <w:sz w:val="26"/>
          <w:szCs w:val="26"/>
        </w:rPr>
        <w:t xml:space="preserve">6.8  Transparency and Disclosure</w:t>
      </w:r>
      <w:bookmarkEnd w:id="36"/>
    </w:p>
    <w:p>
      <w:pPr>
        <w:spacing w:after="60" w:before="40"/>
        <w:jc w:val="both"/>
      </w:pPr>
      <w:r>
        <w:rPr>
          <w:rFonts w:ascii="Arial" w:cs="Arial" w:eastAsia="Arial" w:hAnsi="Arial"/>
          <w:i/>
          <w:iCs/>
          <w:color w:val="5A6A8A"/>
          <w:sz w:val="19"/>
          <w:szCs w:val="19"/>
        </w:rPr>
        <w:t xml:space="preserve">ISO 42001: 7.4, 8.5, 8.6 | NIST AI RMF: GOVERN 1.3, 1.5; MAP 1.1</w:t>
      </w:r>
    </w:p>
    <w:p>
      <w:pPr>
        <w:spacing w:after="60" w:before="0"/>
      </w:pPr>
      <w:r>
        <w:t xml:space="preserve"/>
      </w:r>
    </w:p>
    <w:p>
      <w:pPr>
        <w:spacing w:after="80" w:before="60"/>
        <w:jc w:val="both"/>
      </w:pPr>
      <w:r>
        <w:rPr>
          <w:rFonts w:ascii="Arial" w:cs="Arial" w:eastAsia="Arial" w:hAnsi="Arial"/>
          <w:color w:val="1A2340"/>
          <w:sz w:val="22"/>
          <w:szCs w:val="22"/>
        </w:rPr>
        <w:t xml:space="preserve">6.8.1  AI use in the following contexts requires proactive disclosure:</w:t>
      </w:r>
    </w:p>
    <w:p>
      <w:pPr>
        <w:pStyle w:val="ListParagraph"/>
        <w:numPr>
          <w:ilvl w:val="0"/>
          <w:numId w:val="2"/>
        </w:numPr>
        <w:spacing w:after="40" w:before="40"/>
      </w:pPr>
      <w:r>
        <w:rPr>
          <w:rFonts w:ascii="Arial" w:cs="Arial" w:eastAsia="Arial" w:hAnsi="Arial"/>
          <w:color w:val="1A2340"/>
          <w:sz w:val="22"/>
          <w:szCs w:val="22"/>
        </w:rPr>
        <w:t xml:space="preserve">External communications, marketing materials, or customer interactions where applicable law or sector regulation requires disclosure of AI-generated content.</w:t>
      </w:r>
    </w:p>
    <w:p>
      <w:pPr>
        <w:pStyle w:val="ListParagraph"/>
        <w:numPr>
          <w:ilvl w:val="0"/>
          <w:numId w:val="2"/>
        </w:numPr>
        <w:spacing w:after="40" w:before="40"/>
      </w:pPr>
      <w:r>
        <w:rPr>
          <w:rFonts w:ascii="Arial" w:cs="Arial" w:eastAsia="Arial" w:hAnsi="Arial"/>
          <w:color w:val="1A2340"/>
          <w:sz w:val="22"/>
          <w:szCs w:val="22"/>
        </w:rPr>
        <w:t xml:space="preserve">Employment decisions, performance evaluations, or disciplinary actions where AI played a material role — disclosure to the affected individual is required to the extent required by applicable law.</w:t>
      </w:r>
    </w:p>
    <w:p>
      <w:pPr>
        <w:pStyle w:val="ListParagraph"/>
        <w:numPr>
          <w:ilvl w:val="0"/>
          <w:numId w:val="2"/>
        </w:numPr>
        <w:spacing w:after="40" w:before="40"/>
      </w:pPr>
      <w:r>
        <w:rPr>
          <w:rFonts w:ascii="Arial" w:cs="Arial" w:eastAsia="Arial" w:hAnsi="Arial"/>
          <w:color w:val="1A2340"/>
          <w:sz w:val="22"/>
          <w:szCs w:val="22"/>
        </w:rPr>
        <w:t xml:space="preserve">Regulated documents, compliance attestations, audit submissions, and legal filings — AI use must be disclosed to the authorized human signatory before signature.</w:t>
      </w:r>
    </w:p>
    <w:p>
      <w:pPr>
        <w:pStyle w:val="ListParagraph"/>
        <w:numPr>
          <w:ilvl w:val="0"/>
          <w:numId w:val="2"/>
        </w:numPr>
        <w:spacing w:after="40" w:before="40"/>
      </w:pPr>
      <w:r>
        <w:rPr>
          <w:rFonts w:ascii="Arial" w:cs="Arial" w:eastAsia="Arial" w:hAnsi="Arial"/>
          <w:color w:val="1A2340"/>
          <w:sz w:val="22"/>
          <w:szCs w:val="22"/>
        </w:rPr>
        <w:t xml:space="preserve">Owner, partner, or board reporting — any AI-assisted analysis or recommendation must be identified as such.</w:t>
      </w:r>
    </w:p>
    <w:p>
      <w:pPr>
        <w:spacing w:after="80" w:before="60"/>
        <w:jc w:val="both"/>
      </w:pPr>
      <w:r>
        <w:rPr>
          <w:rFonts w:ascii="Arial" w:cs="Arial" w:eastAsia="Arial" w:hAnsi="Arial"/>
          <w:color w:val="1A2340"/>
          <w:sz w:val="22"/>
          <w:szCs w:val="22"/>
        </w:rPr>
        <w:t xml:space="preserve">6.8.2  The AIGC determines disclosure standards for specific use cases where applicable law does not prescribe a specific disclosure requirement. Employees who are uncertain whether disclosure is required must consult Legal or the CISO / vCISO before distribution.</w:t>
      </w:r>
    </w:p>
    <w:p>
      <w:pPr>
        <w:spacing w:after="80" w:before="60"/>
        <w:jc w:val="both"/>
      </w:pPr>
      <w:r>
        <w:rPr>
          <w:rFonts w:ascii="Arial" w:cs="Arial" w:eastAsia="Arial" w:hAnsi="Arial"/>
          <w:color w:val="1A2340"/>
          <w:sz w:val="22"/>
          <w:szCs w:val="22"/>
        </w:rPr>
        <w:t xml:space="preserve">6.8.3  Disclosure does not substitute for human review. All content requiring disclosure under this section also requires oversight per Section 6.7.</w:t>
      </w:r>
    </w:p>
    <w:p>
      <w:pPr>
        <w:pStyle w:val="Heading2"/>
        <w:spacing w:after="80" w:before="280"/>
      </w:pPr>
      <w:bookmarkStart w:name="s69" w:id="37"/>
      <w:r>
        <w:rPr>
          <w:rFonts w:ascii="Arial" w:cs="Arial" w:eastAsia="Arial" w:hAnsi="Arial"/>
          <w:b/>
          <w:bCs/>
          <w:color w:val="152168"/>
          <w:sz w:val="26"/>
          <w:szCs w:val="26"/>
        </w:rPr>
        <w:t xml:space="preserve">6.9  Training and Awareness</w:t>
      </w:r>
      <w:bookmarkEnd w:id="38"/>
    </w:p>
    <w:p>
      <w:pPr>
        <w:spacing w:after="60" w:before="40"/>
        <w:jc w:val="both"/>
      </w:pPr>
      <w:r>
        <w:rPr>
          <w:rFonts w:ascii="Arial" w:cs="Arial" w:eastAsia="Arial" w:hAnsi="Arial"/>
          <w:i/>
          <w:iCs/>
          <w:color w:val="5A6A8A"/>
          <w:sz w:val="19"/>
          <w:szCs w:val="19"/>
        </w:rPr>
        <w:t xml:space="preserve">ISO 42001: 7.2, 7.3, 7.4 | NIST AI RMF: GOVERN 3.1, 3.2, 5.1</w:t>
      </w:r>
    </w:p>
    <w:p>
      <w:pPr>
        <w:spacing w:after="60" w:before="0"/>
      </w:pPr>
      <w:r>
        <w:t xml:space="preserve"/>
      </w:r>
    </w:p>
    <w:p>
      <w:pPr>
        <w:spacing w:after="80" w:before="60"/>
        <w:jc w:val="both"/>
      </w:pPr>
      <w:r>
        <w:rPr>
          <w:rFonts w:ascii="Arial" w:cs="Arial" w:eastAsia="Arial" w:hAnsi="Arial"/>
          <w:color w:val="1A2340"/>
          <w:sz w:val="22"/>
          <w:szCs w:val="22"/>
        </w:rPr>
        <w:t xml:space="preserve">6.9.1  Completion of mandatory AI training is a condition of AI tool access. Access to approved AI tools must not be provisioned until foundational training is confirmed.</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1560"/>
        <w:gridCol w:w="1560"/>
        <w:gridCol w:w="1440"/>
      </w:tblGrid>
      <w:tr>
        <w:tc>
          <w:tcPr>
            <w:tcW w:type="dxa" w:w="2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Training Module</w:t>
            </w:r>
          </w:p>
        </w:tc>
        <w:tc>
          <w:tcPr>
            <w:tcW w:type="dxa" w:w="2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Audience</w:t>
            </w:r>
          </w:p>
        </w:tc>
        <w:tc>
          <w:tcPr>
            <w:tcW w:type="dxa" w:w="15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Timing</w:t>
            </w:r>
          </w:p>
        </w:tc>
        <w:tc>
          <w:tcPr>
            <w:tcW w:type="dxa" w:w="15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Frequency</w:t>
            </w:r>
          </w:p>
        </w:tc>
        <w:tc>
          <w:tcPr>
            <w:tcW w:type="dxa" w:w="144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Tracking</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AI Governance Policy and Acceptable Use</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All employees in scope</w:t>
            </w:r>
          </w:p>
        </w:tc>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Before AI tool access</w:t>
            </w:r>
          </w:p>
        </w:tc>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Annual</w:t>
            </w:r>
          </w:p>
        </w:tc>
        <w:tc>
          <w:tcPr>
            <w:tcW w:type="dxa" w:w="1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HR / LMS</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Data Classification and Input Controls</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All AI tool users</w:t>
            </w:r>
          </w:p>
        </w:tc>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Before AI tool access</w:t>
            </w:r>
          </w:p>
        </w:tc>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Annual + new tool</w:t>
            </w:r>
          </w:p>
        </w:tc>
        <w:tc>
          <w:tcPr>
            <w:tcW w:type="dxa" w:w="1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HR / LMS</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AI Incident Recognition and Reporting</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All AI tool users</w:t>
            </w:r>
          </w:p>
        </w:tc>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Before AI tool access</w:t>
            </w:r>
          </w:p>
        </w:tc>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Annual</w:t>
            </w:r>
          </w:p>
        </w:tc>
        <w:tc>
          <w:tcPr>
            <w:tcW w:type="dxa" w:w="1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CISO tracking</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Hallucination Awareness and Verification</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All AI tool users</w:t>
            </w:r>
          </w:p>
        </w:tc>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Before AI tool access</w:t>
            </w:r>
          </w:p>
        </w:tc>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Annual</w:t>
            </w:r>
          </w:p>
        </w:tc>
        <w:tc>
          <w:tcPr>
            <w:tcW w:type="dxa" w:w="1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HR / LMS</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AI Risk and Impact Assessment</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CISO, AI System Owners, Dept Heads</w:t>
            </w:r>
          </w:p>
        </w:tc>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Upon role assignment</w:t>
            </w:r>
          </w:p>
        </w:tc>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Annual</w:t>
            </w:r>
          </w:p>
        </w:tc>
        <w:tc>
          <w:tcPr>
            <w:tcW w:type="dxa" w:w="1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CISO tracking</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Department-Specific AI Usage Guidance</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Dept-specific users (HR, Finance, Legal)</w:t>
            </w:r>
          </w:p>
        </w:tc>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Annual</w:t>
            </w:r>
          </w:p>
        </w:tc>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Annual</w:t>
            </w:r>
          </w:p>
        </w:tc>
        <w:tc>
          <w:tcPr>
            <w:tcW w:type="dxa" w:w="1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Dept Head confirms</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AI Governance Leadership Briefing</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Executive Leadership, AIGC members</w:t>
            </w:r>
          </w:p>
        </w:tc>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Upon appointment</w:t>
            </w:r>
          </w:p>
        </w:tc>
        <w:tc>
          <w:tcPr>
            <w:tcW w:type="dxa" w:w="1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Annual</w:t>
            </w:r>
          </w:p>
        </w:tc>
        <w:tc>
          <w:tcPr>
            <w:tcW w:type="dxa" w:w="1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AIGC records</w:t>
            </w:r>
          </w:p>
        </w:tc>
      </w:tr>
    </w:tbl>
    <w:p>
      <w:pPr>
        <w:spacing w:after="80" w:before="0"/>
      </w:pPr>
      <w:r>
        <w:t xml:space="preserve"/>
      </w:r>
    </w:p>
    <w:p>
      <w:pPr>
        <w:spacing w:after="80" w:before="60"/>
        <w:jc w:val="both"/>
      </w:pPr>
      <w:r>
        <w:rPr>
          <w:rFonts w:ascii="Arial" w:cs="Arial" w:eastAsia="Arial" w:hAnsi="Arial"/>
          <w:color w:val="1A2340"/>
          <w:sz w:val="22"/>
          <w:szCs w:val="22"/>
        </w:rPr>
        <w:t xml:space="preserve">6.9.2  Employees who fail to complete required training within thirty (30) days of assignment must have AI tool access suspended by the CISO / vCISO until training is confirmed.</w:t>
      </w:r>
    </w:p>
    <w:p>
      <w:pPr>
        <w:spacing w:after="80" w:before="60"/>
        <w:jc w:val="both"/>
      </w:pPr>
      <w:r>
        <w:rPr>
          <w:rFonts w:ascii="Arial" w:cs="Arial" w:eastAsia="Arial" w:hAnsi="Arial"/>
          <w:color w:val="1A2340"/>
          <w:sz w:val="22"/>
          <w:szCs w:val="22"/>
        </w:rPr>
        <w:t xml:space="preserve">6.9.3  Department Heads are accountable for ensuring their teams complete training on schedule and for confirming completion to the CISO / vCISO.</w:t>
      </w:r>
    </w:p>
    <w:p>
      <w:pPr>
        <w:pStyle w:val="Heading2"/>
        <w:spacing w:after="80" w:before="280"/>
      </w:pPr>
      <w:bookmarkStart w:name="s610" w:id="39"/>
      <w:r>
        <w:rPr>
          <w:rFonts w:ascii="Arial" w:cs="Arial" w:eastAsia="Arial" w:hAnsi="Arial"/>
          <w:b/>
          <w:bCs/>
          <w:color w:val="152168"/>
          <w:sz w:val="26"/>
          <w:szCs w:val="26"/>
        </w:rPr>
        <w:t xml:space="preserve">6.10  AI Incident Management</w:t>
      </w:r>
      <w:bookmarkEnd w:id="40"/>
    </w:p>
    <w:p>
      <w:pPr>
        <w:spacing w:after="60" w:before="40"/>
        <w:jc w:val="both"/>
      </w:pPr>
      <w:r>
        <w:rPr>
          <w:rFonts w:ascii="Arial" w:cs="Arial" w:eastAsia="Arial" w:hAnsi="Arial"/>
          <w:i/>
          <w:iCs/>
          <w:color w:val="5A6A8A"/>
          <w:sz w:val="19"/>
          <w:szCs w:val="19"/>
        </w:rPr>
        <w:t xml:space="preserve">ISO 42001: 8.8 | NIST AI RMF: MANAGE 2.2, 2.4, 3.1, 3.2, 4.1, 4.2</w:t>
      </w:r>
    </w:p>
    <w:p>
      <w:pPr>
        <w:spacing w:after="60" w:before="0"/>
      </w:pPr>
      <w:r>
        <w:t xml:space="preserve"/>
      </w:r>
    </w:p>
    <w:p>
      <w:pPr>
        <w:spacing w:after="80" w:before="60"/>
        <w:jc w:val="both"/>
      </w:pPr>
      <w:r>
        <w:rPr>
          <w:rFonts w:ascii="Arial" w:cs="Arial" w:eastAsia="Arial" w:hAnsi="Arial"/>
          <w:color w:val="1A2340"/>
          <w:sz w:val="22"/>
          <w:szCs w:val="22"/>
        </w:rPr>
        <w:t xml:space="preserve">6.10.1  An AI incident is any event involving an AI system that results in, or has the potential to result in: unauthorized disclosure of organizational or personal data; discriminatory or harmful output; regulatory non-compliance; unauthorized AI action; or significant reputational harm.</w:t>
      </w:r>
    </w:p>
    <w:p>
      <w:pPr>
        <w:spacing w:after="80" w:before="60"/>
        <w:jc w:val="both"/>
      </w:pPr>
      <w:r>
        <w:rPr>
          <w:rFonts w:ascii="Arial" w:cs="Arial" w:eastAsia="Arial" w:hAnsi="Arial"/>
          <w:color w:val="1A2340"/>
          <w:sz w:val="22"/>
          <w:szCs w:val="22"/>
        </w:rPr>
        <w:t xml:space="preserve">6.10.2  Immediate Response (within one hour of discovery):</w:t>
      </w:r>
    </w:p>
    <w:p>
      <w:pPr>
        <w:pStyle w:val="ListParagraph"/>
        <w:numPr>
          <w:ilvl w:val="0"/>
          <w:numId w:val="2"/>
        </w:numPr>
        <w:spacing w:after="40" w:before="40"/>
      </w:pPr>
      <w:r>
        <w:rPr>
          <w:rFonts w:ascii="Arial" w:cs="Arial" w:eastAsia="Arial" w:hAnsi="Arial"/>
          <w:color w:val="1A2340"/>
          <w:sz w:val="22"/>
          <w:szCs w:val="22"/>
        </w:rPr>
        <w:t xml:space="preserve">Stop further data entry into the affected platform. Do not delete or modify evidence of the event — preserve all logs, screenshots, and records.</w:t>
      </w:r>
    </w:p>
    <w:p>
      <w:pPr>
        <w:pStyle w:val="ListParagraph"/>
        <w:numPr>
          <w:ilvl w:val="0"/>
          <w:numId w:val="2"/>
        </w:numPr>
        <w:spacing w:after="40" w:before="40"/>
      </w:pPr>
      <w:r>
        <w:rPr>
          <w:rFonts w:ascii="Arial" w:cs="Arial" w:eastAsia="Arial" w:hAnsi="Arial"/>
          <w:color w:val="1A2340"/>
          <w:sz w:val="22"/>
          <w:szCs w:val="22"/>
        </w:rPr>
        <w:t xml:space="preserve">Notify the CISO / vCISO immediately by phone or direct message. Do not wait to gather all details before notifying.</w:t>
      </w:r>
    </w:p>
    <w:p>
      <w:pPr>
        <w:spacing w:after="80" w:before="60"/>
        <w:jc w:val="both"/>
      </w:pPr>
      <w:r>
        <w:rPr>
          <w:rFonts w:ascii="Arial" w:cs="Arial" w:eastAsia="Arial" w:hAnsi="Arial"/>
          <w:color w:val="1A2340"/>
          <w:sz w:val="22"/>
          <w:szCs w:val="22"/>
        </w:rPr>
        <w:t xml:space="preserve">6.10.3  Investigation and Documentation (within 24 hours):</w:t>
      </w:r>
    </w:p>
    <w:p>
      <w:pPr>
        <w:pStyle w:val="ListParagraph"/>
        <w:numPr>
          <w:ilvl w:val="0"/>
          <w:numId w:val="2"/>
        </w:numPr>
        <w:spacing w:after="40" w:before="40"/>
      </w:pPr>
      <w:r>
        <w:rPr>
          <w:rFonts w:ascii="Arial" w:cs="Arial" w:eastAsia="Arial" w:hAnsi="Arial"/>
          <w:color w:val="1A2340"/>
          <w:sz w:val="22"/>
          <w:szCs w:val="22"/>
        </w:rPr>
        <w:t xml:space="preserve">The CISO / vCISO opens a formal incident record. The reporting employee documents: data type(s) involved, approximate volume, AI platform, timestamp, account identifiers, and the nature of the output or exposure.</w:t>
      </w:r>
    </w:p>
    <w:p>
      <w:pPr>
        <w:pStyle w:val="ListParagraph"/>
        <w:numPr>
          <w:ilvl w:val="0"/>
          <w:numId w:val="2"/>
        </w:numPr>
        <w:spacing w:after="40" w:before="40"/>
      </w:pPr>
      <w:r>
        <w:rPr>
          <w:rFonts w:ascii="Arial" w:cs="Arial" w:eastAsia="Arial" w:hAnsi="Arial"/>
          <w:color w:val="1A2340"/>
          <w:sz w:val="22"/>
          <w:szCs w:val="22"/>
        </w:rPr>
        <w:t xml:space="preserve">The CISO / vCISO conducts a regulatory impact assessment and determines whether legal counsel, regulators, affected individuals, or clients must be notified.</w:t>
      </w:r>
    </w:p>
    <w:p>
      <w:pPr>
        <w:spacing w:after="80" w:before="60"/>
        <w:jc w:val="both"/>
      </w:pPr>
      <w:r>
        <w:rPr>
          <w:rFonts w:ascii="Arial" w:cs="Arial" w:eastAsia="Arial" w:hAnsi="Arial"/>
          <w:color w:val="1A2340"/>
          <w:sz w:val="22"/>
          <w:szCs w:val="22"/>
        </w:rPr>
        <w:t xml:space="preserve">6.10.4  Remediation and Closure:</w:t>
      </w:r>
    </w:p>
    <w:p>
      <w:pPr>
        <w:pStyle w:val="ListParagraph"/>
        <w:numPr>
          <w:ilvl w:val="0"/>
          <w:numId w:val="2"/>
        </w:numPr>
        <w:spacing w:after="40" w:before="40"/>
      </w:pPr>
      <w:r>
        <w:rPr>
          <w:rFonts w:ascii="Arial" w:cs="Arial" w:eastAsia="Arial" w:hAnsi="Arial"/>
          <w:color w:val="1A2340"/>
          <w:sz w:val="22"/>
          <w:szCs w:val="22"/>
        </w:rPr>
        <w:t xml:space="preserve">The CISO / vCISO issues a risk assessment and corrective action plan. Corrective training is assigned to involved employees within five (5) business days.</w:t>
      </w:r>
    </w:p>
    <w:p>
      <w:pPr>
        <w:pStyle w:val="ListParagraph"/>
        <w:numPr>
          <w:ilvl w:val="0"/>
          <w:numId w:val="2"/>
        </w:numPr>
        <w:spacing w:after="40" w:before="40"/>
      </w:pPr>
      <w:r>
        <w:rPr>
          <w:rFonts w:ascii="Arial" w:cs="Arial" w:eastAsia="Arial" w:hAnsi="Arial"/>
          <w:color w:val="1A2340"/>
          <w:sz w:val="22"/>
          <w:szCs w:val="22"/>
        </w:rPr>
        <w:t xml:space="preserve">Employees who self-report in good faith will not face disciplinary action for the act of reporting. Employees who knowingly conceal an AI incident are subject to the consequences in Section 7.</w:t>
      </w:r>
    </w:p>
    <w:p>
      <w:pPr>
        <w:spacing w:after="80" w:before="60"/>
        <w:jc w:val="both"/>
      </w:pPr>
      <w:r>
        <w:rPr>
          <w:rFonts w:ascii="Arial" w:cs="Arial" w:eastAsia="Arial" w:hAnsi="Arial"/>
          <w:color w:val="1A2340"/>
          <w:sz w:val="22"/>
          <w:szCs w:val="22"/>
        </w:rPr>
        <w:t xml:space="preserve">6.10.5  AI incidents of Elevated or High severity must be reported to the AIGC at its next scheduled meeting or within ten (10) business days, whichever is sooner.</w:t>
      </w:r>
    </w:p>
    <w:p>
      <w:pPr>
        <w:pStyle w:val="Heading2"/>
        <w:spacing w:after="80" w:before="280"/>
      </w:pPr>
      <w:bookmarkStart w:name="s611" w:id="41"/>
      <w:r>
        <w:rPr>
          <w:rFonts w:ascii="Arial" w:cs="Arial" w:eastAsia="Arial" w:hAnsi="Arial"/>
          <w:b/>
          <w:bCs/>
          <w:color w:val="152168"/>
          <w:sz w:val="26"/>
          <w:szCs w:val="26"/>
        </w:rPr>
        <w:t xml:space="preserve">6.11  Monitoring and Audit</w:t>
      </w:r>
      <w:bookmarkEnd w:id="42"/>
    </w:p>
    <w:p>
      <w:pPr>
        <w:spacing w:after="60" w:before="40"/>
        <w:jc w:val="both"/>
      </w:pPr>
      <w:r>
        <w:rPr>
          <w:rFonts w:ascii="Arial" w:cs="Arial" w:eastAsia="Arial" w:hAnsi="Arial"/>
          <w:i/>
          <w:iCs/>
          <w:color w:val="5A6A8A"/>
          <w:sz w:val="19"/>
          <w:szCs w:val="19"/>
        </w:rPr>
        <w:t xml:space="preserve">ISO 42001: 9.1, 9.2, 9.3 | NIST AI RMF: MEASURE 1.1, 2.5, 2.8, 3.1, 3.2, 4.1; MANAGE 4.1, 4.2</w:t>
      </w:r>
    </w:p>
    <w:p>
      <w:pPr>
        <w:spacing w:after="60" w:before="0"/>
      </w:pPr>
      <w:r>
        <w:t xml:space="preserve"/>
      </w:r>
    </w:p>
    <w:p>
      <w:pPr>
        <w:spacing w:after="80" w:before="60"/>
        <w:jc w:val="both"/>
      </w:pPr>
      <w:r>
        <w:rPr>
          <w:rFonts w:ascii="Arial" w:cs="Arial" w:eastAsia="Arial" w:hAnsi="Arial"/>
          <w:color w:val="1A2340"/>
          <w:sz w:val="22"/>
          <w:szCs w:val="22"/>
        </w:rPr>
        <w:t xml:space="preserve">6.11.1  [ORGANIZATION NAME] monitors AI tool usage for policy compliance, security risk, and incident detection. Monitoring is a condition of AI tool access and is communicated to all employees in training and onboarding documentation.</w:t>
      </w:r>
    </w:p>
    <w:p>
      <w:pPr>
        <w:spacing w:after="80" w:before="60"/>
        <w:jc w:val="both"/>
      </w:pPr>
      <w:r>
        <w:rPr>
          <w:rFonts w:ascii="Arial" w:cs="Arial" w:eastAsia="Arial" w:hAnsi="Arial"/>
          <w:color w:val="1A2340"/>
          <w:sz w:val="22"/>
          <w:szCs w:val="22"/>
        </w:rPr>
        <w:t xml:space="preserve">6.11.2  Monitoring activities in scope: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4000"/>
        <w:gridCol w:w="2560"/>
      </w:tblGrid>
      <w:tr>
        <w:tc>
          <w:tcPr>
            <w:tcW w:type="dxa" w:w="28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What Is Monitored</w:t>
            </w:r>
          </w:p>
        </w:tc>
        <w:tc>
          <w:tcPr>
            <w:tcW w:type="dxa" w:w="40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How / Trigger</w:t>
            </w:r>
          </w:p>
        </w:tc>
        <w:tc>
          <w:tcPr>
            <w:tcW w:type="dxa" w:w="25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Responsible Party</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Prompt and response content</w:t>
            </w:r>
          </w:p>
        </w:tc>
        <w:tc>
          <w:tcPr>
            <w:tcW w:type="dxa" w:w="4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Logged by the AI platform; reviewed during incidents, audits, or random spot-checks.</w:t>
            </w:r>
          </w:p>
        </w:tc>
        <w:tc>
          <w:tcPr>
            <w:tcW w:type="dxa" w:w="2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CISO / vCISO</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Data classification adherence</w:t>
            </w:r>
          </w:p>
        </w:tc>
        <w:tc>
          <w:tcPr>
            <w:tcW w:type="dxa" w:w="4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Reviewed when audit, incident, or random spot-check triggers a log review.</w:t>
            </w:r>
          </w:p>
        </w:tc>
        <w:tc>
          <w:tcPr>
            <w:tcW w:type="dxa" w:w="2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CISO / vCISO</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Prohibited data pattern detection</w:t>
            </w:r>
          </w:p>
        </w:tc>
        <w:tc>
          <w:tcPr>
            <w:tcW w:type="dxa" w:w="4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Automated DLP scanning on approved platforms where DLP is enabled; alerts routed to CISO.</w:t>
            </w:r>
          </w:p>
        </w:tc>
        <w:tc>
          <w:tcPr>
            <w:tcW w:type="dxa" w:w="2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CISO / Platform DLP</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Usage volume and anomalies</w:t>
            </w:r>
          </w:p>
        </w:tc>
        <w:tc>
          <w:tcPr>
            <w:tcW w:type="dxa" w:w="4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Continuous monitoring for unusual submission volumes indicating potential data exfiltration.</w:t>
            </w:r>
          </w:p>
        </w:tc>
        <w:tc>
          <w:tcPr>
            <w:tcW w:type="dxa" w:w="2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CISO / vCISO</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Tool access and authentication events</w:t>
            </w:r>
          </w:p>
        </w:tc>
        <w:tc>
          <w:tcPr>
            <w:tcW w:type="dxa" w:w="4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Login events, MFA failures, and unauthorized access attempts logged via platform and identity provider.</w:t>
            </w:r>
          </w:p>
        </w:tc>
        <w:tc>
          <w:tcPr>
            <w:tcW w:type="dxa" w:w="2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CISO / IT</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Training completion status</w:t>
            </w:r>
          </w:p>
        </w:tc>
        <w:tc>
          <w:tcPr>
            <w:tcW w:type="dxa" w:w="4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Tracked in HR/LMS and cross-referenced with AI tool access provisioning.</w:t>
            </w:r>
          </w:p>
        </w:tc>
        <w:tc>
          <w:tcPr>
            <w:tcW w:type="dxa" w:w="2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CISO / HR</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AI Use Case Inventory currency</w:t>
            </w:r>
          </w:p>
        </w:tc>
        <w:tc>
          <w:tcPr>
            <w:tcW w:type="dxa" w:w="4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Reviewed semi-annually and upon any tool change.</w:t>
            </w:r>
          </w:p>
        </w:tc>
        <w:tc>
          <w:tcPr>
            <w:tcW w:type="dxa" w:w="2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CISO / vCISO</w:t>
            </w:r>
          </w:p>
        </w:tc>
      </w:tr>
      <w:tr>
        <w:tc>
          <w:tcPr>
            <w:tcW w:type="dxa" w:w="2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Vendor security posture changes</w:t>
            </w:r>
          </w:p>
        </w:tc>
        <w:tc>
          <w:tcPr>
            <w:tcW w:type="dxa" w:w="4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Continuous monitoring of vendor communications; annual formal vendor review.</w:t>
            </w:r>
          </w:p>
        </w:tc>
        <w:tc>
          <w:tcPr>
            <w:tcW w:type="dxa" w:w="25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CISO / vCISO</w:t>
            </w:r>
          </w:p>
        </w:tc>
      </w:tr>
    </w:tbl>
    <w:p>
      <w:pPr>
        <w:spacing w:after="80" w:before="0"/>
      </w:pPr>
      <w:r>
        <w:t xml:space="preserve"/>
      </w:r>
    </w:p>
    <w:p>
      <w:pPr>
        <w:spacing w:after="80" w:before="60"/>
        <w:jc w:val="both"/>
      </w:pPr>
      <w:r>
        <w:rPr>
          <w:rFonts w:ascii="Arial" w:cs="Arial" w:eastAsia="Arial" w:hAnsi="Arial"/>
          <w:color w:val="1A2340"/>
          <w:sz w:val="22"/>
          <w:szCs w:val="22"/>
        </w:rPr>
        <w:t xml:space="preserve">6.11.3  Employees have no expectation of privacy when using approved organizational AI tools or accounts for business purposes, regardless of whether the device used is company-owned or personal.</w:t>
      </w:r>
    </w:p>
    <w:p>
      <w:pPr>
        <w:spacing w:after="80" w:before="60"/>
        <w:jc w:val="both"/>
      </w:pPr>
      <w:r>
        <w:rPr>
          <w:rFonts w:ascii="Arial" w:cs="Arial" w:eastAsia="Arial" w:hAnsi="Arial"/>
          <w:color w:val="1A2340"/>
          <w:sz w:val="22"/>
          <w:szCs w:val="22"/>
        </w:rPr>
        <w:t xml:space="preserve">6.11.4  An internal AI governance audit is conducted at least annually, assessing policy compliance, risk register currency, training completion, and effectiveness of controls.</w:t>
      </w:r>
    </w:p>
    <w:p>
      <w:pPr>
        <w:spacing w:after="80" w:before="60"/>
        <w:jc w:val="both"/>
      </w:pPr>
      <w:r>
        <w:rPr>
          <w:rFonts w:ascii="Arial" w:cs="Arial" w:eastAsia="Arial" w:hAnsi="Arial"/>
          <w:color w:val="1A2340"/>
          <w:sz w:val="22"/>
          <w:szCs w:val="22"/>
        </w:rPr>
        <w:t xml:space="preserve">6.11.5  Audit findings are reported to the AIGC and Executive Leadership and tracked to resolution through the risk register and corrective action program.</w:t>
      </w:r>
    </w:p>
    <w:p>
      <w:pPr>
        <w:pStyle w:val="Heading2"/>
        <w:spacing w:after="80" w:before="280"/>
      </w:pPr>
      <w:bookmarkStart w:name="s612" w:id="43"/>
      <w:r>
        <w:rPr>
          <w:rFonts w:ascii="Arial" w:cs="Arial" w:eastAsia="Arial" w:hAnsi="Arial"/>
          <w:b/>
          <w:bCs/>
          <w:color w:val="152168"/>
          <w:sz w:val="26"/>
          <w:szCs w:val="26"/>
        </w:rPr>
        <w:t xml:space="preserve">6.12  Continual Improvement</w:t>
      </w:r>
      <w:bookmarkEnd w:id="44"/>
    </w:p>
    <w:p>
      <w:pPr>
        <w:spacing w:after="60" w:before="40"/>
        <w:jc w:val="both"/>
      </w:pPr>
      <w:r>
        <w:rPr>
          <w:rFonts w:ascii="Arial" w:cs="Arial" w:eastAsia="Arial" w:hAnsi="Arial"/>
          <w:i/>
          <w:iCs/>
          <w:color w:val="5A6A8A"/>
          <w:sz w:val="19"/>
          <w:szCs w:val="19"/>
        </w:rPr>
        <w:t xml:space="preserve">ISO 42001: 10.1, 10.2 | NIST AI RMF: GOVERN 1.2; MEASURE 4.1; MANAGE 4.2</w:t>
      </w:r>
    </w:p>
    <w:p>
      <w:pPr>
        <w:spacing w:after="60" w:before="0"/>
      </w:pPr>
      <w:r>
        <w:t xml:space="preserve"/>
      </w:r>
    </w:p>
    <w:p>
      <w:pPr>
        <w:spacing w:after="80" w:before="60"/>
        <w:jc w:val="both"/>
      </w:pPr>
      <w:r>
        <w:rPr>
          <w:rFonts w:ascii="Arial" w:cs="Arial" w:eastAsia="Arial" w:hAnsi="Arial"/>
          <w:color w:val="1A2340"/>
          <w:sz w:val="22"/>
          <w:szCs w:val="22"/>
        </w:rPr>
        <w:t xml:space="preserve">6.12.1  The AIGC conducts a formal management review of the AI Management System at least annually, evaluating: the results of monitoring and audits; AI incident trends; changes in the regulatory environment; stakeholder feedback; and the ongoing effectiveness of policy controls.</w:t>
      </w:r>
    </w:p>
    <w:p>
      <w:pPr>
        <w:spacing w:after="80" w:before="60"/>
        <w:jc w:val="both"/>
      </w:pPr>
      <w:r>
        <w:rPr>
          <w:rFonts w:ascii="Arial" w:cs="Arial" w:eastAsia="Arial" w:hAnsi="Arial"/>
          <w:color w:val="1A2340"/>
          <w:sz w:val="22"/>
          <w:szCs w:val="22"/>
        </w:rPr>
        <w:t xml:space="preserve">6.12.2  Management review outputs must include explicit decisions on: the need for changes to the AI Governance Policy or subordinate documents; resource allocations for AI governance; and any corrective actions arising from audit findings or incidents.</w:t>
      </w:r>
    </w:p>
    <w:p>
      <w:pPr>
        <w:spacing w:after="80" w:before="60"/>
        <w:jc w:val="both"/>
      </w:pPr>
      <w:r>
        <w:rPr>
          <w:rFonts w:ascii="Arial" w:cs="Arial" w:eastAsia="Arial" w:hAnsi="Arial"/>
          <w:color w:val="1A2340"/>
          <w:sz w:val="22"/>
          <w:szCs w:val="22"/>
        </w:rPr>
        <w:t xml:space="preserve">6.12.3  Non-conformities identified through audits, incidents, or management review are documented, root-cause analyzed, and tracked to confirmed closure through the CISO / vCISO's corrective action register.</w:t>
      </w:r>
    </w:p>
    <w:p>
      <w:pPr>
        <w:spacing w:after="80" w:before="60"/>
        <w:jc w:val="both"/>
      </w:pPr>
      <w:r>
        <w:rPr>
          <w:rFonts w:ascii="Arial" w:cs="Arial" w:eastAsia="Arial" w:hAnsi="Arial"/>
          <w:color w:val="1A2340"/>
          <w:sz w:val="22"/>
          <w:szCs w:val="22"/>
        </w:rPr>
        <w:t xml:space="preserve">6.12.4  The Organization actively monitors developments in AI safety research, regulatory guidance (including NIST AI RMF updates and ISO 42001 revisions), and industry best practice, incorporating material developments into the next scheduled policy review cycle.</w:t>
      </w:r>
    </w:p>
    <w:p>
      <w:pPr>
        <w:pStyle w:val="Heading1"/>
        <w:pBdr>
          <w:bottom w:val="single" w:color="07B4D9" w:sz="8" w:space="4"/>
        </w:pBdr>
        <w:spacing w:after="120" w:before="400"/>
      </w:pPr>
      <w:bookmarkStart w:name="s7" w:id="45"/>
      <w:r>
        <w:rPr>
          <w:rFonts w:ascii="Arial" w:cs="Arial" w:eastAsia="Arial" w:hAnsi="Arial"/>
          <w:b/>
          <w:bCs/>
          <w:color w:val="152168"/>
          <w:sz w:val="30"/>
          <w:szCs w:val="30"/>
        </w:rPr>
        <w:t xml:space="preserve">7. Compliance and Enforcement</w:t>
      </w:r>
      <w:bookmarkEnd w:id="46"/>
    </w:p>
    <w:p>
      <w:pPr>
        <w:spacing w:after="80" w:before="60"/>
        <w:jc w:val="both"/>
      </w:pPr>
      <w:r>
        <w:rPr>
          <w:rFonts w:ascii="Arial" w:cs="Arial" w:eastAsia="Arial" w:hAnsi="Arial"/>
          <w:color w:val="1A2340"/>
          <w:sz w:val="22"/>
          <w:szCs w:val="22"/>
        </w:rPr>
        <w:t xml:space="preserve">7.1  Compliance with this policy is mandatory for all individuals within its scope. Non-compliance is assessed based on severity, intent, and impact. Disciplinary actions are taken in coordination with Human Resources and, where appropriate, Legal Counsel.</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4440"/>
        <w:gridCol w:w="3480"/>
      </w:tblGrid>
      <w:tr>
        <w:tc>
          <w:tcPr>
            <w:tcW w:type="dxa" w:w="144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Severity</w:t>
            </w:r>
          </w:p>
        </w:tc>
        <w:tc>
          <w:tcPr>
            <w:tcW w:type="dxa" w:w="444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Examples</w:t>
            </w:r>
          </w:p>
        </w:tc>
        <w:tc>
          <w:tcPr>
            <w:tcW w:type="dxa" w:w="348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Potential Consequences</w:t>
            </w:r>
          </w:p>
        </w:tc>
      </w:tr>
      <w:tr>
        <w:tc>
          <w:tcPr>
            <w:tcW w:type="dxa" w:w="14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Low</w:t>
            </w:r>
          </w:p>
        </w:tc>
        <w:tc>
          <w:tcPr>
            <w:tcW w:type="dxa" w:w="4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Using an approved tool without completing required training; minor data sanitization lapse with no confirmed data exposure.</w:t>
            </w:r>
          </w:p>
        </w:tc>
        <w:tc>
          <w:tcPr>
            <w:tcW w:type="dxa" w:w="34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Corrective training; documented coaching conversation; notation in personnel file.</w:t>
            </w:r>
          </w:p>
        </w:tc>
      </w:tr>
      <w:tr>
        <w:tc>
          <w:tcPr>
            <w:tcW w:type="dxa" w:w="1440"/>
            <w:tcBorders>
              <w:top w:val="single" w:color="DDE3EF" w:sz="4"/>
              <w:left w:val="single" w:color="DDE3EF" w:sz="4"/>
              <w:bottom w:val="single" w:color="DDE3EF" w:sz="4"/>
              <w:right w:val="single" w:color="DDE3EF" w:sz="4"/>
            </w:tcBorders>
            <w:shd w:fill="FFF7E6"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Medium</w:t>
            </w:r>
          </w:p>
        </w:tc>
        <w:tc>
          <w:tcPr>
            <w:tcW w:type="dxa" w:w="4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Using an unapproved tool (Shadow AI) with organizational data; failing to sanitize before entry; sharing AI platform credentials; failing to apply required human review.</w:t>
            </w:r>
          </w:p>
        </w:tc>
        <w:tc>
          <w:tcPr>
            <w:tcW w:type="dxa" w:w="34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Written warning; mandatory retraining; temporary suspension of AI tool access; notification to Department Head.</w:t>
            </w:r>
          </w:p>
        </w:tc>
      </w:tr>
      <w:tr>
        <w:tc>
          <w:tcPr>
            <w:tcW w:type="dxa" w:w="144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High</w:t>
            </w:r>
          </w:p>
        </w:tc>
        <w:tc>
          <w:tcPr>
            <w:tcW w:type="dxa" w:w="4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Entering Prohibited Data (Appendix B) into any AI platform; knowingly concealing an AI incident; deliberate misuse of AI to harass, discriminate, or defraud; repeat non-compliance after prior formal discipline.</w:t>
            </w:r>
          </w:p>
        </w:tc>
        <w:tc>
          <w:tcPr>
            <w:tcW w:type="dxa" w:w="34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Suspension of AI tool access; formal disciplinary action up to and including termination; potential regulatory notification; potential civil or criminal referral where legally required.</w:t>
            </w:r>
          </w:p>
        </w:tc>
      </w:tr>
    </w:tbl>
    <w:p>
      <w:pPr>
        <w:spacing w:after="80" w:before="0"/>
      </w:pPr>
      <w:r>
        <w:t xml:space="preserve"/>
      </w:r>
    </w:p>
    <w:p>
      <w:pPr>
        <w:spacing w:after="80" w:before="60"/>
        <w:jc w:val="both"/>
      </w:pPr>
      <w:r>
        <w:rPr>
          <w:rFonts w:ascii="Arial" w:cs="Arial" w:eastAsia="Arial" w:hAnsi="Arial"/>
          <w:color w:val="1A2340"/>
          <w:sz w:val="22"/>
          <w:szCs w:val="22"/>
        </w:rPr>
        <w:t xml:space="preserve">7.2  The CISO / vCISO maintains a record of policy violations and remediation actions, reported in aggregate to the AIGC as part of the quarterly risk posture review.</w:t>
      </w:r>
    </w:p>
    <w:p>
      <w:pPr>
        <w:spacing w:after="80" w:before="60"/>
        <w:jc w:val="both"/>
      </w:pPr>
      <w:r>
        <w:rPr>
          <w:rFonts w:ascii="Arial" w:cs="Arial" w:eastAsia="Arial" w:hAnsi="Arial"/>
          <w:color w:val="1A2340"/>
          <w:sz w:val="22"/>
          <w:szCs w:val="22"/>
        </w:rPr>
        <w:t xml:space="preserve">7.3  Third-party contractors and vendors who violate this policy are subject to enforcement under applicable contract terms, including suspension of access and termination of engagement.</w:t>
      </w:r>
    </w:p>
    <w:p>
      <w:pPr>
        <w:pStyle w:val="Heading1"/>
        <w:pBdr>
          <w:bottom w:val="single" w:color="07B4D9" w:sz="8" w:space="4"/>
        </w:pBdr>
        <w:spacing w:after="120" w:before="400"/>
      </w:pPr>
      <w:bookmarkStart w:name="s8" w:id="47"/>
      <w:r>
        <w:rPr>
          <w:rFonts w:ascii="Arial" w:cs="Arial" w:eastAsia="Arial" w:hAnsi="Arial"/>
          <w:b/>
          <w:bCs/>
          <w:color w:val="152168"/>
          <w:sz w:val="30"/>
          <w:szCs w:val="30"/>
        </w:rPr>
        <w:t xml:space="preserve">8. Policy Exceptions</w:t>
      </w:r>
      <w:bookmarkEnd w:id="48"/>
    </w:p>
    <w:p>
      <w:pPr>
        <w:spacing w:after="80" w:before="60"/>
        <w:jc w:val="both"/>
      </w:pPr>
      <w:r>
        <w:rPr>
          <w:rFonts w:ascii="Arial" w:cs="Arial" w:eastAsia="Arial" w:hAnsi="Arial"/>
          <w:color w:val="1A2340"/>
          <w:sz w:val="22"/>
          <w:szCs w:val="22"/>
        </w:rPr>
        <w:t xml:space="preserve">8.1  Exceptions to this policy require prior written approval from the AIGC. Exceptions are not self-granted and may not be assumed from prior verbal discussions.</w:t>
      </w:r>
    </w:p>
    <w:p>
      <w:pPr>
        <w:spacing w:after="80" w:before="60"/>
        <w:jc w:val="both"/>
      </w:pPr>
      <w:r>
        <w:rPr>
          <w:rFonts w:ascii="Arial" w:cs="Arial" w:eastAsia="Arial" w:hAnsi="Arial"/>
          <w:color w:val="1A2340"/>
          <w:sz w:val="22"/>
          <w:szCs w:val="22"/>
        </w:rPr>
        <w:t xml:space="preserve">8.2  To request an exception, the requesting department head submits to the CISO / vCISO: the specific policy requirement from which an exception is sought; the business justification; the proposed compensating controls; the proposed duration; and the residual risk assessment.</w:t>
      </w:r>
    </w:p>
    <w:p>
      <w:pPr>
        <w:spacing w:after="80" w:before="60"/>
        <w:jc w:val="both"/>
      </w:pPr>
      <w:r>
        <w:rPr>
          <w:rFonts w:ascii="Arial" w:cs="Arial" w:eastAsia="Arial" w:hAnsi="Arial"/>
          <w:color w:val="1A2340"/>
          <w:sz w:val="22"/>
          <w:szCs w:val="22"/>
        </w:rPr>
        <w:t xml:space="preserve">8.3  The CISO / vCISO reviews the exception request and presents a recommendation to the AIGC. The AIGC approves, conditionally approves, or denies the exception. Approval is time-bounded (maximum twelve months) and subject to annual renewal.</w:t>
      </w:r>
    </w:p>
    <w:p>
      <w:pPr>
        <w:spacing w:after="80" w:before="60"/>
        <w:jc w:val="both"/>
      </w:pPr>
      <w:r>
        <w:rPr>
          <w:rFonts w:ascii="Arial" w:cs="Arial" w:eastAsia="Arial" w:hAnsi="Arial"/>
          <w:color w:val="1A2340"/>
          <w:sz w:val="22"/>
          <w:szCs w:val="22"/>
        </w:rPr>
        <w:t xml:space="preserve">8.4  Approved exceptions are documented in the AI Risk Register and tracked to expiry or resolution. Expired exceptions without renewal revert to full policy compliance requirements.</w:t>
      </w:r>
    </w:p>
    <w:p>
      <w:pPr>
        <w:pStyle w:val="Heading1"/>
        <w:pBdr>
          <w:bottom w:val="single" w:color="07B4D9" w:sz="8" w:space="4"/>
        </w:pBdr>
        <w:spacing w:after="120" w:before="400"/>
      </w:pPr>
      <w:bookmarkStart w:name="s9" w:id="49"/>
      <w:r>
        <w:rPr>
          <w:rFonts w:ascii="Arial" w:cs="Arial" w:eastAsia="Arial" w:hAnsi="Arial"/>
          <w:b/>
          <w:bCs/>
          <w:color w:val="152168"/>
          <w:sz w:val="30"/>
          <w:szCs w:val="30"/>
        </w:rPr>
        <w:t xml:space="preserve">9. Related Documents and Cross-References</w:t>
      </w:r>
      <w:bookmarkEnd w:id="50"/>
    </w:p>
    <w:p>
      <w:pPr>
        <w:spacing w:after="80" w:before="60"/>
        <w:jc w:val="both"/>
      </w:pPr>
      <w:r>
        <w:rPr>
          <w:rFonts w:ascii="Arial" w:cs="Arial" w:eastAsia="Arial" w:hAnsi="Arial"/>
          <w:color w:val="1A2340"/>
          <w:sz w:val="22"/>
          <w:szCs w:val="22"/>
        </w:rPr>
        <w:t xml:space="preserve">The following documents form part of the Organization's AI governance framework or must be read in conjunction with this policy.</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c>
          <w:tcPr>
            <w:tcW w:type="dxa" w:w="2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Document ID</w:t>
            </w:r>
          </w:p>
        </w:tc>
        <w:tc>
          <w:tcPr>
            <w:tcW w:type="dxa" w:w="43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Document Title</w:t>
            </w:r>
          </w:p>
        </w:tc>
        <w:tc>
          <w:tcPr>
            <w:tcW w:type="dxa" w:w="26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Relationship</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[ENT-POL-InfoSec]</w:t>
            </w:r>
          </w:p>
        </w:tc>
        <w:tc>
          <w:tcPr>
            <w:tcW w:type="dxa" w:w="4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Information Security Policy</w:t>
            </w:r>
          </w:p>
        </w:tc>
        <w:tc>
          <w:tcPr>
            <w:tcW w:type="dxa" w:w="2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Parent policy — all AI security controls operate within this framework</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[ENT-POL-DataClass]</w:t>
            </w:r>
          </w:p>
        </w:tc>
        <w:tc>
          <w:tcPr>
            <w:tcW w:type="dxa" w:w="4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Data Classification and Handling Policy</w:t>
            </w:r>
          </w:p>
        </w:tc>
        <w:tc>
          <w:tcPr>
            <w:tcW w:type="dxa" w:w="2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Defines data sensitivity tiers referenced in Appendix B and Section 6.5</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[ENT-POL-PrivData]</w:t>
            </w:r>
          </w:p>
        </w:tc>
        <w:tc>
          <w:tcPr>
            <w:tcW w:type="dxa" w:w="4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Privacy and Data Protection Policy</w:t>
            </w:r>
          </w:p>
        </w:tc>
        <w:tc>
          <w:tcPr>
            <w:tcW w:type="dxa" w:w="2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Governs processing of personal data through AI systems</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[ENT-POL-IR]</w:t>
            </w:r>
          </w:p>
        </w:tc>
        <w:tc>
          <w:tcPr>
            <w:tcW w:type="dxa" w:w="4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Incident Response Policy</w:t>
            </w:r>
          </w:p>
        </w:tc>
        <w:tc>
          <w:tcPr>
            <w:tcW w:type="dxa" w:w="2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Governs the full incident response lifecycle; AI incidents follow this framework</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[ENT-POL-Vendor]</w:t>
            </w:r>
          </w:p>
        </w:tc>
        <w:tc>
          <w:tcPr>
            <w:tcW w:type="dxa" w:w="4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Third-Party Risk Management Policy</w:t>
            </w:r>
          </w:p>
        </w:tc>
        <w:tc>
          <w:tcPr>
            <w:tcW w:type="dxa" w:w="2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Governs AI vendor assessments; DPA and SOC 2 requirements</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[ENT-POL-IAM]</w:t>
            </w:r>
          </w:p>
        </w:tc>
        <w:tc>
          <w:tcPr>
            <w:tcW w:type="dxa" w:w="4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Identity and Access Management Policy</w:t>
            </w:r>
          </w:p>
        </w:tc>
        <w:tc>
          <w:tcPr>
            <w:tcW w:type="dxa" w:w="2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Governs provisioning and deprovisioning of AI tool access</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[ENT-POL-AUP]</w:t>
            </w:r>
          </w:p>
        </w:tc>
        <w:tc>
          <w:tcPr>
            <w:tcW w:type="dxa" w:w="4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Acceptable Use Policy</w:t>
            </w:r>
          </w:p>
        </w:tc>
        <w:tc>
          <w:tcPr>
            <w:tcW w:type="dxa" w:w="2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AI acceptable use rules supplement the general AUP</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[ENT-POL-BCP]</w:t>
            </w:r>
          </w:p>
        </w:tc>
        <w:tc>
          <w:tcPr>
            <w:tcW w:type="dxa" w:w="4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Business Continuity Policy</w:t>
            </w:r>
          </w:p>
        </w:tc>
        <w:tc>
          <w:tcPr>
            <w:tcW w:type="dxa" w:w="2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AI system dependencies must be addressed in BCP/DR plans</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NIST AI RMF 1.0</w:t>
            </w:r>
          </w:p>
        </w:tc>
        <w:tc>
          <w:tcPr>
            <w:tcW w:type="dxa" w:w="4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NIST AI Risk Management Framework (NIST, Jan 2023)</w:t>
            </w:r>
          </w:p>
        </w:tc>
        <w:tc>
          <w:tcPr>
            <w:tcW w:type="dxa" w:w="2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Primary risk management framework for this policy</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ISO/IEC 42001:2023</w:t>
            </w:r>
          </w:p>
        </w:tc>
        <w:tc>
          <w:tcPr>
            <w:tcW w:type="dxa" w:w="4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AI Management Systems — Requirements</w:t>
            </w:r>
          </w:p>
        </w:tc>
        <w:tc>
          <w:tcPr>
            <w:tcW w:type="dxa" w:w="2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AIMS standard; this policy satisfies applicable clause requirements</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ISO/IEC 27001:2022</w:t>
            </w:r>
          </w:p>
        </w:tc>
        <w:tc>
          <w:tcPr>
            <w:tcW w:type="dxa" w:w="4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Information Security Management Systems</w:t>
            </w:r>
          </w:p>
        </w:tc>
        <w:tc>
          <w:tcPr>
            <w:tcW w:type="dxa" w:w="2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AI security controls integrated with ISMS</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NIST SP 800-53 Rev 5</w:t>
            </w:r>
          </w:p>
        </w:tc>
        <w:tc>
          <w:tcPr>
            <w:tcW w:type="dxa" w:w="4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Security and Privacy Controls for Federal Information Systems</w:t>
            </w:r>
          </w:p>
        </w:tc>
        <w:tc>
          <w:tcPr>
            <w:tcW w:type="dxa" w:w="2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Control baseline for AI system security (where applicable)</w:t>
            </w:r>
          </w:p>
        </w:tc>
      </w:tr>
    </w:tbl>
    <w:p>
      <w:pPr>
        <w:spacing w:after="80" w:before="0"/>
      </w:pPr>
      <w:r>
        <w:t xml:space="preserve"/>
      </w:r>
    </w:p>
    <w:p>
      <w:pPr>
        <w:spacing w:after="80" w:before="60"/>
        <w:jc w:val="both"/>
      </w:pPr>
      <w:r>
        <w:rPr>
          <w:rFonts w:ascii="Arial" w:cs="Arial" w:eastAsia="Arial" w:hAnsi="Arial"/>
          <w:color w:val="1A2340"/>
          <w:sz w:val="22"/>
          <w:szCs w:val="22"/>
        </w:rPr>
        <w:t xml:space="preserve">Regulatory References: [CUSTOMIZE TO ORGANIZATION — e.g.: GDPR (EU 2016/679); CCPA/CPRA; PIPEDA; HIPAA; PCI DSS v4.0; Colorado AI Act; EU AI Act — list all applicable laws for the Organization's jurisdiction and sector].</w:t>
      </w:r>
    </w:p>
    <w:p>
      <w:r>
        <w:br w:type="page"/>
      </w:r>
    </w:p>
    <w:p>
      <w:pPr>
        <w:pStyle w:val="Heading1"/>
        <w:pBdr>
          <w:bottom w:val="single" w:color="07B4D9" w:sz="8" w:space="4"/>
        </w:pBdr>
        <w:spacing w:after="120" w:before="400"/>
      </w:pPr>
      <w:bookmarkStart w:name="s10" w:id="51"/>
      <w:r>
        <w:rPr>
          <w:rFonts w:ascii="Arial" w:cs="Arial" w:eastAsia="Arial" w:hAnsi="Arial"/>
          <w:b/>
          <w:bCs/>
          <w:color w:val="152168"/>
          <w:sz w:val="30"/>
          <w:szCs w:val="30"/>
        </w:rPr>
        <w:t xml:space="preserve">10. Document Control and Revision History</w:t>
      </w:r>
      <w:bookmarkEnd w:id="52"/>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80"/>
        <w:gridCol w:w="1440"/>
        <w:gridCol w:w="2400"/>
        <w:gridCol w:w="2400"/>
        <w:gridCol w:w="2040"/>
      </w:tblGrid>
      <w:tr>
        <w:tc>
          <w:tcPr>
            <w:tcW w:type="dxa" w:w="108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Version</w:t>
            </w:r>
          </w:p>
        </w:tc>
        <w:tc>
          <w:tcPr>
            <w:tcW w:type="dxa" w:w="144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Date</w:t>
            </w:r>
          </w:p>
        </w:tc>
        <w:tc>
          <w:tcPr>
            <w:tcW w:type="dxa" w:w="2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Author</w:t>
            </w:r>
          </w:p>
        </w:tc>
        <w:tc>
          <w:tcPr>
            <w:tcW w:type="dxa" w:w="2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Approved By</w:t>
            </w:r>
          </w:p>
        </w:tc>
        <w:tc>
          <w:tcPr>
            <w:tcW w:type="dxa" w:w="204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Description</w:t>
            </w:r>
          </w:p>
        </w:tc>
      </w:tr>
      <w:tr>
        <w:tc>
          <w:tcPr>
            <w:tcW w:type="dxa" w:w="10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1.0</w:t>
            </w:r>
          </w:p>
        </w:tc>
        <w:tc>
          <w:tcPr>
            <w:tcW w:type="dxa" w:w="1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June 2026</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[AUTHOR NAME]</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[AIGC / APPROVER]</w:t>
            </w:r>
          </w:p>
        </w:tc>
        <w:tc>
          <w:tcPr>
            <w:tcW w:type="dxa" w:w="20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Initial draft — template release.</w:t>
            </w:r>
          </w:p>
        </w:tc>
      </w:tr>
      <w:tr>
        <w:tc>
          <w:tcPr>
            <w:tcW w:type="dxa" w:w="10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20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bl>
    <w:p>
      <w:pPr>
        <w:spacing w:after="80" w:before="0"/>
      </w:pPr>
      <w:r>
        <w:t xml:space="preserve"/>
      </w:r>
    </w:p>
    <w:p>
      <w:pPr>
        <w:spacing w:after="80" w:before="60"/>
        <w:jc w:val="both"/>
      </w:pPr>
      <w:r>
        <w:rPr>
          <w:rFonts w:ascii="Arial" w:cs="Arial" w:eastAsia="Arial" w:hAnsi="Arial"/>
          <w:color w:val="1A2340"/>
          <w:sz w:val="22"/>
          <w:szCs w:val="22"/>
        </w:rPr>
        <w:t xml:space="preserve">Document Owner: CISO / vCISO  |  Review Trigger: Annual, or upon material AI incident, regulatory change, or significant tool portfolio change  |  Next Scheduled Review: [DATE + 12 MONTHS FROM EFFECTIVE DATE]</w:t>
      </w:r>
    </w:p>
    <w:p>
      <w:r>
        <w:br w:type="page"/>
      </w:r>
    </w:p>
    <w:p>
      <w:pPr>
        <w:pStyle w:val="Heading1"/>
        <w:pBdr>
          <w:bottom w:val="single" w:color="07B4D9" w:sz="8" w:space="4"/>
        </w:pBdr>
        <w:spacing w:after="120" w:before="400"/>
      </w:pPr>
      <w:bookmarkStart w:name="appA" w:id="53"/>
      <w:r>
        <w:rPr>
          <w:rFonts w:ascii="Arial" w:cs="Arial" w:eastAsia="Arial" w:hAnsi="Arial"/>
          <w:b/>
          <w:bCs/>
          <w:color w:val="152168"/>
          <w:sz w:val="30"/>
          <w:szCs w:val="30"/>
        </w:rPr>
        <w:t xml:space="preserve">Appendix A — AI Use Case Classification Matrix</w:t>
      </w:r>
      <w:bookmarkEnd w:id="54"/>
    </w:p>
    <w:p>
      <w:pPr>
        <w:spacing w:after="80" w:before="60"/>
        <w:jc w:val="both"/>
      </w:pPr>
      <w:r>
        <w:rPr>
          <w:rFonts w:ascii="Arial" w:cs="Arial" w:eastAsia="Arial" w:hAnsi="Arial"/>
          <w:color w:val="1A2340"/>
          <w:sz w:val="22"/>
          <w:szCs w:val="22"/>
        </w:rPr>
        <w:t xml:space="preserve">Use this matrix to determine the impact classification of any AI use case. Apply the highest applicable classification tier where multiple criteria are met.</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2360"/>
      </w:tblGrid>
      <w:tr>
        <w:tc>
          <w:tcPr>
            <w:tcW w:type="dxa" w:w="18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Classification</w:t>
            </w:r>
          </w:p>
        </w:tc>
        <w:tc>
          <w:tcPr>
            <w:tcW w:type="dxa" w:w="28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Applicable When...</w:t>
            </w:r>
          </w:p>
        </w:tc>
        <w:tc>
          <w:tcPr>
            <w:tcW w:type="dxa" w:w="2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Examples</w:t>
            </w:r>
          </w:p>
        </w:tc>
        <w:tc>
          <w:tcPr>
            <w:tcW w:type="dxa" w:w="23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Required Controls</w:t>
            </w:r>
          </w:p>
        </w:tc>
      </w:tr>
      <w:tr>
        <w:tc>
          <w:tcPr>
            <w:tcW w:type="dxa" w:w="18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Standard</w:t>
            </w:r>
          </w:p>
        </w:tc>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AI assists with internal productivity; output does not drive consequential decisions; data inputs are public or low-sensitivity.</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Drafting internal emails; summarizing public research; generating job descriptions.</w:t>
            </w:r>
          </w:p>
        </w:tc>
        <w:tc>
          <w:tcPr>
            <w:tcW w:type="dxa" w:w="2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Approved tool; training; human review before use.</w:t>
            </w:r>
          </w:p>
        </w:tc>
      </w:tr>
      <w:tr>
        <w:tc>
          <w:tcPr>
            <w:tcW w:type="dxa" w:w="1800"/>
            <w:tcBorders>
              <w:top w:val="single" w:color="DDE3EF" w:sz="4"/>
              <w:left w:val="single" w:color="DDE3EF" w:sz="4"/>
              <w:bottom w:val="single" w:color="DDE3EF" w:sz="4"/>
              <w:right w:val="single" w:color="DDE3EF" w:sz="4"/>
            </w:tcBorders>
            <w:shd w:fill="FFF7E6"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Elevated</w:t>
            </w:r>
          </w:p>
        </w:tc>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AI output influences operational or departmental decisions; inputs include Moderate/High sensitivity data; output sent to customers or partners.</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Customer communication drafts; HR policy drafts; financial summaries (sanitized); marketing content.</w:t>
            </w:r>
          </w:p>
        </w:tc>
        <w:tc>
          <w:tcPr>
            <w:tcW w:type="dxa" w:w="2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All Standard + data sanitization per Appendix B; documented oversight workflow; AI System Owner designation.</w:t>
            </w:r>
          </w:p>
        </w:tc>
      </w:tr>
      <w:tr>
        <w:tc>
          <w:tcPr>
            <w:tcW w:type="dxa" w:w="18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High-Impact</w:t>
            </w:r>
          </w:p>
        </w:tc>
        <w:tc>
          <w:tcPr>
            <w:tcW w:type="dxa" w:w="28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AI output directly drives or materially influences employment, financial, legal, safety, or rights-affecting decisions; agentic AI with broad action scope; processing personal data at scale.</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Automated hiring screening; fraud detection; dynamic pricing at scale; regulatory filings.</w:t>
            </w:r>
          </w:p>
        </w:tc>
        <w:tc>
          <w:tcPr>
            <w:tcW w:type="dxa" w:w="2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All Elevated + AI Impact Assessment; AIGC approval; ongoing monitoring; periodic re-assessment; legal review.</w:t>
            </w:r>
          </w:p>
        </w:tc>
      </w:tr>
    </w:tbl>
    <w:p>
      <w:pPr>
        <w:spacing w:after="80" w:before="0"/>
      </w:pPr>
      <w:r>
        <w:t xml:space="preserve"/>
      </w:r>
    </w:p>
    <w:p>
      <w:pPr>
        <w:spacing w:after="60" w:before="40"/>
        <w:jc w:val="both"/>
      </w:pPr>
      <w:r>
        <w:rPr>
          <w:rFonts w:ascii="Arial" w:cs="Arial" w:eastAsia="Arial" w:hAnsi="Arial"/>
          <w:i/>
          <w:iCs/>
          <w:color w:val="5A6A8A"/>
          <w:sz w:val="19"/>
          <w:szCs w:val="19"/>
        </w:rPr>
        <w:t xml:space="preserve">New use cases that cannot be readily classified should be submitted to the CISO / vCISO for classification determination. When in doubt, apply the next higher classification tier.</w:t>
      </w:r>
    </w:p>
    <w:p>
      <w:r>
        <w:br w:type="page"/>
      </w:r>
    </w:p>
    <w:p>
      <w:pPr>
        <w:pStyle w:val="Heading1"/>
        <w:pBdr>
          <w:bottom w:val="single" w:color="07B4D9" w:sz="8" w:space="4"/>
        </w:pBdr>
        <w:spacing w:after="120" w:before="400"/>
      </w:pPr>
      <w:bookmarkStart w:name="appB" w:id="55"/>
      <w:r>
        <w:rPr>
          <w:rFonts w:ascii="Arial" w:cs="Arial" w:eastAsia="Arial" w:hAnsi="Arial"/>
          <w:b/>
          <w:bCs/>
          <w:color w:val="152168"/>
          <w:sz w:val="30"/>
          <w:szCs w:val="30"/>
        </w:rPr>
        <w:t xml:space="preserve">Appendix B — Data Input Classification Quick Reference</w:t>
      </w:r>
      <w:bookmarkEnd w:id="56"/>
    </w:p>
    <w:p>
      <w:pPr>
        <w:spacing w:after="80" w:before="60"/>
        <w:jc w:val="both"/>
      </w:pPr>
      <w:r>
        <w:rPr>
          <w:rFonts w:ascii="Arial" w:cs="Arial" w:eastAsia="Arial" w:hAnsi="Arial"/>
          <w:color w:val="1A2340"/>
          <w:sz w:val="22"/>
          <w:szCs w:val="22"/>
        </w:rPr>
        <w:t xml:space="preserve">Apply this table before entering any organizational data into any AI tool. Where a data type is not listed, default to the Sanitize First tier and consult the CISO / vCISO.</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2160"/>
        <w:gridCol w:w="1200"/>
      </w:tblGrid>
      <w:tr>
        <w:tc>
          <w:tcPr>
            <w:tcW w:type="dxa" w:w="2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Data Type</w:t>
            </w:r>
          </w:p>
        </w:tc>
        <w:tc>
          <w:tcPr>
            <w:tcW w:type="dxa" w:w="1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Direct Entry</w:t>
            </w:r>
          </w:p>
        </w:tc>
        <w:tc>
          <w:tcPr>
            <w:tcW w:type="dxa" w:w="1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Sanitize First</w:t>
            </w:r>
          </w:p>
        </w:tc>
        <w:tc>
          <w:tcPr>
            <w:tcW w:type="dxa" w:w="1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Prohibited</w:t>
            </w:r>
          </w:p>
        </w:tc>
        <w:tc>
          <w:tcPr>
            <w:tcW w:type="dxa" w:w="216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Required Masking Action</w:t>
            </w:r>
          </w:p>
        </w:tc>
        <w:tc>
          <w:tcPr>
            <w:tcW w:type="dxa" w:w="1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Risk</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Public statistics and publicly available research</w:t>
            </w:r>
          </w:p>
        </w:tc>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w:t>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No masking required.</w:t>
            </w:r>
          </w:p>
        </w:tc>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18"/>
                <w:szCs w:val="18"/>
              </w:rPr>
              <w:t xml:space="preserve">Low</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Generic internal SOPs (no client/employee references)</w:t>
            </w:r>
          </w:p>
        </w:tc>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w:t>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No masking required.</w:t>
            </w:r>
          </w:p>
        </w:tc>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18"/>
                <w:szCs w:val="18"/>
              </w:rPr>
              <w:t xml:space="preserve">Low</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Job descriptions and publicly posted roles</w:t>
            </w:r>
          </w:p>
        </w:tc>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w:t>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No masking required.</w:t>
            </w:r>
          </w:p>
        </w:tc>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18"/>
                <w:szCs w:val="18"/>
              </w:rPr>
              <w:t xml:space="preserve">Low</w:t>
            </w:r>
          </w:p>
        </w:tc>
      </w:tr>
      <w:tr>
        <w:tc>
          <w:tcPr>
            <w:tcW w:type="dxa" w:w="24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Public marketing and brand content</w:t>
            </w:r>
          </w:p>
        </w:tc>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w:t>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No masking required.</w:t>
            </w:r>
          </w:p>
        </w:tc>
        <w:tc>
          <w:tcPr>
            <w:tcW w:type="dxa" w:w="12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18"/>
                <w:szCs w:val="18"/>
              </w:rPr>
              <w:t xml:space="preserve">Low</w:t>
            </w:r>
          </w:p>
        </w:tc>
      </w:tr>
      <w:tr>
        <w:tc>
          <w:tcPr>
            <w:tcW w:type="dxa" w:w="2400"/>
            <w:tcBorders>
              <w:top w:val="single" w:color="DDE3EF" w:sz="4"/>
              <w:left w:val="single" w:color="DDE3EF" w:sz="4"/>
              <w:bottom w:val="single" w:color="DDE3EF" w:sz="4"/>
              <w:right w:val="single" w:color="DDE3EF" w:sz="4"/>
            </w:tcBorders>
            <w:shd w:fill="FFF7E6"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Internal business strategy and non-public plans</w:t>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FF7E6"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w:t>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Replace org name with [ORG_A]; remove financial figures.</w:t>
            </w:r>
          </w:p>
        </w:tc>
        <w:tc>
          <w:tcPr>
            <w:tcW w:type="dxa" w:w="1200"/>
            <w:tcBorders>
              <w:top w:val="single" w:color="DDE3EF" w:sz="4"/>
              <w:left w:val="single" w:color="DDE3EF" w:sz="4"/>
              <w:bottom w:val="single" w:color="DDE3EF" w:sz="4"/>
              <w:right w:val="single" w:color="DDE3EF" w:sz="4"/>
            </w:tcBorders>
            <w:shd w:fill="FFF7E6" w:val="clear"/>
            <w:tcMar>
              <w:top w:type="dxa" w:w="80"/>
              <w:left w:type="dxa" w:w="120"/>
              <w:bottom w:type="dxa" w:w="80"/>
              <w:right w:type="dxa" w:w="120"/>
            </w:tcMar>
            <w:vAlign w:val="top"/>
          </w:tcPr>
          <w:p>
            <w:r>
              <w:rPr>
                <w:rFonts w:ascii="Arial" w:cs="Arial" w:eastAsia="Arial" w:hAnsi="Arial"/>
                <w:b/>
                <w:bCs/>
                <w:i w:val="false"/>
                <w:iCs w:val="false"/>
                <w:color w:val="1A2340"/>
                <w:sz w:val="18"/>
                <w:szCs w:val="18"/>
              </w:rPr>
              <w:t xml:space="preserve">Moderate</w:t>
            </w:r>
          </w:p>
        </w:tc>
      </w:tr>
      <w:tr>
        <w:tc>
          <w:tcPr>
            <w:tcW w:type="dxa" w:w="2400"/>
            <w:tcBorders>
              <w:top w:val="single" w:color="DDE3EF" w:sz="4"/>
              <w:left w:val="single" w:color="DDE3EF" w:sz="4"/>
              <w:bottom w:val="single" w:color="DDE3EF" w:sz="4"/>
              <w:right w:val="single" w:color="DDE3EF" w:sz="4"/>
            </w:tcBorders>
            <w:shd w:fill="FFF7E6"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Client / customer name or contact details</w:t>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FF7E6"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w:t>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Replace with CLIENT_A, CLIENT_B, etc.</w:t>
            </w:r>
          </w:p>
        </w:tc>
        <w:tc>
          <w:tcPr>
            <w:tcW w:type="dxa" w:w="1200"/>
            <w:tcBorders>
              <w:top w:val="single" w:color="DDE3EF" w:sz="4"/>
              <w:left w:val="single" w:color="DDE3EF" w:sz="4"/>
              <w:bottom w:val="single" w:color="DDE3EF" w:sz="4"/>
              <w:right w:val="single" w:color="DDE3EF" w:sz="4"/>
            </w:tcBorders>
            <w:shd w:fill="FFF7E6" w:val="clear"/>
            <w:tcMar>
              <w:top w:type="dxa" w:w="80"/>
              <w:left w:type="dxa" w:w="120"/>
              <w:bottom w:type="dxa" w:w="80"/>
              <w:right w:type="dxa" w:w="120"/>
            </w:tcMar>
            <w:vAlign w:val="top"/>
          </w:tcPr>
          <w:p>
            <w:r>
              <w:rPr>
                <w:rFonts w:ascii="Arial" w:cs="Arial" w:eastAsia="Arial" w:hAnsi="Arial"/>
                <w:b/>
                <w:bCs/>
                <w:i w:val="false"/>
                <w:iCs w:val="false"/>
                <w:color w:val="1A2340"/>
                <w:sz w:val="18"/>
                <w:szCs w:val="18"/>
              </w:rPr>
              <w:t xml:space="preserve">Moderate</w:t>
            </w:r>
          </w:p>
        </w:tc>
      </w:tr>
      <w:tr>
        <w:tc>
          <w:tcPr>
            <w:tcW w:type="dxa" w:w="2400"/>
            <w:tcBorders>
              <w:top w:val="single" w:color="DDE3EF" w:sz="4"/>
              <w:left w:val="single" w:color="DDE3EF" w:sz="4"/>
              <w:bottom w:val="single" w:color="DDE3EF" w:sz="4"/>
              <w:right w:val="single" w:color="DDE3EF" w:sz="4"/>
            </w:tcBorders>
            <w:shd w:fill="FFF7E6"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Employee name</w:t>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FF7E6"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w:t>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Replace with EMPLOYEE_A, EMPLOYEE_B, etc.</w:t>
            </w:r>
          </w:p>
        </w:tc>
        <w:tc>
          <w:tcPr>
            <w:tcW w:type="dxa" w:w="1200"/>
            <w:tcBorders>
              <w:top w:val="single" w:color="DDE3EF" w:sz="4"/>
              <w:left w:val="single" w:color="DDE3EF" w:sz="4"/>
              <w:bottom w:val="single" w:color="DDE3EF" w:sz="4"/>
              <w:right w:val="single" w:color="DDE3EF" w:sz="4"/>
            </w:tcBorders>
            <w:shd w:fill="FFF7E6" w:val="clear"/>
            <w:tcMar>
              <w:top w:type="dxa" w:w="80"/>
              <w:left w:type="dxa" w:w="120"/>
              <w:bottom w:type="dxa" w:w="80"/>
              <w:right w:type="dxa" w:w="120"/>
            </w:tcMar>
            <w:vAlign w:val="top"/>
          </w:tcPr>
          <w:p>
            <w:r>
              <w:rPr>
                <w:rFonts w:ascii="Arial" w:cs="Arial" w:eastAsia="Arial" w:hAnsi="Arial"/>
                <w:b/>
                <w:bCs/>
                <w:i w:val="false"/>
                <w:iCs w:val="false"/>
                <w:color w:val="1A2340"/>
                <w:sz w:val="18"/>
                <w:szCs w:val="18"/>
              </w:rPr>
              <w:t xml:space="preserve">Moderate</w:t>
            </w:r>
          </w:p>
        </w:tc>
      </w:tr>
      <w:tr>
        <w:tc>
          <w:tcPr>
            <w:tcW w:type="dxa" w:w="2400"/>
            <w:tcBorders>
              <w:top w:val="single" w:color="DDE3EF" w:sz="4"/>
              <w:left w:val="single" w:color="DDE3EF" w:sz="4"/>
              <w:bottom w:val="single" w:color="DDE3EF" w:sz="4"/>
              <w:right w:val="single" w:color="DDE3EF" w:sz="4"/>
            </w:tcBorders>
            <w:shd w:fill="FFF7E6"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Internal IP address or system identifier</w:t>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FF7E6"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w:t>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Replace with [IP_REDACTED] or SYSTEM_01.</w:t>
            </w:r>
          </w:p>
        </w:tc>
        <w:tc>
          <w:tcPr>
            <w:tcW w:type="dxa" w:w="1200"/>
            <w:tcBorders>
              <w:top w:val="single" w:color="DDE3EF" w:sz="4"/>
              <w:left w:val="single" w:color="DDE3EF" w:sz="4"/>
              <w:bottom w:val="single" w:color="DDE3EF" w:sz="4"/>
              <w:right w:val="single" w:color="DDE3EF" w:sz="4"/>
            </w:tcBorders>
            <w:shd w:fill="FFF7E6" w:val="clear"/>
            <w:tcMar>
              <w:top w:type="dxa" w:w="80"/>
              <w:left w:type="dxa" w:w="120"/>
              <w:bottom w:type="dxa" w:w="80"/>
              <w:right w:type="dxa" w:w="120"/>
            </w:tcMar>
            <w:vAlign w:val="top"/>
          </w:tcPr>
          <w:p>
            <w:r>
              <w:rPr>
                <w:rFonts w:ascii="Arial" w:cs="Arial" w:eastAsia="Arial" w:hAnsi="Arial"/>
                <w:b/>
                <w:bCs/>
                <w:i w:val="false"/>
                <w:iCs w:val="false"/>
                <w:color w:val="1A2340"/>
                <w:sz w:val="18"/>
                <w:szCs w:val="18"/>
              </w:rPr>
              <w:t xml:space="preserve">Moderate</w:t>
            </w:r>
          </w:p>
        </w:tc>
      </w:tr>
      <w:tr>
        <w:tc>
          <w:tcPr>
            <w:tcW w:type="dxa" w:w="2400"/>
            <w:tcBorders>
              <w:top w:val="single" w:color="DDE3EF" w:sz="4"/>
              <w:left w:val="single" w:color="DDE3EF" w:sz="4"/>
              <w:bottom w:val="single" w:color="DDE3EF" w:sz="4"/>
              <w:right w:val="single" w:color="DDE3EF" w:sz="4"/>
            </w:tcBorders>
            <w:shd w:fill="FFF7E6"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Vendor name (if pricing or terms included)</w:t>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FF7E6"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w:t>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Replace with VENDOR_A.</w:t>
            </w:r>
          </w:p>
        </w:tc>
        <w:tc>
          <w:tcPr>
            <w:tcW w:type="dxa" w:w="1200"/>
            <w:tcBorders>
              <w:top w:val="single" w:color="DDE3EF" w:sz="4"/>
              <w:left w:val="single" w:color="DDE3EF" w:sz="4"/>
              <w:bottom w:val="single" w:color="DDE3EF" w:sz="4"/>
              <w:right w:val="single" w:color="DDE3EF" w:sz="4"/>
            </w:tcBorders>
            <w:shd w:fill="FFF7E6" w:val="clear"/>
            <w:tcMar>
              <w:top w:type="dxa" w:w="80"/>
              <w:left w:type="dxa" w:w="120"/>
              <w:bottom w:type="dxa" w:w="80"/>
              <w:right w:type="dxa" w:w="120"/>
            </w:tcMar>
            <w:vAlign w:val="top"/>
          </w:tcPr>
          <w:p>
            <w:r>
              <w:rPr>
                <w:rFonts w:ascii="Arial" w:cs="Arial" w:eastAsia="Arial" w:hAnsi="Arial"/>
                <w:b/>
                <w:bCs/>
                <w:i w:val="false"/>
                <w:iCs w:val="false"/>
                <w:color w:val="1A2340"/>
                <w:sz w:val="18"/>
                <w:szCs w:val="18"/>
              </w:rPr>
              <w:t xml:space="preserve">Moderate</w:t>
            </w:r>
          </w:p>
        </w:tc>
      </w:tr>
      <w:tr>
        <w:tc>
          <w:tcPr>
            <w:tcW w:type="dxa" w:w="24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Financial performance data (revenue, P&amp;L)</w:t>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w:t>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NEVER ENTER — Zero Tolerance.</w:t>
            </w:r>
          </w:p>
        </w:tc>
        <w:tc>
          <w:tcPr>
            <w:tcW w:type="dxa" w:w="12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bCs/>
                <w:i w:val="false"/>
                <w:iCs w:val="false"/>
                <w:color w:val="1A2340"/>
                <w:sz w:val="18"/>
                <w:szCs w:val="18"/>
              </w:rPr>
              <w:t xml:space="preserve">High</w:t>
            </w:r>
          </w:p>
        </w:tc>
      </w:tr>
      <w:tr>
        <w:tc>
          <w:tcPr>
            <w:tcW w:type="dxa" w:w="24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Personal financial account details</w:t>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w:t>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NEVER ENTER — Zero Tolerance.</w:t>
            </w:r>
          </w:p>
        </w:tc>
        <w:tc>
          <w:tcPr>
            <w:tcW w:type="dxa" w:w="12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bCs/>
                <w:i w:val="false"/>
                <w:iCs w:val="false"/>
                <w:color w:val="1A2340"/>
                <w:sz w:val="18"/>
                <w:szCs w:val="18"/>
              </w:rPr>
              <w:t xml:space="preserve">Critical</w:t>
            </w:r>
          </w:p>
        </w:tc>
      </w:tr>
      <w:tr>
        <w:tc>
          <w:tcPr>
            <w:tcW w:type="dxa" w:w="24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Credit card / cardholder data (PAN, CVV)</w:t>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w:t>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NEVER ENTER — Zero Tolerance.</w:t>
            </w:r>
          </w:p>
        </w:tc>
        <w:tc>
          <w:tcPr>
            <w:tcW w:type="dxa" w:w="12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bCs/>
                <w:i w:val="false"/>
                <w:iCs w:val="false"/>
                <w:color w:val="1A2340"/>
                <w:sz w:val="18"/>
                <w:szCs w:val="18"/>
              </w:rPr>
              <w:t xml:space="preserve">Critical</w:t>
            </w:r>
          </w:p>
        </w:tc>
      </w:tr>
      <w:tr>
        <w:tc>
          <w:tcPr>
            <w:tcW w:type="dxa" w:w="24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Government-issued ID numbers (SSN, passport)</w:t>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w:t>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NEVER ENTER — Zero Tolerance.</w:t>
            </w:r>
          </w:p>
        </w:tc>
        <w:tc>
          <w:tcPr>
            <w:tcW w:type="dxa" w:w="12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bCs/>
                <w:i w:val="false"/>
                <w:iCs w:val="false"/>
                <w:color w:val="1A2340"/>
                <w:sz w:val="18"/>
                <w:szCs w:val="18"/>
              </w:rPr>
              <w:t xml:space="preserve">Critical</w:t>
            </w:r>
          </w:p>
        </w:tc>
      </w:tr>
      <w:tr>
        <w:tc>
          <w:tcPr>
            <w:tcW w:type="dxa" w:w="24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Health or medical information</w:t>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w:t>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NEVER ENTER — Zero Tolerance.</w:t>
            </w:r>
          </w:p>
        </w:tc>
        <w:tc>
          <w:tcPr>
            <w:tcW w:type="dxa" w:w="12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bCs/>
                <w:i w:val="false"/>
                <w:iCs w:val="false"/>
                <w:color w:val="1A2340"/>
                <w:sz w:val="18"/>
                <w:szCs w:val="18"/>
              </w:rPr>
              <w:t xml:space="preserve">Critical</w:t>
            </w:r>
          </w:p>
        </w:tc>
      </w:tr>
      <w:tr>
        <w:tc>
          <w:tcPr>
            <w:tcW w:type="dxa" w:w="24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Authentication credentials (passwords, API keys)</w:t>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w:t>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NEVER ENTER — Zero Tolerance.</w:t>
            </w:r>
          </w:p>
        </w:tc>
        <w:tc>
          <w:tcPr>
            <w:tcW w:type="dxa" w:w="12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bCs/>
                <w:i w:val="false"/>
                <w:iCs w:val="false"/>
                <w:color w:val="1A2340"/>
                <w:sz w:val="18"/>
                <w:szCs w:val="18"/>
              </w:rPr>
              <w:t xml:space="preserve">Critical</w:t>
            </w:r>
          </w:p>
        </w:tc>
      </w:tr>
      <w:tr>
        <w:tc>
          <w:tcPr>
            <w:tcW w:type="dxa" w:w="24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Wire transfer instructions / banking details</w:t>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w:t>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NEVER ENTER — Zero Tolerance.</w:t>
            </w:r>
          </w:p>
        </w:tc>
        <w:tc>
          <w:tcPr>
            <w:tcW w:type="dxa" w:w="12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bCs/>
                <w:i w:val="false"/>
                <w:iCs w:val="false"/>
                <w:color w:val="1A2340"/>
                <w:sz w:val="18"/>
                <w:szCs w:val="18"/>
              </w:rPr>
              <w:t xml:space="preserve">Critical</w:t>
            </w:r>
          </w:p>
        </w:tc>
      </w:tr>
      <w:tr>
        <w:tc>
          <w:tcPr>
            <w:tcW w:type="dxa" w:w="24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MFA seeds or recovery codes</w:t>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w:t>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NEVER ENTER — Zero Tolerance.</w:t>
            </w:r>
          </w:p>
        </w:tc>
        <w:tc>
          <w:tcPr>
            <w:tcW w:type="dxa" w:w="12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bCs/>
                <w:i w:val="false"/>
                <w:iCs w:val="false"/>
                <w:color w:val="1A2340"/>
                <w:sz w:val="18"/>
                <w:szCs w:val="18"/>
              </w:rPr>
              <w:t xml:space="preserve">Critical</w:t>
            </w:r>
          </w:p>
        </w:tc>
      </w:tr>
      <w:tr>
        <w:tc>
          <w:tcPr>
            <w:tcW w:type="dxa" w:w="24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Legal hold / active litigation materials</w:t>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w:t>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NEVER ENTER — Zero Tolerance.</w:t>
            </w:r>
          </w:p>
        </w:tc>
        <w:tc>
          <w:tcPr>
            <w:tcW w:type="dxa" w:w="12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bCs/>
                <w:i w:val="false"/>
                <w:iCs w:val="false"/>
                <w:color w:val="1A2340"/>
                <w:sz w:val="18"/>
                <w:szCs w:val="18"/>
              </w:rPr>
              <w:t xml:space="preserve">High</w:t>
            </w:r>
          </w:p>
        </w:tc>
      </w:tr>
      <w:tr>
        <w:tc>
          <w:tcPr>
            <w:tcW w:type="dxa" w:w="24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Signed management or shareholder agreements</w:t>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w:t>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NEVER ENTER — Zero Tolerance.</w:t>
            </w:r>
          </w:p>
        </w:tc>
        <w:tc>
          <w:tcPr>
            <w:tcW w:type="dxa" w:w="12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bCs/>
                <w:i w:val="false"/>
                <w:iCs w:val="false"/>
                <w:color w:val="1A2340"/>
                <w:sz w:val="18"/>
                <w:szCs w:val="18"/>
              </w:rPr>
              <w:t xml:space="preserve">High</w:t>
            </w:r>
          </w:p>
        </w:tc>
      </w:tr>
      <w:tr>
        <w:tc>
          <w:tcPr>
            <w:tcW w:type="dxa" w:w="24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Live incident evidence / forensic data</w:t>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w:t>
            </w:r>
          </w:p>
        </w:tc>
        <w:tc>
          <w:tcPr>
            <w:tcW w:type="dxa" w:w="21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19"/>
                <w:szCs w:val="19"/>
              </w:rPr>
              <w:t xml:space="preserve">NEVER ENTER — Zero Tolerance.</w:t>
            </w:r>
          </w:p>
        </w:tc>
        <w:tc>
          <w:tcPr>
            <w:tcW w:type="dxa" w:w="1200"/>
            <w:tcBorders>
              <w:top w:val="single" w:color="DDE3EF" w:sz="4"/>
              <w:left w:val="single" w:color="DDE3EF" w:sz="4"/>
              <w:bottom w:val="single" w:color="DDE3EF" w:sz="4"/>
              <w:right w:val="single" w:color="DDE3EF" w:sz="4"/>
            </w:tcBorders>
            <w:shd w:fill="FEE2E2" w:val="clear"/>
            <w:tcMar>
              <w:top w:type="dxa" w:w="80"/>
              <w:left w:type="dxa" w:w="120"/>
              <w:bottom w:type="dxa" w:w="80"/>
              <w:right w:type="dxa" w:w="120"/>
            </w:tcMar>
            <w:vAlign w:val="top"/>
          </w:tcPr>
          <w:p>
            <w:r>
              <w:rPr>
                <w:rFonts w:ascii="Arial" w:cs="Arial" w:eastAsia="Arial" w:hAnsi="Arial"/>
                <w:b/>
                <w:bCs/>
                <w:i w:val="false"/>
                <w:iCs w:val="false"/>
                <w:color w:val="1A2340"/>
                <w:sz w:val="18"/>
                <w:szCs w:val="18"/>
              </w:rPr>
              <w:t xml:space="preserve">Critical</w:t>
            </w:r>
          </w:p>
        </w:tc>
      </w:tr>
    </w:tbl>
    <w:p>
      <w:pPr>
        <w:spacing w:after="80" w:before="0"/>
      </w:pPr>
      <w:r>
        <w:t xml:space="preserve"/>
      </w:r>
    </w:p>
    <w:p>
      <w:pPr>
        <w:spacing w:after="60" w:before="40"/>
        <w:jc w:val="both"/>
      </w:pPr>
      <w:r>
        <w:rPr>
          <w:rFonts w:ascii="Arial" w:cs="Arial" w:eastAsia="Arial" w:hAnsi="Arial"/>
          <w:i/>
          <w:iCs/>
          <w:color w:val="5A6A8A"/>
          <w:sz w:val="19"/>
          <w:szCs w:val="19"/>
        </w:rPr>
        <w:t xml:space="preserve">When in doubt: sanitize it. The cost of over-sanitization is trivial compared to the cost of a data exposure event.</w:t>
      </w:r>
    </w:p>
    <w:p>
      <w:r>
        <w:br w:type="page"/>
      </w:r>
    </w:p>
    <w:p>
      <w:pPr>
        <w:pStyle w:val="Heading1"/>
        <w:pBdr>
          <w:bottom w:val="single" w:color="07B4D9" w:sz="8" w:space="4"/>
        </w:pBdr>
        <w:spacing w:after="120" w:before="400"/>
      </w:pPr>
      <w:bookmarkStart w:name="appC" w:id="57"/>
      <w:r>
        <w:rPr>
          <w:rFonts w:ascii="Arial" w:cs="Arial" w:eastAsia="Arial" w:hAnsi="Arial"/>
          <w:b/>
          <w:bCs/>
          <w:color w:val="152168"/>
          <w:sz w:val="30"/>
          <w:szCs w:val="30"/>
        </w:rPr>
        <w:t xml:space="preserve">Appendix C — AI Impact Assessment (AIIA) Template</w:t>
      </w:r>
      <w:bookmarkEnd w:id="58"/>
    </w:p>
    <w:p>
      <w:pPr>
        <w:spacing w:after="60" w:before="40"/>
        <w:jc w:val="both"/>
      </w:pPr>
      <w:r>
        <w:rPr>
          <w:rFonts w:ascii="Arial" w:cs="Arial" w:eastAsia="Arial" w:hAnsi="Arial"/>
          <w:i/>
          <w:iCs/>
          <w:color w:val="5A6A8A"/>
          <w:sz w:val="19"/>
          <w:szCs w:val="19"/>
        </w:rPr>
        <w:t xml:space="preserve">This template is used to conduct AI Impact Assessments required for Elevated and High-Impact AI use cases per Section 6.3. Complete all sections before submitting to the AIGC for approval.</w:t>
      </w:r>
    </w:p>
    <w:p>
      <w:pPr>
        <w:spacing w:after="60" w:before="0"/>
      </w:pPr>
      <w:r>
        <w:t xml:space="preserve"/>
      </w:r>
    </w:p>
    <w:p>
      <w:pPr>
        <w:pStyle w:val="Heading3"/>
        <w:spacing w:after="60" w:before="220"/>
      </w:pPr>
      <w:r>
        <w:rPr>
          <w:rFonts w:ascii="Arial" w:cs="Arial" w:eastAsia="Arial" w:hAnsi="Arial"/>
          <w:b/>
          <w:bCs/>
          <w:color w:val="4F46E5"/>
          <w:sz w:val="23"/>
          <w:szCs w:val="23"/>
        </w:rPr>
        <w:t xml:space="preserve">PART 1: USE CASE IDENTIFICATION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Use Case Name</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Department / Business Unit</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AI System / Tool / Platform</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Subscription Tier / Account Type</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AI System Owner (Name and Title)</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Date of Assessment</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Assessor Name(s)</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Impact Classification (Standard / Elevated / High-Impact)</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bl>
    <w:p>
      <w:pPr>
        <w:spacing w:after="20" w:before="0"/>
      </w:pPr>
      <w:r>
        <w:t xml:space="preserve"/>
      </w:r>
    </w:p>
    <w:p>
      <w:pPr>
        <w:spacing w:after="60" w:before="0"/>
      </w:pPr>
      <w:r>
        <w:t xml:space="preserve"/>
      </w:r>
    </w:p>
    <w:p>
      <w:pPr>
        <w:pStyle w:val="Heading3"/>
        <w:spacing w:after="60" w:before="220"/>
      </w:pPr>
      <w:r>
        <w:rPr>
          <w:rFonts w:ascii="Arial" w:cs="Arial" w:eastAsia="Arial" w:hAnsi="Arial"/>
          <w:b/>
          <w:bCs/>
          <w:color w:val="4F46E5"/>
          <w:sz w:val="23"/>
          <w:szCs w:val="23"/>
        </w:rPr>
        <w:t xml:space="preserve">PART 2: AI SYSTEM DESCRIPTION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Describe the AI system and how it will be used</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Type of AI (generative, predictive, agentic, classification, etc.)</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What inputs will be provided to the AI?</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What outputs will be produced by the AI?</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Will the system take autonomous actions without human intervention? If yes, list all actions.</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Who will have access to the AI system?</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bl>
    <w:p>
      <w:pPr>
        <w:spacing w:after="20" w:before="0"/>
      </w:pPr>
      <w:r>
        <w:t xml:space="preserve"/>
      </w:r>
    </w:p>
    <w:p>
      <w:pPr>
        <w:spacing w:after="60" w:before="0"/>
      </w:pPr>
      <w:r>
        <w:t xml:space="preserve"/>
      </w:r>
    </w:p>
    <w:p>
      <w:pPr>
        <w:pStyle w:val="Heading3"/>
        <w:spacing w:after="60" w:before="220"/>
      </w:pPr>
      <w:r>
        <w:rPr>
          <w:rFonts w:ascii="Arial" w:cs="Arial" w:eastAsia="Arial" w:hAnsi="Arial"/>
          <w:b/>
          <w:bCs/>
          <w:color w:val="4F46E5"/>
          <w:sz w:val="23"/>
          <w:szCs w:val="23"/>
        </w:rPr>
        <w:t xml:space="preserve">PART 3: RISK ASSESSMENT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Technical risks (accuracy, reliability, hallucination risk)</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iCs/>
                <w:color w:val="1A2340"/>
                <w:sz w:val="20"/>
                <w:szCs w:val="20"/>
              </w:rPr>
              <w:t xml:space="preserve">Risk Rating: ☐ Low  ☐ Medium  ☐ High  ☐ Critical
Detail:</w:t>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Data sensitivity risks (input data sensitivity, residency, leakage potential)</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iCs/>
                <w:color w:val="1A2340"/>
                <w:sz w:val="20"/>
                <w:szCs w:val="20"/>
              </w:rPr>
              <w:t xml:space="preserve">Risk Rating: ☐ Low  ☐ Medium  ☐ High  ☐ Critical
Detail:</w:t>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Fairness and bias risks (potential discriminatory outputs, affected populations)</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iCs/>
                <w:color w:val="1A2340"/>
                <w:sz w:val="20"/>
                <w:szCs w:val="20"/>
              </w:rPr>
              <w:t xml:space="preserve">Risk Rating: ☐ Low  ☐ Medium  ☐ High  ☐ Critical
Detail:</w:t>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Privacy risks (personal data processing, regulatory exposure)</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iCs/>
                <w:color w:val="1A2340"/>
                <w:sz w:val="20"/>
                <w:szCs w:val="20"/>
              </w:rPr>
              <w:t xml:space="preserve">Risk Rating: ☐ Low  ☐ Medium  ☐ High  ☐ Critical
Detail:</w:t>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Operational risks (vendor dependency, continuity, integration failure)</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iCs/>
                <w:color w:val="1A2340"/>
                <w:sz w:val="20"/>
                <w:szCs w:val="20"/>
              </w:rPr>
              <w:t xml:space="preserve">Risk Rating: ☐ Low  ☐ Medium  ☐ High  ☐ Critical
Detail:</w:t>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Legal and regulatory risks (applicable laws, sector obligations)</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iCs/>
                <w:color w:val="1A2340"/>
                <w:sz w:val="20"/>
                <w:szCs w:val="20"/>
              </w:rPr>
              <w:t xml:space="preserve">Risk Rating: ☐ Low  ☐ Medium  ☐ High  ☐ Critical
Detail:</w:t>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Reputational risks (misuse potential, public perception, brand exposure)</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iCs/>
                <w:color w:val="1A2340"/>
                <w:sz w:val="20"/>
                <w:szCs w:val="20"/>
              </w:rPr>
              <w:t xml:space="preserve">Risk Rating: ☐ Low  ☐ Medium  ☐ High  ☐ Critical
Detail:</w:t>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OVERALL RISK LEVEL</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Low  ☐ Medium  ☐ High  ☐ Critical</w:t>
            </w:r>
          </w:p>
        </w:tc>
      </w:tr>
    </w:tbl>
    <w:p>
      <w:pPr>
        <w:spacing w:after="20" w:before="0"/>
      </w:pPr>
      <w:r>
        <w:t xml:space="preserve"/>
      </w:r>
    </w:p>
    <w:p>
      <w:pPr>
        <w:spacing w:after="60" w:before="0"/>
      </w:pPr>
      <w:r>
        <w:t xml:space="preserve"/>
      </w:r>
    </w:p>
    <w:p>
      <w:pPr>
        <w:pStyle w:val="Heading3"/>
        <w:spacing w:after="60" w:before="220"/>
      </w:pPr>
      <w:r>
        <w:rPr>
          <w:rFonts w:ascii="Arial" w:cs="Arial" w:eastAsia="Arial" w:hAnsi="Arial"/>
          <w:b/>
          <w:bCs/>
          <w:color w:val="4F46E5"/>
          <w:sz w:val="23"/>
          <w:szCs w:val="23"/>
        </w:rPr>
        <w:t xml:space="preserve">PART 4: CONTROLS AND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Human oversight mechanism and reviewer(s)</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Data sanitization and input controls applied</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DLP and monitoring controls in place</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Training requirements for users of this AI system</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Other compensating controls</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Residual risk after controls</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iCs/>
                <w:color w:val="1A2340"/>
                <w:sz w:val="20"/>
                <w:szCs w:val="20"/>
              </w:rPr>
              <w:t xml:space="preserve">Risk Rating: ☐ Low  ☐ Medium  ☐ High  ☐ Critical</w:t>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Is residual risk within approved organizational tolerance?</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Yes  ☐ No (AIGC risk acceptance required)</w:t>
            </w:r>
          </w:p>
        </w:tc>
      </w:tr>
    </w:tbl>
    <w:p>
      <w:pPr>
        <w:spacing w:after="20" w:before="0"/>
      </w:pPr>
      <w:r>
        <w:t xml:space="preserve"/>
      </w:r>
    </w:p>
    <w:p>
      <w:pPr>
        <w:spacing w:after="60" w:before="0"/>
      </w:pPr>
      <w:r>
        <w:t xml:space="preserve"/>
      </w:r>
    </w:p>
    <w:p>
      <w:pPr>
        <w:pStyle w:val="Heading3"/>
        <w:spacing w:after="60" w:before="220"/>
      </w:pPr>
      <w:r>
        <w:rPr>
          <w:rFonts w:ascii="Arial" w:cs="Arial" w:eastAsia="Arial" w:hAnsi="Arial"/>
          <w:b/>
          <w:bCs/>
          <w:color w:val="4F46E5"/>
          <w:sz w:val="23"/>
          <w:szCs w:val="23"/>
        </w:rPr>
        <w:t xml:space="preserve">PART 5: APPROVALS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AI System Owner sign-off</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iCs/>
                <w:color w:val="1A2340"/>
                <w:sz w:val="20"/>
                <w:szCs w:val="20"/>
              </w:rPr>
              <w:t xml:space="preserve">Name: _________________________  Date: ____________</w:t>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Department Head sign-off</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iCs/>
                <w:color w:val="1A2340"/>
                <w:sz w:val="20"/>
                <w:szCs w:val="20"/>
              </w:rPr>
              <w:t xml:space="preserve">Name: _________________________  Date: ____________</w:t>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CISO / vCISO recommendation</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iCs/>
                <w:color w:val="1A2340"/>
                <w:sz w:val="20"/>
                <w:szCs w:val="20"/>
              </w:rPr>
              <w:t xml:space="preserve">Name: _________________________  Date: ____________  ☐ Approve  ☐ Conditional  ☐ Deny</w:t>
            </w:r>
          </w:p>
        </w:tc>
      </w:tr>
    </w:tbl>
    <w:p>
      <w:pPr>
        <w:spacing w:after="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AIGC approval (required for Elevated and High-Impact)</w:t>
            </w:r>
          </w:p>
        </w:tc>
        <w:tc>
          <w:tcPr>
            <w:tcW w:type="dxa" w:w="636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iCs/>
                <w:color w:val="1A2340"/>
                <w:sz w:val="20"/>
                <w:szCs w:val="20"/>
              </w:rPr>
              <w:t xml:space="preserve">AIGC Chair: __________________  Date: ____________  ☐ Approved  ☐ Conditionally Approved  ☐ Denied</w:t>
            </w:r>
          </w:p>
        </w:tc>
      </w:tr>
    </w:tbl>
    <w:p>
      <w:pPr>
        <w:spacing w:after="20" w:before="0"/>
      </w:pPr>
      <w:r>
        <w:t xml:space="preserve"/>
      </w:r>
    </w:p>
    <w:p>
      <w:pPr>
        <w:spacing w:after="60" w:before="0"/>
      </w:pPr>
      <w:r>
        <w:t xml:space="preserve"/>
      </w:r>
    </w:p>
    <w:p>
      <w:r>
        <w:br w:type="page"/>
      </w:r>
    </w:p>
    <w:p>
      <w:pPr>
        <w:pStyle w:val="Heading1"/>
        <w:pBdr>
          <w:bottom w:val="single" w:color="07B4D9" w:sz="8" w:space="4"/>
        </w:pBdr>
        <w:spacing w:after="120" w:before="400"/>
      </w:pPr>
      <w:bookmarkStart w:name="appD" w:id="59"/>
      <w:r>
        <w:rPr>
          <w:rFonts w:ascii="Arial" w:cs="Arial" w:eastAsia="Arial" w:hAnsi="Arial"/>
          <w:b/>
          <w:bCs/>
          <w:color w:val="152168"/>
          <w:sz w:val="30"/>
          <w:szCs w:val="30"/>
        </w:rPr>
        <w:t xml:space="preserve">Appendix D — Approved AI Tools Register</w:t>
      </w:r>
      <w:bookmarkEnd w:id="60"/>
    </w:p>
    <w:p>
      <w:pPr>
        <w:spacing w:after="80" w:before="60"/>
        <w:jc w:val="both"/>
      </w:pPr>
      <w:r>
        <w:rPr>
          <w:rFonts w:ascii="Arial" w:cs="Arial" w:eastAsia="Arial" w:hAnsi="Arial"/>
          <w:color w:val="1A2340"/>
          <w:sz w:val="22"/>
          <w:szCs w:val="22"/>
        </w:rPr>
        <w:t xml:space="preserve">Authoritative list of AI tools, platforms, and subscriptions approved for use with organizational data. Maintained by the CISO / vCISO. Confirm current approval status before using any tool not listed here.</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80"/>
        <w:gridCol w:w="1200"/>
        <w:gridCol w:w="1200"/>
        <w:gridCol w:w="1440"/>
        <w:gridCol w:w="1600"/>
        <w:gridCol w:w="1120"/>
        <w:gridCol w:w="1120"/>
      </w:tblGrid>
      <w:tr>
        <w:tc>
          <w:tcPr>
            <w:tcW w:type="dxa" w:w="168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Tool / Platform</w:t>
            </w:r>
          </w:p>
        </w:tc>
        <w:tc>
          <w:tcPr>
            <w:tcW w:type="dxa" w:w="1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Vendor</w:t>
            </w:r>
          </w:p>
        </w:tc>
        <w:tc>
          <w:tcPr>
            <w:tcW w:type="dxa" w:w="12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Account Tier</w:t>
            </w:r>
          </w:p>
        </w:tc>
        <w:tc>
          <w:tcPr>
            <w:tcW w:type="dxa" w:w="144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Permitted Data Zone</w:t>
            </w:r>
          </w:p>
        </w:tc>
        <w:tc>
          <w:tcPr>
            <w:tcW w:type="dxa" w:w="16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Restrictions / Notes</w:t>
            </w:r>
          </w:p>
        </w:tc>
        <w:tc>
          <w:tcPr>
            <w:tcW w:type="dxa" w:w="112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DPA Signed</w:t>
            </w:r>
          </w:p>
        </w:tc>
        <w:tc>
          <w:tcPr>
            <w:tcW w:type="dxa" w:w="112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Next Review</w:t>
            </w:r>
          </w:p>
        </w:tc>
      </w:tr>
      <w:tr>
        <w:tc>
          <w:tcPr>
            <w:tcW w:type="dxa" w:w="168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iCs/>
                <w:color w:val="1A2340"/>
                <w:sz w:val="20"/>
                <w:szCs w:val="20"/>
              </w:rPr>
              <w:t xml:space="preserve">[To be completed by CISO / vCISO]</w:t>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r>
        <w:tc>
          <w:tcPr>
            <w:tcW w:type="dxa" w:w="1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r>
        <w:tc>
          <w:tcPr>
            <w:tcW w:type="dxa" w:w="168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2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44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6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c>
          <w:tcPr>
            <w:tcW w:type="dxa" w:w="1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
            </w:r>
          </w:p>
        </w:tc>
      </w:tr>
    </w:tbl>
    <w:p>
      <w:pPr>
        <w:spacing w:after="80" w:before="0"/>
      </w:pPr>
      <w:r>
        <w:t xml:space="preserve"/>
      </w:r>
    </w:p>
    <w:p>
      <w:pPr>
        <w:spacing w:after="60" w:before="40"/>
        <w:jc w:val="both"/>
      </w:pPr>
      <w:r>
        <w:rPr>
          <w:rFonts w:ascii="Arial" w:cs="Arial" w:eastAsia="Arial" w:hAnsi="Arial"/>
          <w:i/>
          <w:iCs/>
          <w:color w:val="5A6A8A"/>
          <w:sz w:val="19"/>
          <w:szCs w:val="19"/>
        </w:rPr>
        <w:t xml:space="preserve">All tools listed must satisfy the vendor requirements in Section 6.4.3 before appearing in this register. Approval is tier-specific — downgrading a subscription tier may invalidate approval.</w:t>
      </w:r>
    </w:p>
    <w:p>
      <w:r>
        <w:br w:type="page"/>
      </w:r>
    </w:p>
    <w:p>
      <w:pPr>
        <w:pStyle w:val="Heading1"/>
        <w:pBdr>
          <w:bottom w:val="single" w:color="07B4D9" w:sz="8" w:space="4"/>
        </w:pBdr>
        <w:spacing w:after="120" w:before="400"/>
      </w:pPr>
      <w:bookmarkStart w:name="appE" w:id="61"/>
      <w:r>
        <w:rPr>
          <w:rFonts w:ascii="Arial" w:cs="Arial" w:eastAsia="Arial" w:hAnsi="Arial"/>
          <w:b/>
          <w:bCs/>
          <w:color w:val="152168"/>
          <w:sz w:val="30"/>
          <w:szCs w:val="30"/>
        </w:rPr>
        <w:t xml:space="preserve">Appendix E — NIST AI RMF and ISO 42001 Compliance Mapping</w:t>
      </w:r>
      <w:bookmarkEnd w:id="62"/>
    </w:p>
    <w:p>
      <w:pPr>
        <w:spacing w:after="80" w:before="60"/>
        <w:jc w:val="both"/>
      </w:pPr>
      <w:r>
        <w:rPr>
          <w:rFonts w:ascii="Arial" w:cs="Arial" w:eastAsia="Arial" w:hAnsi="Arial"/>
          <w:color w:val="1A2340"/>
          <w:sz w:val="22"/>
          <w:szCs w:val="22"/>
        </w:rPr>
        <w:t xml:space="preserve">This table maps each major section of this policy to the relevant NIST AI RMF functions/subcategories and ISO/IEC 42001:2023 clauses, supporting audit and assurance activities.</w:t>
      </w:r>
    </w:p>
    <w:p>
      <w:pPr>
        <w:spacing w:after="4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40"/>
        <w:gridCol w:w="2400"/>
        <w:gridCol w:w="3000"/>
        <w:gridCol w:w="3120"/>
      </w:tblGrid>
      <w:tr>
        <w:tc>
          <w:tcPr>
            <w:tcW w:type="dxa" w:w="84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w:t>
            </w:r>
          </w:p>
        </w:tc>
        <w:tc>
          <w:tcPr>
            <w:tcW w:type="dxa" w:w="24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Policy Section</w:t>
            </w:r>
          </w:p>
        </w:tc>
        <w:tc>
          <w:tcPr>
            <w:tcW w:type="dxa" w:w="300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NIST AI RMF Subcategories</w:t>
            </w:r>
          </w:p>
        </w:tc>
        <w:tc>
          <w:tcPr>
            <w:tcW w:type="dxa" w:w="3120"/>
            <w:gridSpan w:val="1"/>
            <w:tcBorders>
              <w:top w:val="single" w:color="152168" w:sz="4"/>
              <w:left w:val="single" w:color="152168" w:sz="4"/>
              <w:bottom w:val="single" w:color="152168" w:sz="4"/>
              <w:right w:val="single" w:color="152168" w:sz="4"/>
            </w:tcBorders>
            <w:shd w:fill="152168" w:val="clear"/>
            <w:tcMar>
              <w:top w:type="dxa" w:w="80"/>
              <w:left w:type="dxa" w:w="120"/>
              <w:bottom w:type="dxa" w:w="80"/>
              <w:right w:type="dxa" w:w="120"/>
            </w:tcMar>
            <w:vAlign w:val="center"/>
          </w:tcPr>
          <w:p>
            <w:r>
              <w:rPr>
                <w:rFonts w:ascii="Arial" w:cs="Arial" w:eastAsia="Arial" w:hAnsi="Arial"/>
                <w:b/>
                <w:bCs/>
                <w:color w:val="FFFFFF"/>
                <w:sz w:val="19"/>
                <w:szCs w:val="19"/>
              </w:rPr>
              <w:t xml:space="preserve">ISO 42001:2023 Clauses</w:t>
            </w:r>
          </w:p>
        </w:tc>
      </w:tr>
      <w:tr>
        <w:tc>
          <w:tcPr>
            <w:tcW w:type="dxa" w:w="8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3</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Policy Statement</w:t>
            </w:r>
          </w:p>
        </w:tc>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GOVERN 1.1, 1.3, 1.5</w:t>
            </w:r>
          </w:p>
        </w:tc>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5.2 AI Policy</w:t>
            </w:r>
          </w:p>
        </w:tc>
      </w:tr>
      <w:tr>
        <w:tc>
          <w:tcPr>
            <w:tcW w:type="dxa" w:w="8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5.1</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AI Governance Committee</w:t>
            </w:r>
          </w:p>
        </w:tc>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GOVERN 1.2, 2.1, 2.2, 5.1, 6.1</w:t>
            </w:r>
          </w:p>
        </w:tc>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5.1 Leadership; 5.3 Roles; 9.3 Management Review</w:t>
            </w:r>
          </w:p>
        </w:tc>
      </w:tr>
      <w:tr>
        <w:tc>
          <w:tcPr>
            <w:tcW w:type="dxa" w:w="8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5.2</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CISO / vCISO</w:t>
            </w:r>
          </w:p>
        </w:tc>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GOVERN 5.2, 6.2</w:t>
            </w:r>
          </w:p>
        </w:tc>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5.3 Organizational Roles and Authorities</w:t>
            </w:r>
          </w:p>
        </w:tc>
      </w:tr>
      <w:tr>
        <w:tc>
          <w:tcPr>
            <w:tcW w:type="dxa" w:w="8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5.3–5.4</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System Owners / All Staff</w:t>
            </w:r>
          </w:p>
        </w:tc>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GOVERN 3.1, 3.2</w:t>
            </w:r>
          </w:p>
        </w:tc>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5.3 Roles; 7.2 Competence</w:t>
            </w:r>
          </w:p>
        </w:tc>
      </w:tr>
      <w:tr>
        <w:tc>
          <w:tcPr>
            <w:tcW w:type="dxa" w:w="8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6.1</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AI Governance Structure</w:t>
            </w:r>
          </w:p>
        </w:tc>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GOVERN 1.1, 1.2, 1.4, 2.1, 5.1, 6.1, 6.2</w:t>
            </w:r>
          </w:p>
        </w:tc>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4.1, 4.4, 5.1, 5.2, 5.3</w:t>
            </w:r>
          </w:p>
        </w:tc>
      </w:tr>
      <w:tr>
        <w:tc>
          <w:tcPr>
            <w:tcW w:type="dxa" w:w="8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6.2</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Use Case Inventory and Classification</w:t>
            </w:r>
          </w:p>
        </w:tc>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MAP 1.1, 1.5, 2.1, 2.2, 3.5, 5.1</w:t>
            </w:r>
          </w:p>
        </w:tc>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4.1, 6.1, 8.4 AI Impact Assessment</w:t>
            </w:r>
          </w:p>
        </w:tc>
      </w:tr>
      <w:tr>
        <w:tc>
          <w:tcPr>
            <w:tcW w:type="dxa" w:w="8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6.3</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AI Risk Assessment</w:t>
            </w:r>
          </w:p>
        </w:tc>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MAP 4.1, 4.2, 5.2; MEASURE 1.1, 1.3, 2.1, 2.5, 2.6, 2.9, 4.1; MANAGE 1.1</w:t>
            </w:r>
          </w:p>
        </w:tc>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6.1.2, 6.1.3, 8.2, 8.3, 8.4</w:t>
            </w:r>
          </w:p>
        </w:tc>
      </w:tr>
      <w:tr>
        <w:tc>
          <w:tcPr>
            <w:tcW w:type="dxa" w:w="8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6.4</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Approved Tools and Procurement</w:t>
            </w:r>
          </w:p>
        </w:tc>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GOVERN 1.1, 4.1, 4.2, 6.2; MAP 3.1, 3.2, 3.5; MANAGE 3.1, 3.2</w:t>
            </w:r>
          </w:p>
        </w:tc>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8.1, 8.3</w:t>
            </w:r>
          </w:p>
        </w:tc>
      </w:tr>
      <w:tr>
        <w:tc>
          <w:tcPr>
            <w:tcW w:type="dxa" w:w="8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6.5</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Data Classification and Input Controls</w:t>
            </w:r>
          </w:p>
        </w:tc>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MAP 1.6, 2.3; GOVERN 1.6; MEASURE 2.7</w:t>
            </w:r>
          </w:p>
        </w:tc>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8.2, 8.4, 8.7</w:t>
            </w:r>
          </w:p>
        </w:tc>
      </w:tr>
      <w:tr>
        <w:tc>
          <w:tcPr>
            <w:tcW w:type="dxa" w:w="8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6.6</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Acceptable Use</w:t>
            </w:r>
          </w:p>
        </w:tc>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GOVERN 1.1, 1.3, 1.5, 6.1; MAP 5.1, 5.2</w:t>
            </w:r>
          </w:p>
        </w:tc>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8.1, 8.5</w:t>
            </w:r>
          </w:p>
        </w:tc>
      </w:tr>
      <w:tr>
        <w:tc>
          <w:tcPr>
            <w:tcW w:type="dxa" w:w="8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6.7</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Human Oversight and Output Review</w:t>
            </w:r>
          </w:p>
        </w:tc>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GOVERN 1.5; MEASURE 2.5; MANAGE 2.2, 2.4, 4.1</w:t>
            </w:r>
          </w:p>
        </w:tc>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8.5, 8.6</w:t>
            </w:r>
          </w:p>
        </w:tc>
      </w:tr>
      <w:tr>
        <w:tc>
          <w:tcPr>
            <w:tcW w:type="dxa" w:w="8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6.8</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Transparency and Disclosure</w:t>
            </w:r>
          </w:p>
        </w:tc>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GOVERN 1.3, 1.5; MAP 1.1</w:t>
            </w:r>
          </w:p>
        </w:tc>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7.4, 8.5, 8.6</w:t>
            </w:r>
          </w:p>
        </w:tc>
      </w:tr>
      <w:tr>
        <w:tc>
          <w:tcPr>
            <w:tcW w:type="dxa" w:w="8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6.9</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Training and Awareness</w:t>
            </w:r>
          </w:p>
        </w:tc>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GOVERN 3.1, 3.2, 5.1</w:t>
            </w:r>
          </w:p>
        </w:tc>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7.2, 7.3, 7.4</w:t>
            </w:r>
          </w:p>
        </w:tc>
      </w:tr>
      <w:tr>
        <w:tc>
          <w:tcPr>
            <w:tcW w:type="dxa" w:w="8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6.10</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AI Incident Management</w:t>
            </w:r>
          </w:p>
        </w:tc>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MANAGE 2.2, 2.4, 3.1, 3.2, 4.1, 4.2</w:t>
            </w:r>
          </w:p>
        </w:tc>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8.8</w:t>
            </w:r>
          </w:p>
        </w:tc>
      </w:tr>
      <w:tr>
        <w:tc>
          <w:tcPr>
            <w:tcW w:type="dxa" w:w="8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6.11</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Monitoring and Audit</w:t>
            </w:r>
          </w:p>
        </w:tc>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MEASURE 1.1, 2.5, 2.8, 3.1, 3.2, 4.1; MANAGE 4.1, 4.2</w:t>
            </w:r>
          </w:p>
        </w:tc>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9.1, 9.2, 9.3</w:t>
            </w:r>
          </w:p>
        </w:tc>
      </w:tr>
      <w:tr>
        <w:tc>
          <w:tcPr>
            <w:tcW w:type="dxa" w:w="8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6.12</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Continual Improvement</w:t>
            </w:r>
          </w:p>
        </w:tc>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GOVERN 1.2; MEASURE 4.1; MANAGE 4.2</w:t>
            </w:r>
          </w:p>
        </w:tc>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10.1, 10.2</w:t>
            </w:r>
          </w:p>
        </w:tc>
      </w:tr>
      <w:tr>
        <w:tc>
          <w:tcPr>
            <w:tcW w:type="dxa" w:w="8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7</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Compliance and Enforcement</w:t>
            </w:r>
          </w:p>
        </w:tc>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GOVERN 1.2, 1.4</w:t>
            </w:r>
          </w:p>
        </w:tc>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7.5, 9.1</w:t>
            </w:r>
          </w:p>
        </w:tc>
      </w:tr>
      <w:tr>
        <w:tc>
          <w:tcPr>
            <w:tcW w:type="dxa" w:w="8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8</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Policy Exceptions</w:t>
            </w:r>
          </w:p>
        </w:tc>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MANAGE 1.1, 1.3, 2.4</w:t>
            </w:r>
          </w:p>
        </w:tc>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6.1, 6.1.3</w:t>
            </w:r>
          </w:p>
        </w:tc>
      </w:tr>
      <w:tr>
        <w:tc>
          <w:tcPr>
            <w:tcW w:type="dxa" w:w="8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App. A</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Use Case Classification Matrix</w:t>
            </w:r>
          </w:p>
        </w:tc>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MAP 1.1, 1.5, 2.1, 5.1</w:t>
            </w:r>
          </w:p>
        </w:tc>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8.4</w:t>
            </w:r>
          </w:p>
        </w:tc>
      </w:tr>
      <w:tr>
        <w:tc>
          <w:tcPr>
            <w:tcW w:type="dxa" w:w="8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App. B</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Data Input Classification</w:t>
            </w:r>
          </w:p>
        </w:tc>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MAP 2.3; GOVERN 1.6</w:t>
            </w:r>
          </w:p>
        </w:tc>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8.7</w:t>
            </w:r>
          </w:p>
        </w:tc>
      </w:tr>
      <w:tr>
        <w:tc>
          <w:tcPr>
            <w:tcW w:type="dxa" w:w="8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App. C</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AI Impact Assessment Template</w:t>
            </w:r>
          </w:p>
        </w:tc>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MAP 4.1, 4.2; MEASURE 1.1, 2.1, 2.9</w:t>
            </w:r>
          </w:p>
        </w:tc>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6.1.2, 8.4</w:t>
            </w:r>
          </w:p>
        </w:tc>
      </w:tr>
      <w:tr>
        <w:tc>
          <w:tcPr>
            <w:tcW w:type="dxa" w:w="840"/>
            <w:tcBorders>
              <w:top w:val="single" w:color="DDE3EF" w:sz="4"/>
              <w:left w:val="single" w:color="DDE3EF" w:sz="4"/>
              <w:bottom w:val="single" w:color="DDE3EF" w:sz="4"/>
              <w:right w:val="single" w:color="DDE3EF" w:sz="4"/>
            </w:tcBorders>
            <w:shd w:fill="EBF0FA" w:val="clear"/>
            <w:tcMar>
              <w:top w:type="dxa" w:w="80"/>
              <w:left w:type="dxa" w:w="120"/>
              <w:bottom w:type="dxa" w:w="80"/>
              <w:right w:type="dxa" w:w="120"/>
            </w:tcMar>
            <w:vAlign w:val="top"/>
          </w:tcPr>
          <w:p>
            <w:r>
              <w:rPr>
                <w:rFonts w:ascii="Arial" w:cs="Arial" w:eastAsia="Arial" w:hAnsi="Arial"/>
                <w:b/>
                <w:bCs/>
                <w:i w:val="false"/>
                <w:iCs w:val="false"/>
                <w:color w:val="1A2340"/>
                <w:sz w:val="20"/>
                <w:szCs w:val="20"/>
              </w:rPr>
              <w:t xml:space="preserve">App. D</w:t>
            </w:r>
          </w:p>
        </w:tc>
        <w:tc>
          <w:tcPr>
            <w:tcW w:type="dxa" w:w="24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Approved AI Tools Register</w:t>
            </w:r>
          </w:p>
        </w:tc>
        <w:tc>
          <w:tcPr>
            <w:tcW w:type="dxa" w:w="300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MAP 3.1, 3.2; MANAGE 3.1</w:t>
            </w:r>
          </w:p>
        </w:tc>
        <w:tc>
          <w:tcPr>
            <w:tcW w:type="dxa" w:w="3120"/>
            <w:tcBorders>
              <w:top w:val="single" w:color="DDE3EF" w:sz="4"/>
              <w:left w:val="single" w:color="DDE3EF" w:sz="4"/>
              <w:bottom w:val="single" w:color="DDE3EF" w:sz="4"/>
              <w:right w:val="single" w:color="DDE3EF" w:sz="4"/>
            </w:tcBorders>
            <w:shd w:fill="FFFFFF" w:val="clear"/>
            <w:tcMar>
              <w:top w:type="dxa" w:w="80"/>
              <w:left w:type="dxa" w:w="120"/>
              <w:bottom w:type="dxa" w:w="80"/>
              <w:right w:type="dxa" w:w="120"/>
            </w:tcMar>
            <w:vAlign w:val="top"/>
          </w:tcPr>
          <w:p>
            <w:r>
              <w:rPr>
                <w:rFonts w:ascii="Arial" w:cs="Arial" w:eastAsia="Arial" w:hAnsi="Arial"/>
                <w:b w:val="false"/>
                <w:bCs w:val="false"/>
                <w:i w:val="false"/>
                <w:iCs w:val="false"/>
                <w:color w:val="1A2340"/>
                <w:sz w:val="20"/>
                <w:szCs w:val="20"/>
              </w:rPr>
              <w:t xml:space="preserve">8.1, 8.3</w:t>
            </w:r>
          </w:p>
        </w:tc>
      </w:tr>
    </w:tbl>
    <w:p>
      <w:pPr>
        <w:spacing w:after="80" w:before="0"/>
      </w:pPr>
      <w:r>
        <w:t xml:space="preserve"/>
      </w:r>
    </w:p>
    <w:p>
      <w:pPr>
        <w:spacing w:after="60" w:before="40"/>
        <w:jc w:val="both"/>
      </w:pPr>
      <w:r>
        <w:rPr>
          <w:rFonts w:ascii="Arial" w:cs="Arial" w:eastAsia="Arial" w:hAnsi="Arial"/>
          <w:i/>
          <w:iCs/>
          <w:color w:val="5A6A8A"/>
          <w:sz w:val="19"/>
          <w:szCs w:val="19"/>
        </w:rPr>
        <w:t xml:space="preserve">NIST AI RMF functions: GOVERN (GV), MAP (MP), MEASURE (MS), MANAGE (MG). Full subcategory descriptions: NIST AI RMF 1.0 (January 2023). ISO/IEC 42001:2023 clauses follow the High Level Structure consistent with ISO/IEC 27001:2022.</w:t>
      </w:r>
    </w:p>
    <w:p>
      <w:pPr>
        <w:spacing w:after="160" w:before="0"/>
      </w:pPr>
      <w:r>
        <w:t xml:space="preserve"/>
      </w:r>
    </w:p>
    <w:p>
      <w:pPr>
        <w:jc w:val="center"/>
      </w:pPr>
      <w:r>
        <w:rPr>
          <w:rFonts w:ascii="Arial" w:cs="Arial" w:eastAsia="Arial" w:hAnsi="Arial"/>
          <w:b/>
          <w:bCs/>
          <w:color w:val="152168"/>
          <w:sz w:val="20"/>
          <w:szCs w:val="20"/>
        </w:rPr>
        <w:t xml:space="preserve">END OF DOCUMENT</w:t>
      </w:r>
    </w:p>
    <w:p>
      <w:pPr>
        <w:jc w:val="center"/>
      </w:pPr>
      <w:r>
        <w:rPr>
          <w:rFonts w:ascii="Arial" w:cs="Arial" w:eastAsia="Arial" w:hAnsi="Arial"/>
          <w:color w:val="5A6A8A"/>
          <w:sz w:val="18"/>
          <w:szCs w:val="18"/>
        </w:rPr>
        <w:t xml:space="preserve">ENT-Draft-POL-AI Governance-6.26  |  Version 1.0  |  © [ORGANIZATION NAME]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E3EF" w:sz="4" w:space="4"/>
      </w:pBdr>
      <w:spacing w:before="0"/>
    </w:pPr>
    <w:r>
      <w:rPr>
        <w:rFonts w:ascii="Arial" w:cs="Arial" w:eastAsia="Arial" w:hAnsi="Arial"/>
        <w:i/>
        <w:iCs/>
        <w:color w:val="5A6A8A"/>
        <w:sz w:val="16"/>
        <w:szCs w:val="16"/>
      </w:rPr>
      <w:t xml:space="preserve">INTERNAL — CONFIDENTIAL  |  © [ORGANIZATION NAME]. All rights reserved.</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E3EF" w:sz="4" w:space="4"/>
      </w:pBdr>
      <w:tabs>
        <w:tab w:val="right" w:pos="9026"/>
      </w:tabs>
      <w:spacing w:after="0"/>
    </w:pPr>
    <w:r>
      <w:rPr>
        <w:rFonts w:ascii="Arial" w:cs="Arial" w:eastAsia="Arial" w:hAnsi="Arial"/>
        <w:color w:val="5A6A8A"/>
        <w:sz w:val="18"/>
        <w:szCs w:val="18"/>
      </w:rPr>
      <w:t xml:space="preserve">ENT-Draft-POL-AI Governance-6.26  |  Artificial Intelligence Governance Policy</w:t>
    </w:r>
    <w:r>
      <w:rPr>
        <w:rFonts w:ascii="Arial" w:cs="Arial" w:eastAsia="Arial" w:hAnsi="Arial"/>
        <w:color w:val="5A6A8A"/>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34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400"/>
      <w:outlineLvl w:val="0"/>
    </w:pPr>
    <w:rPr>
      <w:rFonts w:ascii="Arial" w:cs="Arial" w:eastAsia="Arial" w:hAnsi="Arial"/>
      <w:b/>
      <w:bCs/>
      <w:color w:val="152168"/>
      <w:sz w:val="30"/>
      <w:szCs w:val="30"/>
    </w:rPr>
  </w:style>
  <w:style w:type="paragraph" w:styleId="Heading2">
    <w:name w:val="Heading 2"/>
    <w:basedOn w:val="Normal"/>
    <w:next w:val="Normal"/>
    <w:qFormat/>
    <w:pPr>
      <w:spacing w:after="80" w:before="280"/>
      <w:outlineLvl w:val="1"/>
    </w:pPr>
    <w:rPr>
      <w:rFonts w:ascii="Arial" w:cs="Arial" w:eastAsia="Arial" w:hAnsi="Arial"/>
      <w:b/>
      <w:bCs/>
      <w:color w:val="152168"/>
      <w:sz w:val="26"/>
      <w:szCs w:val="26"/>
    </w:rPr>
  </w:style>
  <w:style w:type="paragraph" w:styleId="Heading3">
    <w:name w:val="Heading 3"/>
    <w:basedOn w:val="Normal"/>
    <w:next w:val="Normal"/>
    <w:qFormat/>
    <w:pPr>
      <w:spacing w:after="60" w:before="220"/>
      <w:outlineLvl w:val="2"/>
    </w:pPr>
    <w:rPr>
      <w:rFonts w:ascii="Arial" w:cs="Arial" w:eastAsia="Arial" w:hAnsi="Arial"/>
      <w:b/>
      <w:bCs/>
      <w:color w:val="4F46E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Governance Policy</dc:title>
  <dc:creator>Abbott Cyber Consulting</dc:creator>
  <dc:description>ENT-Draft-POL-AI Governance-6.26</dc:description>
  <cp:lastModifiedBy>Un-named</cp:lastModifiedBy>
  <cp:revision>1</cp:revision>
  <dcterms:created xsi:type="dcterms:W3CDTF">2026-06-18T23:34:21.140Z</dcterms:created>
  <dcterms:modified xsi:type="dcterms:W3CDTF">2026-06-18T23:34:21.140Z</dcterms:modified>
</cp:coreProperties>
</file>

<file path=docProps/custom.xml><?xml version="1.0" encoding="utf-8"?>
<Properties xmlns="http://schemas.openxmlformats.org/officeDocument/2006/custom-properties" xmlns:vt="http://schemas.openxmlformats.org/officeDocument/2006/docPropsVTypes"/>
</file>