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b/>
          <w:bCs/>
          <w:color w:val="5A6A8A"/>
          <w:sz w:val="28"/>
          <w:szCs w:val="28"/>
        </w:rPr>
        <w:t xml:space="preserve">[ORGANIZATION NAME]</w:t>
      </w:r>
    </w:p>
    <w:p>
      <w:pPr>
        <w:spacing w:after="0" w:before="480"/>
      </w:pPr>
      <w:r>
        <w:rPr>
          <w:rFonts w:ascii="Arial" w:cs="Arial" w:eastAsia="Arial" w:hAnsi="Arial"/>
          <w:b/>
          <w:bCs/>
          <w:color w:val="152168"/>
          <w:sz w:val="52"/>
          <w:szCs w:val="52"/>
        </w:rPr>
        <w:t xml:space="preserve">Vulnerability Management Policy</w:t>
      </w:r>
    </w:p>
    <w:p>
      <w:pPr>
        <w:pBdr>
          <w:bottom w:val="single" w:color="07B4D9" w:sz="8" w:space="1"/>
        </w:pBdr>
        <w:spacing w:after="0" w:before="160"/>
      </w:pPr>
      <w:r>
        <w:rPr>
          <w:rFonts w:ascii="Arial" w:cs="Arial" w:eastAsia="Arial" w:hAnsi="Arial"/>
          <w:b/>
          <w:bCs/>
          <w:color w:val="07B4D9"/>
          <w:sz w:val="28"/>
          <w:szCs w:val="28"/>
        </w:rPr>
        <w:t xml:space="preserve">Comprehensive Policy</w:t>
      </w:r>
    </w:p>
    <w:p>
      <w:pPr>
        <w:spacing w:after="60" w:before="60"/>
      </w:pPr>
      <w:r>
        <w:t xml:space="preserve"/>
      </w:r>
    </w:p>
    <w:p>
      <w:pPr>
        <w:spacing w:after="40" w:before="400"/>
      </w:pPr>
      <w:r>
        <w:rPr>
          <w:rFonts w:ascii="Arial" w:cs="Arial" w:eastAsia="Arial" w:hAnsi="Arial"/>
          <w:b/>
          <w:bCs/>
          <w:color w:val="1A2340"/>
          <w:sz w:val="20"/>
          <w:szCs w:val="20"/>
        </w:rPr>
        <w:t xml:space="preserve">Document ID: </w:t>
      </w:r>
      <w:r>
        <w:rPr>
          <w:rFonts w:ascii="Arial" w:cs="Arial" w:eastAsia="Arial" w:hAnsi="Arial"/>
          <w:color w:val="5A6A8A"/>
          <w:sz w:val="20"/>
          <w:szCs w:val="20"/>
        </w:rPr>
        <w:t xml:space="preserve">ENT-Draft-POL-Vulnerability Management-Comprehensive-6.26</w:t>
      </w:r>
    </w:p>
    <w:p>
      <w:pPr>
        <w:spacing w:after="40" w:before="40"/>
      </w:pPr>
      <w:r>
        <w:rPr>
          <w:rFonts w:ascii="Arial" w:cs="Arial" w:eastAsia="Arial" w:hAnsi="Arial"/>
          <w:b/>
          <w:bCs/>
          <w:color w:val="1A2340"/>
          <w:sz w:val="20"/>
          <w:szCs w:val="20"/>
        </w:rPr>
        <w:t xml:space="preserve">Version: </w:t>
      </w:r>
      <w:r>
        <w:rPr>
          <w:rFonts w:ascii="Arial" w:cs="Arial" w:eastAsia="Arial" w:hAnsi="Arial"/>
          <w:color w:val="5A6A8A"/>
          <w:sz w:val="20"/>
          <w:szCs w:val="20"/>
        </w:rPr>
        <w:t xml:space="preserve">1.0 — Draft</w:t>
      </w:r>
    </w:p>
    <w:p>
      <w:pPr>
        <w:spacing w:after="40" w:before="40"/>
      </w:pPr>
      <w:r>
        <w:rPr>
          <w:rFonts w:ascii="Arial" w:cs="Arial" w:eastAsia="Arial" w:hAnsi="Arial"/>
          <w:b/>
          <w:bCs/>
          <w:color w:val="1A2340"/>
          <w:sz w:val="20"/>
          <w:szCs w:val="20"/>
        </w:rPr>
        <w:t xml:space="preserve">Date: </w:t>
      </w:r>
      <w:r>
        <w:rPr>
          <w:rFonts w:ascii="Arial" w:cs="Arial" w:eastAsia="Arial" w:hAnsi="Arial"/>
          <w:color w:val="5A6A8A"/>
          <w:sz w:val="20"/>
          <w:szCs w:val="20"/>
        </w:rPr>
        <w:t xml:space="preserve">June 2026</w:t>
      </w:r>
    </w:p>
    <w:p>
      <w:pPr>
        <w:spacing w:after="40" w:before="40"/>
      </w:pPr>
      <w:r>
        <w:rPr>
          <w:rFonts w:ascii="Arial" w:cs="Arial" w:eastAsia="Arial" w:hAnsi="Arial"/>
          <w:b/>
          <w:bCs/>
          <w:color w:val="1A2340"/>
          <w:sz w:val="20"/>
          <w:szCs w:val="20"/>
        </w:rPr>
        <w:t xml:space="preserve">Classification: </w:t>
      </w:r>
      <w:r>
        <w:rPr>
          <w:rFonts w:ascii="Arial" w:cs="Arial" w:eastAsia="Arial" w:hAnsi="Arial"/>
          <w:color w:val="5A6A8A"/>
          <w:sz w:val="20"/>
          <w:szCs w:val="20"/>
        </w:rPr>
        <w:t xml:space="preserve">INTERNAL — CONFIDENTIAL</w:t>
      </w:r>
    </w:p>
    <w:p>
      <w:pPr>
        <w:spacing w:after="40" w:before="40"/>
      </w:pPr>
      <w:r>
        <w:rPr>
          <w:rFonts w:ascii="Arial" w:cs="Arial" w:eastAsia="Arial" w:hAnsi="Arial"/>
          <w:b/>
          <w:bCs/>
          <w:color w:val="1A2340"/>
          <w:sz w:val="20"/>
          <w:szCs w:val="20"/>
        </w:rPr>
        <w:t xml:space="preserve">Owner: </w:t>
      </w:r>
      <w:r>
        <w:rPr>
          <w:rFonts w:ascii="Arial" w:cs="Arial" w:eastAsia="Arial" w:hAnsi="Arial"/>
          <w:color w:val="5A6A8A"/>
          <w:sz w:val="20"/>
          <w:szCs w:val="20"/>
        </w:rPr>
        <w:t xml:space="preserve">CISO / vCISO</w:t>
      </w:r>
    </w:p>
    <w:p>
      <w:pPr>
        <w:spacing w:after="60" w:before="60"/>
      </w:pPr>
      <w:r>
        <w:t xml:space="preserve"/>
      </w:r>
    </w:p>
    <w:p>
      <w:pPr>
        <w:spacing w:after="60" w:before="60"/>
      </w:pPr>
      <w:r>
        <w:rPr>
          <w:rFonts w:ascii="Arial" w:cs="Arial" w:eastAsia="Arial" w:hAnsi="Arial"/>
          <w:color w:val="1A2340"/>
          <w:sz w:val="20"/>
          <w:szCs w:val="20"/>
        </w:rPr>
        <w:t xml:space="preserve">Framework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70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NIST CSF 2.0</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 (Risk Assessment), PR.PS (Protective Technology)</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ISO/IEC 27001:2022</w:t>
            </w:r>
          </w:p>
        </w:tc>
        <w:tc>
          <w:tcPr>
            <w:tcW w:type="dxa" w:w="70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Annex A 8.8 (Management of Technical Vulnerabilities), 12.6</w:t>
            </w:r>
          </w:p>
        </w:tc>
      </w:tr>
      <w:tr>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CIS Controls v8</w:t>
            </w:r>
          </w:p>
        </w:tc>
        <w:tc>
          <w:tcPr>
            <w:tcW w:type="dxa" w:w="70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 (Continuous Vulnerability Management)</w:t>
            </w:r>
          </w:p>
        </w:tc>
      </w:tr>
      <w:tr>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NIST SP 800-53 Rev 5</w:t>
            </w:r>
          </w:p>
        </w:tc>
        <w:tc>
          <w:tcPr>
            <w:tcW w:type="dxa" w:w="70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 (Risk Assessment), SI (System and Information Integrity) family</w:t>
            </w:r>
          </w:p>
        </w:tc>
      </w:tr>
    </w:tbl>
    <w:p>
      <w:r>
        <w:br w:type="page"/>
      </w:r>
    </w:p>
    <w:p>
      <w:pPr>
        <w:pStyle w:val="Heading1"/>
        <w:spacing w:after="120" w:before="300"/>
      </w:pPr>
      <w:r>
        <w:rPr>
          <w:rFonts w:ascii="Arial" w:cs="Arial" w:eastAsia="Arial" w:hAnsi="Arial"/>
          <w:b/>
          <w:bCs/>
          <w:color w:val="152168"/>
          <w:sz w:val="32"/>
          <w:szCs w:val="32"/>
        </w:rPr>
        <w:t xml:space="preserve">1. Purpose</w:t>
      </w:r>
    </w:p>
    <w:p>
      <w:pPr>
        <w:pBdr>
          <w:bottom w:val="single" w:color="07B4D9" w:sz="4" w:space="1"/>
        </w:pBdr>
        <w:spacing w:after="120" w:before="120"/>
      </w:pPr>
      <w:r>
        <w:t xml:space="preserve"/>
      </w:r>
    </w:p>
    <w:p>
      <w:pPr>
        <w:spacing w:after="60" w:before="60"/>
      </w:pPr>
      <w:r>
        <w:rPr>
          <w:rFonts w:ascii="Arial" w:cs="Arial" w:eastAsia="Arial" w:hAnsi="Arial"/>
          <w:color w:val="1A2340"/>
          <w:sz w:val="20"/>
          <w:szCs w:val="20"/>
        </w:rPr>
        <w:t xml:space="preserve">This policy establishes a systematic Vulnerability Management Program to identify, evaluate, prioritize, and remediate security vulnerabilities across all information assets owned or operated by [ORGANIZATION NAME].</w:t>
      </w:r>
    </w:p>
    <w:p>
      <w:pPr>
        <w:spacing w:after="60" w:before="60"/>
      </w:pPr>
      <w:r>
        <w:t xml:space="preserve"/>
      </w:r>
    </w:p>
    <w:p>
      <w:pPr>
        <w:spacing w:after="60" w:before="60"/>
      </w:pPr>
      <w:r>
        <w:rPr>
          <w:rFonts w:ascii="Arial" w:cs="Arial" w:eastAsia="Arial" w:hAnsi="Arial"/>
          <w:color w:val="1A2340"/>
          <w:sz w:val="20"/>
          <w:szCs w:val="20"/>
        </w:rPr>
        <w:t xml:space="preserve">The objectives of this program are to:</w:t>
      </w:r>
    </w:p>
    <w:p>
      <w:pPr>
        <w:pStyle w:val="ListParagraph"/>
        <w:numPr>
          <w:ilvl w:val="0"/>
          <w:numId w:val="2"/>
        </w:numPr>
        <w:spacing w:after="40" w:before="40"/>
      </w:pPr>
      <w:r>
        <w:rPr>
          <w:rFonts w:ascii="Arial" w:cs="Arial" w:eastAsia="Arial" w:hAnsi="Arial"/>
          <w:color w:val="1A2340"/>
          <w:sz w:val="20"/>
          <w:szCs w:val="20"/>
        </w:rPr>
        <w:t xml:space="preserve">Continuously discover vulnerabilities in organizational systems before attackers can exploit them</w:t>
      </w:r>
    </w:p>
    <w:p>
      <w:pPr>
        <w:pStyle w:val="ListParagraph"/>
        <w:numPr>
          <w:ilvl w:val="0"/>
          <w:numId w:val="2"/>
        </w:numPr>
        <w:spacing w:after="40" w:before="40"/>
      </w:pPr>
      <w:r>
        <w:rPr>
          <w:rFonts w:ascii="Arial" w:cs="Arial" w:eastAsia="Arial" w:hAnsi="Arial"/>
          <w:color w:val="1A2340"/>
          <w:sz w:val="20"/>
          <w:szCs w:val="20"/>
        </w:rPr>
        <w:t xml:space="preserve">Evaluate and prioritize vulnerabilities based on risk to the organization</w:t>
      </w:r>
    </w:p>
    <w:p>
      <w:pPr>
        <w:pStyle w:val="ListParagraph"/>
        <w:numPr>
          <w:ilvl w:val="0"/>
          <w:numId w:val="2"/>
        </w:numPr>
        <w:spacing w:after="40" w:before="40"/>
      </w:pPr>
      <w:r>
        <w:rPr>
          <w:rFonts w:ascii="Arial" w:cs="Arial" w:eastAsia="Arial" w:hAnsi="Arial"/>
          <w:color w:val="1A2340"/>
          <w:sz w:val="20"/>
          <w:szCs w:val="20"/>
        </w:rPr>
        <w:t xml:space="preserve">Remediate confirmed vulnerabilities within defined timeframes according to severity</w:t>
      </w:r>
    </w:p>
    <w:p>
      <w:pPr>
        <w:pStyle w:val="ListParagraph"/>
        <w:numPr>
          <w:ilvl w:val="0"/>
          <w:numId w:val="2"/>
        </w:numPr>
        <w:spacing w:after="40" w:before="40"/>
      </w:pPr>
      <w:r>
        <w:rPr>
          <w:rFonts w:ascii="Arial" w:cs="Arial" w:eastAsia="Arial" w:hAnsi="Arial"/>
          <w:color w:val="1A2340"/>
          <w:sz w:val="20"/>
          <w:szCs w:val="20"/>
        </w:rPr>
        <w:t xml:space="preserve">Reduce the attack surface exposed to both internal and external threats</w:t>
      </w:r>
    </w:p>
    <w:p>
      <w:pPr>
        <w:pStyle w:val="ListParagraph"/>
        <w:numPr>
          <w:ilvl w:val="0"/>
          <w:numId w:val="2"/>
        </w:numPr>
        <w:spacing w:after="40" w:before="40"/>
      </w:pPr>
      <w:r>
        <w:rPr>
          <w:rFonts w:ascii="Arial" w:cs="Arial" w:eastAsia="Arial" w:hAnsi="Arial"/>
          <w:color w:val="1A2340"/>
          <w:sz w:val="20"/>
          <w:szCs w:val="20"/>
        </w:rPr>
        <w:t xml:space="preserve">Limit the risk of successful exploitation by maintaining a current and accurate vulnerability register</w:t>
      </w:r>
    </w:p>
    <w:p>
      <w:pPr>
        <w:pStyle w:val="ListParagraph"/>
        <w:numPr>
          <w:ilvl w:val="0"/>
          <w:numId w:val="2"/>
        </w:numPr>
        <w:spacing w:after="40" w:before="40"/>
      </w:pPr>
      <w:r>
        <w:rPr>
          <w:rFonts w:ascii="Arial" w:cs="Arial" w:eastAsia="Arial" w:hAnsi="Arial"/>
          <w:color w:val="1A2340"/>
          <w:sz w:val="20"/>
          <w:szCs w:val="20"/>
        </w:rPr>
        <w:t xml:space="preserve">Demonstrate due care to regulators, insurers, clients, and other stakeholders</w:t>
      </w:r>
    </w:p>
    <w:p>
      <w:pPr>
        <w:spacing w:after="60" w:before="60"/>
      </w:pPr>
      <w:r>
        <w:t xml:space="preserve"/>
      </w:r>
    </w:p>
    <w:p>
      <w:pPr>
        <w:spacing w:after="60" w:before="60"/>
      </w:pPr>
      <w:r>
        <w:rPr>
          <w:rFonts w:ascii="Arial" w:cs="Arial" w:eastAsia="Arial" w:hAnsi="Arial"/>
          <w:color w:val="1A2340"/>
          <w:sz w:val="20"/>
          <w:szCs w:val="20"/>
        </w:rPr>
        <w:t xml:space="preserve">Effective vulnerability management is a foundational security control. Unpatched vulnerabilities are a leading cause of successful cyberattacks, including ransomware, data breaches, and unauthorized access. This policy operationalizes the organization's commitment to proactive risk reduction.</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2. Scope</w:t>
      </w:r>
    </w:p>
    <w:p>
      <w:pPr>
        <w:pBdr>
          <w:bottom w:val="single" w:color="07B4D9" w:sz="4" w:space="1"/>
        </w:pBdr>
        <w:spacing w:after="120" w:before="120"/>
      </w:pPr>
      <w:r>
        <w:t xml:space="preserve"/>
      </w:r>
    </w:p>
    <w:p>
      <w:pPr>
        <w:spacing w:after="60" w:before="60"/>
      </w:pPr>
      <w:r>
        <w:rPr>
          <w:rFonts w:ascii="Arial" w:cs="Arial" w:eastAsia="Arial" w:hAnsi="Arial"/>
          <w:color w:val="1A2340"/>
          <w:sz w:val="20"/>
          <w:szCs w:val="20"/>
        </w:rPr>
        <w:t xml:space="preserve">This policy applies to all information systems and technology assets owned, leased, operated, or managed by [ORGANIZATION NAME], including but not limited to:</w:t>
      </w:r>
    </w:p>
    <w:p>
      <w:pPr>
        <w:pStyle w:val="ListParagraph"/>
        <w:numPr>
          <w:ilvl w:val="0"/>
          <w:numId w:val="2"/>
        </w:numPr>
        <w:spacing w:after="40" w:before="40"/>
      </w:pPr>
      <w:r>
        <w:rPr>
          <w:rFonts w:ascii="Arial" w:cs="Arial" w:eastAsia="Arial" w:hAnsi="Arial"/>
          <w:color w:val="1A2340"/>
          <w:sz w:val="20"/>
          <w:szCs w:val="20"/>
        </w:rPr>
        <w:t xml:space="preserve">Endpoints — desktop computers, laptops, and workstations (Windows, macOS, Linux)</w:t>
      </w:r>
    </w:p>
    <w:p>
      <w:pPr>
        <w:pStyle w:val="ListParagraph"/>
        <w:numPr>
          <w:ilvl w:val="0"/>
          <w:numId w:val="2"/>
        </w:numPr>
        <w:spacing w:after="40" w:before="40"/>
      </w:pPr>
      <w:r>
        <w:rPr>
          <w:rFonts w:ascii="Arial" w:cs="Arial" w:eastAsia="Arial" w:hAnsi="Arial"/>
          <w:color w:val="1A2340"/>
          <w:sz w:val="20"/>
          <w:szCs w:val="20"/>
        </w:rPr>
        <w:t xml:space="preserve">Servers — on-premises physical servers and virtual machines</w:t>
      </w:r>
    </w:p>
    <w:p>
      <w:pPr>
        <w:pStyle w:val="ListParagraph"/>
        <w:numPr>
          <w:ilvl w:val="0"/>
          <w:numId w:val="2"/>
        </w:numPr>
        <w:spacing w:after="40" w:before="40"/>
      </w:pPr>
      <w:r>
        <w:rPr>
          <w:rFonts w:ascii="Arial" w:cs="Arial" w:eastAsia="Arial" w:hAnsi="Arial"/>
          <w:color w:val="1A2340"/>
          <w:sz w:val="20"/>
          <w:szCs w:val="20"/>
        </w:rPr>
        <w:t xml:space="preserve">Network devices — routers, switches, firewalls, wireless access points, and VPN gateways</w:t>
      </w:r>
    </w:p>
    <w:p>
      <w:pPr>
        <w:pStyle w:val="ListParagraph"/>
        <w:numPr>
          <w:ilvl w:val="0"/>
          <w:numId w:val="2"/>
        </w:numPr>
        <w:spacing w:after="40" w:before="40"/>
      </w:pPr>
      <w:r>
        <w:rPr>
          <w:rFonts w:ascii="Arial" w:cs="Arial" w:eastAsia="Arial" w:hAnsi="Arial"/>
          <w:color w:val="1A2340"/>
          <w:sz w:val="20"/>
          <w:szCs w:val="20"/>
        </w:rPr>
        <w:t xml:space="preserve">Cloud instances — virtual machines, containers, and infrastructure deployed in public, private, or hybrid cloud environments (AWS, Azure, GCP, and similar)</w:t>
      </w:r>
    </w:p>
    <w:p>
      <w:pPr>
        <w:pStyle w:val="ListParagraph"/>
        <w:numPr>
          <w:ilvl w:val="0"/>
          <w:numId w:val="2"/>
        </w:numPr>
        <w:spacing w:after="40" w:before="40"/>
      </w:pPr>
      <w:r>
        <w:rPr>
          <w:rFonts w:ascii="Arial" w:cs="Arial" w:eastAsia="Arial" w:hAnsi="Arial"/>
          <w:color w:val="1A2340"/>
          <w:sz w:val="20"/>
          <w:szCs w:val="20"/>
        </w:rPr>
        <w:t xml:space="preserve">Web applications — customer-facing, partner-facing, and internal web applications</w:t>
      </w:r>
    </w:p>
    <w:p>
      <w:pPr>
        <w:pStyle w:val="ListParagraph"/>
        <w:numPr>
          <w:ilvl w:val="0"/>
          <w:numId w:val="2"/>
        </w:numPr>
        <w:spacing w:after="40" w:before="40"/>
      </w:pPr>
      <w:r>
        <w:rPr>
          <w:rFonts w:ascii="Arial" w:cs="Arial" w:eastAsia="Arial" w:hAnsi="Arial"/>
          <w:color w:val="1A2340"/>
          <w:sz w:val="20"/>
          <w:szCs w:val="20"/>
        </w:rPr>
        <w:t xml:space="preserve">Third-party hosted systems — SaaS platforms and vendor-hosted systems where the organization has contractual rights to assess or where the vendor must demonstrate compliance</w:t>
      </w:r>
    </w:p>
    <w:p>
      <w:pPr>
        <w:pStyle w:val="ListParagraph"/>
        <w:numPr>
          <w:ilvl w:val="0"/>
          <w:numId w:val="2"/>
        </w:numPr>
        <w:spacing w:after="40" w:before="40"/>
      </w:pPr>
      <w:r>
        <w:rPr>
          <w:rFonts w:ascii="Arial" w:cs="Arial" w:eastAsia="Arial" w:hAnsi="Arial"/>
          <w:color w:val="1A2340"/>
          <w:sz w:val="20"/>
          <w:szCs w:val="20"/>
        </w:rPr>
        <w:t xml:space="preserve">Mobile devices — organization-owned or enrolled (MDM-managed) mobile devices</w:t>
      </w:r>
    </w:p>
    <w:p>
      <w:pPr>
        <w:pStyle w:val="ListParagraph"/>
        <w:numPr>
          <w:ilvl w:val="0"/>
          <w:numId w:val="2"/>
        </w:numPr>
        <w:spacing w:after="40" w:before="40"/>
      </w:pPr>
      <w:r>
        <w:rPr>
          <w:rFonts w:ascii="Arial" w:cs="Arial" w:eastAsia="Arial" w:hAnsi="Arial"/>
          <w:color w:val="1A2340"/>
          <w:sz w:val="20"/>
          <w:szCs w:val="20"/>
        </w:rPr>
        <w:t xml:space="preserve">Operational Technology (OT) and IoT devices — where applicable and technically feasible</w:t>
      </w:r>
    </w:p>
    <w:p>
      <w:pPr>
        <w:spacing w:after="60" w:before="60"/>
      </w:pPr>
      <w:r>
        <w:t xml:space="preserve"/>
      </w:r>
    </w:p>
    <w:p>
      <w:pPr>
        <w:spacing w:after="60" w:before="60"/>
      </w:pPr>
      <w:r>
        <w:rPr>
          <w:rFonts w:ascii="Arial" w:cs="Arial" w:eastAsia="Arial" w:hAnsi="Arial"/>
          <w:color w:val="1A2340"/>
          <w:sz w:val="20"/>
          <w:szCs w:val="20"/>
        </w:rPr>
        <w:t xml:space="preserve">This policy applies to all employees, contractors, consultants, vendors, and third parties who develop, operate, administer, or manage systems in scope.</w:t>
      </w:r>
    </w:p>
    <w:p>
      <w:pPr>
        <w:spacing w:after="60" w:before="60"/>
      </w:pPr>
      <w:r>
        <w:t xml:space="preserve"/>
      </w:r>
    </w:p>
    <w:p>
      <w:pPr>
        <w:spacing w:after="60" w:before="60"/>
      </w:pPr>
      <w:r>
        <w:rPr>
          <w:rFonts w:ascii="Arial" w:cs="Arial" w:eastAsia="Arial" w:hAnsi="Arial"/>
          <w:color w:val="1A2340"/>
          <w:sz w:val="20"/>
          <w:szCs w:val="20"/>
        </w:rPr>
        <w:t xml:space="preserve">Systems hosted entirely by third parties without organizational control are addressed through the Third-Party Risk Assessment process and contractual security requirements rather than direct scanning.</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3. Policy Statement</w:t>
      </w:r>
    </w:p>
    <w:p>
      <w:pPr>
        <w:pBdr>
          <w:bottom w:val="single" w:color="07B4D9" w:sz="4" w:space="1"/>
        </w:pBdr>
        <w:spacing w:after="120" w:before="120"/>
      </w:pPr>
      <w:r>
        <w:t xml:space="preserve"/>
      </w:r>
    </w:p>
    <w:p>
      <w:pPr>
        <w:spacing w:after="60" w:before="60"/>
      </w:pPr>
      <w:r>
        <w:rPr>
          <w:rFonts w:ascii="Arial" w:cs="Arial" w:eastAsia="Arial" w:hAnsi="Arial"/>
          <w:color w:val="1A2340"/>
          <w:sz w:val="20"/>
          <w:szCs w:val="20"/>
        </w:rPr>
        <w:t xml:space="preserve">[ORGANIZATION NAME] is committed to maintaining a mature, risk-based vulnerability management program grounded in the following principles: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Commitment</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1. Continuous Discovery</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Vulnerabilities will be identified through regular automated scanning and annual penetration testing across all in-scope assets, not only when incidents occur.</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52168"/>
                <w:sz w:val="20"/>
                <w:szCs w:val="20"/>
              </w:rPr>
              <w:t xml:space="preserve">2. Risk-Based Prioritization</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Vulnerabilities will be prioritized by severity, exploitability, asset criticality, and exposure — not by first-in-first-out queue order.</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3. Timely Remediation</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Remediation Service Level Agreements (SLAs) based on severity will be defined, tracked, and enforced. SLA compliance is a measurable program objective.</w:t>
            </w:r>
          </w:p>
        </w:tc>
      </w:tr>
      <w:tr>
        <w:tc>
          <w:tcPr>
            <w:tcW w:type="dxa" w:w="2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52168"/>
                <w:sz w:val="20"/>
                <w:szCs w:val="20"/>
              </w:rPr>
              <w:t xml:space="preserve">4. Comprehensive Coverage</w:t>
            </w:r>
          </w:p>
        </w:tc>
        <w:tc>
          <w:tcPr>
            <w:tcW w:type="dxa" w:w="71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Scanning coverage will be maintained across all asset categories including cloud environments, web applications, and network infrastructure — not only traditional endpoints.</w:t>
            </w:r>
          </w:p>
        </w:tc>
      </w:tr>
      <w:tr>
        <w:tc>
          <w:tcPr>
            <w:tcW w:type="dxa" w:w="2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52168"/>
                <w:sz w:val="20"/>
                <w:szCs w:val="20"/>
              </w:rPr>
              <w:t xml:space="preserve">5. Program Accountability</w:t>
            </w:r>
          </w:p>
        </w:tc>
        <w:tc>
          <w:tcPr>
            <w:tcW w:type="dxa" w:w="71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Vulnerability management metrics will be reported to the CISO/vCISO and, on a quarterly basis, to senior leadership. Asset owners are accountable for remediation within their domains.</w:t>
            </w:r>
          </w:p>
        </w:tc>
      </w:tr>
    </w:tbl>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4. Definitions</w:t>
      </w:r>
    </w:p>
    <w:p>
      <w:pPr>
        <w:pBdr>
          <w:bottom w:val="single" w:color="07B4D9"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6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Vulnerability</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weakness or flaw in a system, application, network, or process that could be exploited to cause harm or unauthorized access.</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Exposure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The condition of being susceptible to a vulnerability due to configuration, network position, or lack of controls — particularly when a system is accessible from untrusted networks.</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Exploit</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Code, technique, or method used to take advantage of a vulnerability to gain unauthorized access, execute code, or cause a system to malfunction.</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Patch</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An update to software, firmware, or an operating system issued by a vendor to correct a vulnerability, fix a bug, or improve functionality.</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Common Vulnerability Scoring System (CVSS)</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An open industry standard for assessing the severity of security vulnerabilities. CVSS v3.1 produces a score from 0.0 to 10.0. This policy uses CVSS 3.1 as its primary severity scoring mechanism.</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Critical Vulnerability</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vulnerability with a CVSS score of 9.0 to 10.0. These represent immediate threats that are typically easy to exploit remotely and have severe consequences.</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High Vulnerability</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vulnerability with a CVSS score of 7.0 to 8.9. These are serious vulnerabilities that should be remediated as a near-term priority.</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Medium Vulnerability</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vulnerability with a CVSS score of 4.0 to 6.9. These vulnerabilities pose a moderate risk and should be remediated in the medium term.</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Low Vulnerability</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vulnerability with a CVSS score of 0.1 to 3.9. These are lower-risk vulnerabilities that should be tracked and remediated as time permits.</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Zero-Day</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vulnerability that is actively being exploited by attackers before the vendor has issued a patch or public advisory. Zero-day vulnerabilities are treated as Critical regardless of CVSS score.</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Vulnerability Scan</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An automated process using specialized software to probe systems and applications for known vulnerabilities, misconfigurations, and missing patches.</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Penetration Test</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simulated cyberattack conducted by a qualified security professional to identify exploitable vulnerabilities that automated scanners may miss, validate existing controls, and test detection capabilities.</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Remediation</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The process of eliminating a vulnerability, typically by applying a patch, upgrading software, or removing a vulnerable component.</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Mitigation</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temporary measure to reduce the risk posed by a vulnerability when full remediation is not immediately possible. Mitigations do not eliminate the vulnerability.</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Compensating Control</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An alternative security control that provides equivalent or greater protection where the primary control cannot be applied. Compensating controls must be formally approved and time-limited.</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Patch Tuesday</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Microsoft's monthly release cycle for security updates, issued on the second Tuesday of each month. Other vendors follow similar cadences. Patch management processes must align with these cycles.</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Service Level Agreement (Remediation SLA)</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 defined timeframe within which a vulnerability of a given severity must be remediated from the date of identification.</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Attack Surface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The sum of all exploitable vulnerabilities in a system, application, or network — the total set of points where an attacker could attempt entry.</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Vulnerability Register</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The authoritative record of all known vulnerabilities in organizational systems, including their status, severity, assigned owner, and target remediation date.</w:t>
            </w:r>
          </w:p>
        </w:tc>
      </w:tr>
    </w:tbl>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5. Roles and Responsibilities</w:t>
      </w:r>
    </w:p>
    <w:p>
      <w:pPr>
        <w:pBdr>
          <w:bottom w:val="single" w:color="07B4D9" w:sz="4" w:space="1"/>
        </w:pBdr>
        <w:spacing w:after="120" w:before="120"/>
      </w:pPr>
      <w:r>
        <w:t xml:space="preserve"/>
      </w:r>
    </w:p>
    <w:p>
      <w:pPr>
        <w:pStyle w:val="Heading2"/>
        <w:spacing w:after="100" w:before="240"/>
      </w:pPr>
      <w:r>
        <w:rPr>
          <w:rFonts w:ascii="Arial" w:cs="Arial" w:eastAsia="Arial" w:hAnsi="Arial"/>
          <w:b/>
          <w:bCs/>
          <w:color w:val="152168"/>
          <w:sz w:val="26"/>
          <w:szCs w:val="26"/>
        </w:rPr>
        <w:t xml:space="preserve">5.1 CISO / vCISO</w:t>
      </w:r>
    </w:p>
    <w:p>
      <w:pPr>
        <w:pStyle w:val="ListParagraph"/>
        <w:numPr>
          <w:ilvl w:val="0"/>
          <w:numId w:val="2"/>
        </w:numPr>
        <w:spacing w:after="40" w:before="40"/>
      </w:pPr>
      <w:r>
        <w:rPr>
          <w:rFonts w:ascii="Arial" w:cs="Arial" w:eastAsia="Arial" w:hAnsi="Arial"/>
          <w:color w:val="1A2340"/>
          <w:sz w:val="20"/>
          <w:szCs w:val="20"/>
        </w:rPr>
        <w:t xml:space="preserve">Owns the Vulnerability Management Program and is accountable for its effectiveness</w:t>
      </w:r>
    </w:p>
    <w:p>
      <w:pPr>
        <w:pStyle w:val="ListParagraph"/>
        <w:numPr>
          <w:ilvl w:val="0"/>
          <w:numId w:val="2"/>
        </w:numPr>
        <w:spacing w:after="40" w:before="40"/>
      </w:pPr>
      <w:r>
        <w:rPr>
          <w:rFonts w:ascii="Arial" w:cs="Arial" w:eastAsia="Arial" w:hAnsi="Arial"/>
          <w:color w:val="1A2340"/>
          <w:sz w:val="20"/>
          <w:szCs w:val="20"/>
        </w:rPr>
        <w:t xml:space="preserve">Defines and enforces remediation SLAs and escalation procedures</w:t>
      </w:r>
    </w:p>
    <w:p>
      <w:pPr>
        <w:pStyle w:val="ListParagraph"/>
        <w:numPr>
          <w:ilvl w:val="0"/>
          <w:numId w:val="2"/>
        </w:numPr>
        <w:spacing w:after="40" w:before="40"/>
      </w:pPr>
      <w:r>
        <w:rPr>
          <w:rFonts w:ascii="Arial" w:cs="Arial" w:eastAsia="Arial" w:hAnsi="Arial"/>
          <w:color w:val="1A2340"/>
          <w:sz w:val="20"/>
          <w:szCs w:val="20"/>
        </w:rPr>
        <w:t xml:space="preserve">Approves exceptions and risk acceptances for unpatched vulnerabilities</w:t>
      </w:r>
    </w:p>
    <w:p>
      <w:pPr>
        <w:pStyle w:val="ListParagraph"/>
        <w:numPr>
          <w:ilvl w:val="0"/>
          <w:numId w:val="2"/>
        </w:numPr>
        <w:spacing w:after="40" w:before="40"/>
      </w:pPr>
      <w:r>
        <w:rPr>
          <w:rFonts w:ascii="Arial" w:cs="Arial" w:eastAsia="Arial" w:hAnsi="Arial"/>
          <w:color w:val="1A2340"/>
          <w:sz w:val="20"/>
          <w:szCs w:val="20"/>
        </w:rPr>
        <w:t xml:space="preserve">Chairs or delegates quarterly vulnerability review meetings</w:t>
      </w:r>
    </w:p>
    <w:p>
      <w:pPr>
        <w:pStyle w:val="ListParagraph"/>
        <w:numPr>
          <w:ilvl w:val="0"/>
          <w:numId w:val="2"/>
        </w:numPr>
        <w:spacing w:after="40" w:before="40"/>
      </w:pPr>
      <w:r>
        <w:rPr>
          <w:rFonts w:ascii="Arial" w:cs="Arial" w:eastAsia="Arial" w:hAnsi="Arial"/>
          <w:color w:val="1A2340"/>
          <w:sz w:val="20"/>
          <w:szCs w:val="20"/>
        </w:rPr>
        <w:t xml:space="preserve">Reports vulnerability management metrics and program status to the Board or executive leadership</w:t>
      </w:r>
    </w:p>
    <w:p>
      <w:pPr>
        <w:pStyle w:val="ListParagraph"/>
        <w:numPr>
          <w:ilvl w:val="0"/>
          <w:numId w:val="2"/>
        </w:numPr>
        <w:spacing w:after="40" w:before="40"/>
      </w:pPr>
      <w:r>
        <w:rPr>
          <w:rFonts w:ascii="Arial" w:cs="Arial" w:eastAsia="Arial" w:hAnsi="Arial"/>
          <w:color w:val="1A2340"/>
          <w:sz w:val="20"/>
          <w:szCs w:val="20"/>
        </w:rPr>
        <w:t xml:space="preserve">Approves compensating controls for systems that cannot be patched</w:t>
      </w:r>
    </w:p>
    <w:p>
      <w:pPr>
        <w:pStyle w:val="ListParagraph"/>
        <w:numPr>
          <w:ilvl w:val="0"/>
          <w:numId w:val="2"/>
        </w:numPr>
        <w:spacing w:after="40" w:before="40"/>
      </w:pPr>
      <w:r>
        <w:rPr>
          <w:rFonts w:ascii="Arial" w:cs="Arial" w:eastAsia="Arial" w:hAnsi="Arial"/>
          <w:color w:val="1A2340"/>
          <w:sz w:val="20"/>
          <w:szCs w:val="20"/>
        </w:rPr>
        <w:t xml:space="preserve">Authorizes emergency remediation procedures for Critical and zero-day vulnerabilities</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5.2 IT Department / System Administrators</w:t>
      </w:r>
    </w:p>
    <w:p>
      <w:pPr>
        <w:pStyle w:val="ListParagraph"/>
        <w:numPr>
          <w:ilvl w:val="0"/>
          <w:numId w:val="2"/>
        </w:numPr>
        <w:spacing w:after="40" w:before="40"/>
      </w:pPr>
      <w:r>
        <w:rPr>
          <w:rFonts w:ascii="Arial" w:cs="Arial" w:eastAsia="Arial" w:hAnsi="Arial"/>
          <w:color w:val="1A2340"/>
          <w:sz w:val="20"/>
          <w:szCs w:val="20"/>
        </w:rPr>
        <w:t xml:space="preserve">Execute vulnerability scans on the defined schedule using approved scanning tools</w:t>
      </w:r>
    </w:p>
    <w:p>
      <w:pPr>
        <w:pStyle w:val="ListParagraph"/>
        <w:numPr>
          <w:ilvl w:val="0"/>
          <w:numId w:val="2"/>
        </w:numPr>
        <w:spacing w:after="40" w:before="40"/>
      </w:pPr>
      <w:r>
        <w:rPr>
          <w:rFonts w:ascii="Arial" w:cs="Arial" w:eastAsia="Arial" w:hAnsi="Arial"/>
          <w:color w:val="1A2340"/>
          <w:sz w:val="20"/>
          <w:szCs w:val="20"/>
        </w:rPr>
        <w:t xml:space="preserve">Deploy patches and updates to in-scope systems within defined SLAs</w:t>
      </w:r>
    </w:p>
    <w:p>
      <w:pPr>
        <w:pStyle w:val="ListParagraph"/>
        <w:numPr>
          <w:ilvl w:val="0"/>
          <w:numId w:val="2"/>
        </w:numPr>
        <w:spacing w:after="40" w:before="40"/>
      </w:pPr>
      <w:r>
        <w:rPr>
          <w:rFonts w:ascii="Arial" w:cs="Arial" w:eastAsia="Arial" w:hAnsi="Arial"/>
          <w:color w:val="1A2340"/>
          <w:sz w:val="20"/>
          <w:szCs w:val="20"/>
        </w:rPr>
        <w:t xml:space="preserve">Maintain and operate the vulnerability register with current status for all open items</w:t>
      </w:r>
    </w:p>
    <w:p>
      <w:pPr>
        <w:pStyle w:val="ListParagraph"/>
        <w:numPr>
          <w:ilvl w:val="0"/>
          <w:numId w:val="2"/>
        </w:numPr>
        <w:spacing w:after="40" w:before="40"/>
      </w:pPr>
      <w:r>
        <w:rPr>
          <w:rFonts w:ascii="Arial" w:cs="Arial" w:eastAsia="Arial" w:hAnsi="Arial"/>
          <w:color w:val="1A2340"/>
          <w:sz w:val="20"/>
          <w:szCs w:val="20"/>
        </w:rPr>
        <w:t xml:space="preserve">Coordinate with asset owners to schedule and complete remediation activities</w:t>
      </w:r>
    </w:p>
    <w:p>
      <w:pPr>
        <w:pStyle w:val="ListParagraph"/>
        <w:numPr>
          <w:ilvl w:val="0"/>
          <w:numId w:val="2"/>
        </w:numPr>
        <w:spacing w:after="40" w:before="40"/>
      </w:pPr>
      <w:r>
        <w:rPr>
          <w:rFonts w:ascii="Arial" w:cs="Arial" w:eastAsia="Arial" w:hAnsi="Arial"/>
          <w:color w:val="1A2340"/>
          <w:sz w:val="20"/>
          <w:szCs w:val="20"/>
        </w:rPr>
        <w:t xml:space="preserve">Manage patch testing in non-production environments before production deployment</w:t>
      </w:r>
    </w:p>
    <w:p>
      <w:pPr>
        <w:pStyle w:val="ListParagraph"/>
        <w:numPr>
          <w:ilvl w:val="0"/>
          <w:numId w:val="2"/>
        </w:numPr>
        <w:spacing w:after="40" w:before="40"/>
      </w:pPr>
      <w:r>
        <w:rPr>
          <w:rFonts w:ascii="Arial" w:cs="Arial" w:eastAsia="Arial" w:hAnsi="Arial"/>
          <w:color w:val="1A2340"/>
          <w:sz w:val="20"/>
          <w:szCs w:val="20"/>
        </w:rPr>
        <w:t xml:space="preserve">Maintain an inventory of all in-scope assets to ensure comprehensive scan coverage</w:t>
      </w:r>
    </w:p>
    <w:p>
      <w:pPr>
        <w:pStyle w:val="ListParagraph"/>
        <w:numPr>
          <w:ilvl w:val="0"/>
          <w:numId w:val="2"/>
        </w:numPr>
        <w:spacing w:after="40" w:before="40"/>
      </w:pPr>
      <w:r>
        <w:rPr>
          <w:rFonts w:ascii="Arial" w:cs="Arial" w:eastAsia="Arial" w:hAnsi="Arial"/>
          <w:color w:val="1A2340"/>
          <w:sz w:val="20"/>
          <w:szCs w:val="20"/>
        </w:rPr>
        <w:t xml:space="preserve">Report scan results and remediation progress to the CISO/vCISO monthly</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5.3 System / Asset Owners</w:t>
      </w:r>
    </w:p>
    <w:p>
      <w:pPr>
        <w:pStyle w:val="ListParagraph"/>
        <w:numPr>
          <w:ilvl w:val="0"/>
          <w:numId w:val="2"/>
        </w:numPr>
        <w:spacing w:after="40" w:before="40"/>
      </w:pPr>
      <w:r>
        <w:rPr>
          <w:rFonts w:ascii="Arial" w:cs="Arial" w:eastAsia="Arial" w:hAnsi="Arial"/>
          <w:color w:val="1A2340"/>
          <w:sz w:val="20"/>
          <w:szCs w:val="20"/>
        </w:rPr>
        <w:t xml:space="preserve">Are accountable for ensuring vulnerabilities within their systems are remediated within SLA</w:t>
      </w:r>
    </w:p>
    <w:p>
      <w:pPr>
        <w:pStyle w:val="ListParagraph"/>
        <w:numPr>
          <w:ilvl w:val="0"/>
          <w:numId w:val="2"/>
        </w:numPr>
        <w:spacing w:after="40" w:before="40"/>
      </w:pPr>
      <w:r>
        <w:rPr>
          <w:rFonts w:ascii="Arial" w:cs="Arial" w:eastAsia="Arial" w:hAnsi="Arial"/>
          <w:color w:val="1A2340"/>
          <w:sz w:val="20"/>
          <w:szCs w:val="20"/>
        </w:rPr>
        <w:t xml:space="preserve">Provide business context to support risk-based prioritization decisions</w:t>
      </w:r>
    </w:p>
    <w:p>
      <w:pPr>
        <w:pStyle w:val="ListParagraph"/>
        <w:numPr>
          <w:ilvl w:val="0"/>
          <w:numId w:val="2"/>
        </w:numPr>
        <w:spacing w:after="40" w:before="40"/>
      </w:pPr>
      <w:r>
        <w:rPr>
          <w:rFonts w:ascii="Arial" w:cs="Arial" w:eastAsia="Arial" w:hAnsi="Arial"/>
          <w:color w:val="1A2340"/>
          <w:sz w:val="20"/>
          <w:szCs w:val="20"/>
        </w:rPr>
        <w:t xml:space="preserve">Authorize compensating controls or exception requests where remediation is not feasible</w:t>
      </w:r>
    </w:p>
    <w:p>
      <w:pPr>
        <w:pStyle w:val="ListParagraph"/>
        <w:numPr>
          <w:ilvl w:val="0"/>
          <w:numId w:val="2"/>
        </w:numPr>
        <w:spacing w:after="40" w:before="40"/>
      </w:pPr>
      <w:r>
        <w:rPr>
          <w:rFonts w:ascii="Arial" w:cs="Arial" w:eastAsia="Arial" w:hAnsi="Arial"/>
          <w:color w:val="1A2340"/>
          <w:sz w:val="20"/>
          <w:szCs w:val="20"/>
        </w:rPr>
        <w:t xml:space="preserve">Participate in remediation planning and ensure adequate resources for patching activities</w:t>
      </w:r>
    </w:p>
    <w:p>
      <w:pPr>
        <w:pStyle w:val="ListParagraph"/>
        <w:numPr>
          <w:ilvl w:val="0"/>
          <w:numId w:val="2"/>
        </w:numPr>
        <w:spacing w:after="40" w:before="40"/>
      </w:pPr>
      <w:r>
        <w:rPr>
          <w:rFonts w:ascii="Arial" w:cs="Arial" w:eastAsia="Arial" w:hAnsi="Arial"/>
          <w:color w:val="1A2340"/>
          <w:sz w:val="20"/>
          <w:szCs w:val="20"/>
        </w:rPr>
        <w:t xml:space="preserve">Accept residual risk (with CISO/vCISO approval) for vulnerabilities that cannot be remediated</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5.4 Development Team (If Applicable)</w:t>
      </w:r>
    </w:p>
    <w:p>
      <w:pPr>
        <w:pStyle w:val="ListParagraph"/>
        <w:numPr>
          <w:ilvl w:val="0"/>
          <w:numId w:val="2"/>
        </w:numPr>
        <w:spacing w:after="40" w:before="40"/>
      </w:pPr>
      <w:r>
        <w:rPr>
          <w:rFonts w:ascii="Arial" w:cs="Arial" w:eastAsia="Arial" w:hAnsi="Arial"/>
          <w:color w:val="1A2340"/>
          <w:sz w:val="20"/>
          <w:szCs w:val="20"/>
        </w:rPr>
        <w:t xml:space="preserve">Remediate application-layer vulnerabilities identified in web application scans and penetration tests</w:t>
      </w:r>
    </w:p>
    <w:p>
      <w:pPr>
        <w:pStyle w:val="ListParagraph"/>
        <w:numPr>
          <w:ilvl w:val="0"/>
          <w:numId w:val="2"/>
        </w:numPr>
        <w:spacing w:after="40" w:before="40"/>
      </w:pPr>
      <w:r>
        <w:rPr>
          <w:rFonts w:ascii="Arial" w:cs="Arial" w:eastAsia="Arial" w:hAnsi="Arial"/>
          <w:color w:val="1A2340"/>
          <w:sz w:val="20"/>
          <w:szCs w:val="20"/>
        </w:rPr>
        <w:t xml:space="preserve">Integrate security scanning into the software development lifecycle (SDLC), including SAST and DAST</w:t>
      </w:r>
    </w:p>
    <w:p>
      <w:pPr>
        <w:pStyle w:val="ListParagraph"/>
        <w:numPr>
          <w:ilvl w:val="0"/>
          <w:numId w:val="2"/>
        </w:numPr>
        <w:spacing w:after="40" w:before="40"/>
      </w:pPr>
      <w:r>
        <w:rPr>
          <w:rFonts w:ascii="Arial" w:cs="Arial" w:eastAsia="Arial" w:hAnsi="Arial"/>
          <w:color w:val="1A2340"/>
          <w:sz w:val="20"/>
          <w:szCs w:val="20"/>
        </w:rPr>
        <w:t xml:space="preserve">Follow secure coding standards to reduce vulnerability introduction</w:t>
      </w:r>
    </w:p>
    <w:p>
      <w:pPr>
        <w:pStyle w:val="ListParagraph"/>
        <w:numPr>
          <w:ilvl w:val="0"/>
          <w:numId w:val="2"/>
        </w:numPr>
        <w:spacing w:after="40" w:before="40"/>
      </w:pPr>
      <w:r>
        <w:rPr>
          <w:rFonts w:ascii="Arial" w:cs="Arial" w:eastAsia="Arial" w:hAnsi="Arial"/>
          <w:color w:val="1A2340"/>
          <w:sz w:val="20"/>
          <w:szCs w:val="20"/>
        </w:rPr>
        <w:t xml:space="preserve">Respond to application vulnerability findings within defined SLAs based on severity</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5.5 All Staff</w:t>
      </w:r>
    </w:p>
    <w:p>
      <w:pPr>
        <w:pStyle w:val="ListParagraph"/>
        <w:numPr>
          <w:ilvl w:val="0"/>
          <w:numId w:val="2"/>
        </w:numPr>
        <w:spacing w:after="40" w:before="40"/>
      </w:pPr>
      <w:r>
        <w:rPr>
          <w:rFonts w:ascii="Arial" w:cs="Arial" w:eastAsia="Arial" w:hAnsi="Arial"/>
          <w:color w:val="1A2340"/>
          <w:sz w:val="20"/>
          <w:szCs w:val="20"/>
        </w:rPr>
        <w:t xml:space="preserve">Report any suspected vulnerabilities, security weaknesses, or suspicious system behavior to the IT department or helpdesk immediately</w:t>
      </w:r>
    </w:p>
    <w:p>
      <w:pPr>
        <w:pStyle w:val="ListParagraph"/>
        <w:numPr>
          <w:ilvl w:val="0"/>
          <w:numId w:val="2"/>
        </w:numPr>
        <w:spacing w:after="40" w:before="40"/>
      </w:pPr>
      <w:r>
        <w:rPr>
          <w:rFonts w:ascii="Arial" w:cs="Arial" w:eastAsia="Arial" w:hAnsi="Arial"/>
          <w:color w:val="1A2340"/>
          <w:sz w:val="20"/>
          <w:szCs w:val="20"/>
        </w:rPr>
        <w:t xml:space="preserve">Do not attempt to exploit or further investigate suspected vulnerabilities independently</w:t>
      </w:r>
    </w:p>
    <w:p>
      <w:pPr>
        <w:pStyle w:val="ListParagraph"/>
        <w:numPr>
          <w:ilvl w:val="0"/>
          <w:numId w:val="2"/>
        </w:numPr>
        <w:spacing w:after="40" w:before="40"/>
      </w:pPr>
      <w:r>
        <w:rPr>
          <w:rFonts w:ascii="Arial" w:cs="Arial" w:eastAsia="Arial" w:hAnsi="Arial"/>
          <w:color w:val="1A2340"/>
          <w:sz w:val="20"/>
          <w:szCs w:val="20"/>
        </w:rPr>
        <w:t xml:space="preserve">Cooperate with patching and system maintenance activities, including system restarts during approved maintenance windows</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6. Policy Requirements</w:t>
      </w:r>
    </w:p>
    <w:p>
      <w:pPr>
        <w:pBdr>
          <w:bottom w:val="single" w:color="07B4D9" w:sz="4" w:space="1"/>
        </w:pBdr>
        <w:spacing w:after="120" w:before="120"/>
      </w:pPr>
      <w:r>
        <w:t xml:space="preserve"/>
      </w:r>
    </w:p>
    <w:p>
      <w:pPr>
        <w:pStyle w:val="Heading2"/>
        <w:spacing w:after="100" w:before="240"/>
      </w:pPr>
      <w:r>
        <w:rPr>
          <w:rFonts w:ascii="Arial" w:cs="Arial" w:eastAsia="Arial" w:hAnsi="Arial"/>
          <w:b/>
          <w:bCs/>
          <w:color w:val="152168"/>
          <w:sz w:val="26"/>
          <w:szCs w:val="26"/>
        </w:rPr>
        <w:t xml:space="preserve">6.1 Vulnerability Scanning</w:t>
      </w:r>
    </w:p>
    <w:p>
      <w:pPr>
        <w:spacing w:after="60" w:before="60"/>
      </w:pPr>
      <w:r>
        <w:rPr>
          <w:rFonts w:ascii="Arial" w:cs="Arial" w:eastAsia="Arial" w:hAnsi="Arial"/>
          <w:color w:val="1A2340"/>
          <w:sz w:val="20"/>
          <w:szCs w:val="20"/>
        </w:rPr>
        <w:t xml:space="preserve">All in-scope assets must be included in regular vulnerability scanning. Scans must use authenticated credentials where technically feasible. Unauthenticated scans alone are not sufficient.</w:t>
      </w:r>
    </w:p>
    <w:p>
      <w:pPr>
        <w:spacing w:after="60" w:before="60"/>
      </w:pPr>
      <w:r>
        <w:t xml:space="preserve"/>
      </w:r>
    </w:p>
    <w:p>
      <w:pPr>
        <w:spacing w:after="60" w:before="60"/>
      </w:pPr>
      <w:r>
        <w:rPr>
          <w:rFonts w:ascii="Arial" w:cs="Arial" w:eastAsia="Arial" w:hAnsi="Arial"/>
          <w:color w:val="1A2340"/>
          <w:sz w:val="20"/>
          <w:szCs w:val="20"/>
        </w:rPr>
        <w:t xml:space="preserve">Scanning frequency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Type</w:t>
            </w:r>
          </w:p>
        </w:tc>
        <w:tc>
          <w:tcPr>
            <w:tcW w:type="dxa" w:w="25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Scan Frequency</w:t>
            </w:r>
          </w:p>
        </w:tc>
        <w:tc>
          <w:tcPr>
            <w:tcW w:type="dxa" w:w="37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Internet-facing systems (perimeter, DMZ, public-facing servers)</w:t>
            </w:r>
          </w:p>
        </w:tc>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Weekly</w:t>
            </w:r>
          </w:p>
        </w:tc>
        <w:tc>
          <w:tcPr>
            <w:tcW w:type="dxa" w:w="37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Authenticated scan required</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Internal systems (servers, workstations, internal applications)</w:t>
            </w:r>
          </w:p>
        </w:tc>
        <w:tc>
          <w:tcPr>
            <w:tcW w:type="dxa" w:w="25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Monthly</w:t>
            </w:r>
          </w:p>
        </w:tc>
        <w:tc>
          <w:tcPr>
            <w:tcW w:type="dxa" w:w="37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Authenticated scan required</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Web applications (public-facing and internal)</w:t>
            </w:r>
          </w:p>
        </w:tc>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Quarterly DAST + Annual manual pen test</w:t>
            </w:r>
          </w:p>
        </w:tc>
        <w:tc>
          <w:tcPr>
            <w:tcW w:type="dxa" w:w="37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DAST tool required; manual pen test by qualified tester</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New systems prior to production</w:t>
            </w:r>
          </w:p>
        </w:tc>
        <w:tc>
          <w:tcPr>
            <w:tcW w:type="dxa" w:w="25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Before go-live (scan-before-deploy gate)</w:t>
            </w:r>
          </w:p>
        </w:tc>
        <w:tc>
          <w:tcPr>
            <w:tcW w:type="dxa" w:w="37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No Critical or High vulnerabilities in production without documented exception</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Systems after significant changes</w:t>
            </w:r>
          </w:p>
        </w:tc>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Within 5 business days of change</w:t>
            </w:r>
          </w:p>
        </w:tc>
        <w:tc>
          <w:tcPr>
            <w:tcW w:type="dxa" w:w="37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Targeted rescan of affected systems and scope</w:t>
            </w:r>
          </w:p>
        </w:tc>
      </w:tr>
    </w:tbl>
    <w:p>
      <w:pPr>
        <w:spacing w:after="60" w:before="60"/>
      </w:pPr>
      <w:r>
        <w:t xml:space="preserve"/>
      </w:r>
    </w:p>
    <w:p>
      <w:pPr>
        <w:spacing w:after="60" w:before="60"/>
      </w:pPr>
      <w:r>
        <w:rPr>
          <w:rFonts w:ascii="Arial" w:cs="Arial" w:eastAsia="Arial" w:hAnsi="Arial"/>
          <w:color w:val="1A2340"/>
          <w:sz w:val="20"/>
          <w:szCs w:val="20"/>
        </w:rPr>
        <w:t xml:space="preserve">Scan results must be retained for a minimum of 12 months to support trend analysis and audit requirements.</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6.2 Vulnerability Severity and Prioritization</w:t>
      </w:r>
    </w:p>
    <w:p>
      <w:pPr>
        <w:spacing w:after="60" w:before="60"/>
      </w:pPr>
      <w:r>
        <w:rPr>
          <w:rFonts w:ascii="Arial" w:cs="Arial" w:eastAsia="Arial" w:hAnsi="Arial"/>
          <w:color w:val="1A2340"/>
          <w:sz w:val="20"/>
          <w:szCs w:val="20"/>
        </w:rPr>
        <w:t xml:space="preserve">Vulnerabilities will be scored using CVSS 3.1. Remediation SLAs are applied from the date of discovery/identification in a scan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CVSS Range</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SLA</w:t>
            </w:r>
          </w:p>
        </w:tc>
        <w:tc>
          <w:tcPr>
            <w:tcW w:type="dxa" w:w="468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60"/>
            <w:tcBorders>
              <w:top w:val="single" w:color="DDE3EF" w:sz="1"/>
              <w:left w:val="single" w:color="DDE3EF" w:sz="1"/>
              <w:bottom w:val="single" w:color="DDE3EF" w:sz="1"/>
              <w:right w:val="single" w:color="DDE3E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9.0 to 10.0</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Immediate; same-day for KEV</w:t>
            </w:r>
          </w:p>
        </w:tc>
        <w:tc>
          <w:tcPr>
            <w:tcW w:type="dxa" w:w="468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Remotely exploitable, high impact. Not subject to normal SLA scheduling. Requires immediate escalation and emergency remediation.</w:t>
            </w:r>
          </w:p>
        </w:tc>
      </w:tr>
      <w:tr>
        <w:tc>
          <w:tcPr>
            <w:tcW w:type="dxa" w:w="1560"/>
            <w:tcBorders>
              <w:top w:val="single" w:color="DDE3EF" w:sz="1"/>
              <w:left w:val="single" w:color="DDE3EF" w:sz="1"/>
              <w:bottom w:val="single" w:color="DDE3EF" w:sz="1"/>
              <w:right w:val="single" w:color="DDE3EF"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6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7.0 to 8.9</w:t>
            </w:r>
          </w:p>
        </w:tc>
        <w:tc>
          <w:tcPr>
            <w:tcW w:type="dxa" w:w="156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bCs/>
                <w:color w:val="1A2340"/>
                <w:sz w:val="20"/>
                <w:szCs w:val="20"/>
              </w:rPr>
              <w:t xml:space="preserve">14 days from identification</w:t>
            </w:r>
          </w:p>
        </w:tc>
        <w:tc>
          <w:tcPr>
            <w:tcW w:type="dxa" w:w="468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Serious vulnerabilities with significant potential impact. Must be remediated or formally risk-accepted within SLA.</w:t>
            </w:r>
          </w:p>
        </w:tc>
      </w:tr>
      <w:tr>
        <w:tc>
          <w:tcPr>
            <w:tcW w:type="dxa" w:w="1560"/>
            <w:tcBorders>
              <w:top w:val="single" w:color="DDE3EF" w:sz="1"/>
              <w:left w:val="single" w:color="DDE3EF" w:sz="1"/>
              <w:bottom w:val="single" w:color="DDE3EF" w:sz="1"/>
              <w:right w:val="single" w:color="DDE3E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4.0 to 6.9</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30 days from identification</w:t>
            </w:r>
          </w:p>
        </w:tc>
        <w:tc>
          <w:tcPr>
            <w:tcW w:type="dxa" w:w="468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Moderate risk. May require user interaction or specific conditions to exploit. Should be remediated in the next patch cycle.</w:t>
            </w:r>
          </w:p>
        </w:tc>
      </w:tr>
      <w:tr>
        <w:tc>
          <w:tcPr>
            <w:tcW w:type="dxa" w:w="1560"/>
            <w:tcBorders>
              <w:top w:val="single" w:color="DDE3EF" w:sz="1"/>
              <w:left w:val="single" w:color="DDE3EF" w:sz="1"/>
              <w:bottom w:val="single" w:color="DDE3EF" w:sz="1"/>
              <w:right w:val="single" w:color="DDE3EF"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0.1 to 3.9</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90 days from identification</w:t>
            </w:r>
          </w:p>
        </w:tc>
        <w:tc>
          <w:tcPr>
            <w:tcW w:type="dxa" w:w="468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Minimal immediate risk. Track and remediate as part of regular maintenance. Review at each monthly patch cycle.</w:t>
            </w:r>
          </w:p>
        </w:tc>
      </w:tr>
    </w:tbl>
    <w:p>
      <w:pPr>
        <w:spacing w:after="60" w:before="60"/>
      </w:pPr>
      <w:r>
        <w:t xml:space="preserve"/>
      </w:r>
    </w:p>
    <w:p>
      <w:pPr>
        <w:pStyle w:val="Heading3"/>
        <w:spacing w:after="80" w:before="180"/>
      </w:pPr>
      <w:r>
        <w:rPr>
          <w:rFonts w:ascii="Arial" w:cs="Arial" w:eastAsia="Arial" w:hAnsi="Arial"/>
          <w:b/>
          <w:bCs/>
          <w:color w:val="4F46E5"/>
          <w:sz w:val="22"/>
          <w:szCs w:val="22"/>
        </w:rPr>
        <w:t xml:space="preserve">6.2.1 Risk Adjustment Factors</w:t>
      </w:r>
    </w:p>
    <w:p>
      <w:pPr>
        <w:spacing w:after="60" w:before="60"/>
      </w:pPr>
      <w:r>
        <w:rPr>
          <w:rFonts w:ascii="Arial" w:cs="Arial" w:eastAsia="Arial" w:hAnsi="Arial"/>
          <w:color w:val="1A2340"/>
          <w:sz w:val="20"/>
          <w:szCs w:val="20"/>
        </w:rPr>
        <w:t xml:space="preserve">CVSS scores represent base severity and do not account for organizational context. IT and the CISO/vCISO must apply the following risk adjustment factors:</w:t>
      </w:r>
    </w:p>
    <w:p>
      <w:pPr>
        <w:pStyle w:val="ListParagraph"/>
        <w:numPr>
          <w:ilvl w:val="0"/>
          <w:numId w:val="2"/>
        </w:numPr>
        <w:spacing w:after="40" w:before="40"/>
      </w:pPr>
      <w:r>
        <w:rPr>
          <w:rFonts w:ascii="Arial" w:cs="Arial" w:eastAsia="Arial" w:hAnsi="Arial"/>
          <w:color w:val="1A2340"/>
          <w:sz w:val="20"/>
          <w:szCs w:val="20"/>
        </w:rPr>
        <w:t xml:space="preserve">CISA Known Exploited Vulnerabilities (KEV) Catalog: Any vulnerability listed in the CISA KEV catalog must be treated with escalated priority. Critical vulnerabilities in the CISA KEV list on internet-facing systems require same-day remediation regardless of standard SLA.</w:t>
      </w:r>
    </w:p>
    <w:p>
      <w:pPr>
        <w:pStyle w:val="ListParagraph"/>
        <w:numPr>
          <w:ilvl w:val="0"/>
          <w:numId w:val="2"/>
        </w:numPr>
        <w:spacing w:after="40" w:before="40"/>
      </w:pPr>
      <w:r>
        <w:rPr>
          <w:rFonts w:ascii="Arial" w:cs="Arial" w:eastAsia="Arial" w:hAnsi="Arial"/>
          <w:color w:val="1A2340"/>
          <w:sz w:val="20"/>
          <w:szCs w:val="20"/>
        </w:rPr>
        <w:t xml:space="preserve">Exploitability: Availability of public proof-of-concept exploit code or active threat intelligence indicating in-the-wild exploitation escalates priority to the next severity band.</w:t>
      </w:r>
    </w:p>
    <w:p>
      <w:pPr>
        <w:pStyle w:val="ListParagraph"/>
        <w:numPr>
          <w:ilvl w:val="0"/>
          <w:numId w:val="2"/>
        </w:numPr>
        <w:spacing w:after="40" w:before="40"/>
      </w:pPr>
      <w:r>
        <w:rPr>
          <w:rFonts w:ascii="Arial" w:cs="Arial" w:eastAsia="Arial" w:hAnsi="Arial"/>
          <w:color w:val="1A2340"/>
          <w:sz w:val="20"/>
          <w:szCs w:val="20"/>
        </w:rPr>
        <w:t xml:space="preserve">Asset Criticality: Vulnerabilities on systems designated as business-critical (payment infrastructure, core identity providers, externally accessible services) must be escalated by one severity band.</w:t>
      </w:r>
    </w:p>
    <w:p>
      <w:pPr>
        <w:pStyle w:val="ListParagraph"/>
        <w:numPr>
          <w:ilvl w:val="0"/>
          <w:numId w:val="2"/>
        </w:numPr>
        <w:spacing w:after="40" w:before="40"/>
      </w:pPr>
      <w:r>
        <w:rPr>
          <w:rFonts w:ascii="Arial" w:cs="Arial" w:eastAsia="Arial" w:hAnsi="Arial"/>
          <w:color w:val="1A2340"/>
          <w:sz w:val="20"/>
          <w:szCs w:val="20"/>
        </w:rPr>
        <w:t xml:space="preserve">Exposure: Vulnerabilities on internet-facing systems carry higher risk than the same vulnerability on an isolated internal system. Exposure to public networks must factor into prioritization decisions.</w:t>
      </w:r>
    </w:p>
    <w:p>
      <w:pPr>
        <w:pStyle w:val="ListParagraph"/>
        <w:numPr>
          <w:ilvl w:val="0"/>
          <w:numId w:val="2"/>
        </w:numPr>
        <w:spacing w:after="40" w:before="40"/>
      </w:pPr>
      <w:r>
        <w:rPr>
          <w:rFonts w:ascii="Arial" w:cs="Arial" w:eastAsia="Arial" w:hAnsi="Arial"/>
          <w:color w:val="1A2340"/>
          <w:sz w:val="20"/>
          <w:szCs w:val="20"/>
        </w:rPr>
        <w:t xml:space="preserve">Zero-Day Vulnerabilities: Any confirmed zero-day (exploited before a patch is available) is automatically treated as Critical severity and triggers the emergency remediation process in Section 6.3.</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6.3 Remediation Process</w:t>
      </w:r>
    </w:p>
    <w:p>
      <w:pPr>
        <w:spacing w:after="60" w:before="60"/>
      </w:pPr>
      <w:r>
        <w:rPr>
          <w:rFonts w:ascii="Arial" w:cs="Arial" w:eastAsia="Arial" w:hAnsi="Arial"/>
          <w:color w:val="1A2340"/>
          <w:sz w:val="20"/>
          <w:szCs w:val="20"/>
        </w:rPr>
        <w:t xml:space="preserve">All identified vulnerabilities must follow the standardized remediation workflow:</w:t>
      </w:r>
    </w:p>
    <w:p>
      <w:pPr>
        <w:pStyle w:val="ListParagraph"/>
        <w:numPr>
          <w:ilvl w:val="0"/>
          <w:numId w:val="3"/>
        </w:numPr>
        <w:spacing w:after="40" w:before="40"/>
      </w:pPr>
      <w:r>
        <w:rPr>
          <w:rFonts w:ascii="Arial" w:cs="Arial" w:eastAsia="Arial" w:hAnsi="Arial"/>
          <w:color w:val="1A2340"/>
          <w:sz w:val="20"/>
          <w:szCs w:val="20"/>
        </w:rPr>
        <w:t xml:space="preserve">Identify — Vulnerability detected via automated scan, penetration test, vendor advisory, or staff report</w:t>
      </w:r>
    </w:p>
    <w:p>
      <w:pPr>
        <w:pStyle w:val="ListParagraph"/>
        <w:numPr>
          <w:ilvl w:val="0"/>
          <w:numId w:val="3"/>
        </w:numPr>
        <w:spacing w:after="40" w:before="40"/>
      </w:pPr>
      <w:r>
        <w:rPr>
          <w:rFonts w:ascii="Arial" w:cs="Arial" w:eastAsia="Arial" w:hAnsi="Arial"/>
          <w:color w:val="1A2340"/>
          <w:sz w:val="20"/>
          <w:szCs w:val="20"/>
        </w:rPr>
        <w:t xml:space="preserve">Verify — Confirm the vulnerability is genuine and applicable (eliminate false positives)</w:t>
      </w:r>
    </w:p>
    <w:p>
      <w:pPr>
        <w:pStyle w:val="ListParagraph"/>
        <w:numPr>
          <w:ilvl w:val="0"/>
          <w:numId w:val="3"/>
        </w:numPr>
        <w:spacing w:after="40" w:before="40"/>
      </w:pPr>
      <w:r>
        <w:rPr>
          <w:rFonts w:ascii="Arial" w:cs="Arial" w:eastAsia="Arial" w:hAnsi="Arial"/>
          <w:color w:val="1A2340"/>
          <w:sz w:val="20"/>
          <w:szCs w:val="20"/>
        </w:rPr>
        <w:t xml:space="preserve">Prioritize — Apply CVSS score and risk adjustment factors to determine remediation urgency</w:t>
      </w:r>
    </w:p>
    <w:p>
      <w:pPr>
        <w:pStyle w:val="ListParagraph"/>
        <w:numPr>
          <w:ilvl w:val="0"/>
          <w:numId w:val="3"/>
        </w:numPr>
        <w:spacing w:after="40" w:before="40"/>
      </w:pPr>
      <w:r>
        <w:rPr>
          <w:rFonts w:ascii="Arial" w:cs="Arial" w:eastAsia="Arial" w:hAnsi="Arial"/>
          <w:color w:val="1A2340"/>
          <w:sz w:val="20"/>
          <w:szCs w:val="20"/>
        </w:rPr>
        <w:t xml:space="preserve">Assign Owner — Record in the vulnerability register with assigned system owner and target remediation date</w:t>
      </w:r>
    </w:p>
    <w:p>
      <w:pPr>
        <w:pStyle w:val="ListParagraph"/>
        <w:numPr>
          <w:ilvl w:val="0"/>
          <w:numId w:val="3"/>
        </w:numPr>
        <w:spacing w:after="40" w:before="40"/>
      </w:pPr>
      <w:r>
        <w:rPr>
          <w:rFonts w:ascii="Arial" w:cs="Arial" w:eastAsia="Arial" w:hAnsi="Arial"/>
          <w:color w:val="1A2340"/>
          <w:sz w:val="20"/>
          <w:szCs w:val="20"/>
        </w:rPr>
        <w:t xml:space="preserve">Remediate — Apply patch, implement mitigation, or submit formal exception request</w:t>
      </w:r>
    </w:p>
    <w:p>
      <w:pPr>
        <w:pStyle w:val="ListParagraph"/>
        <w:numPr>
          <w:ilvl w:val="0"/>
          <w:numId w:val="3"/>
        </w:numPr>
        <w:spacing w:after="40" w:before="40"/>
      </w:pPr>
      <w:r>
        <w:rPr>
          <w:rFonts w:ascii="Arial" w:cs="Arial" w:eastAsia="Arial" w:hAnsi="Arial"/>
          <w:color w:val="1A2340"/>
          <w:sz w:val="20"/>
          <w:szCs w:val="20"/>
        </w:rPr>
        <w:t xml:space="preserve">Verify Remediation — Re-scan or manually verify the vulnerability has been addressed</w:t>
      </w:r>
    </w:p>
    <w:p>
      <w:pPr>
        <w:pStyle w:val="ListParagraph"/>
        <w:numPr>
          <w:ilvl w:val="0"/>
          <w:numId w:val="3"/>
        </w:numPr>
        <w:spacing w:after="40" w:before="40"/>
      </w:pPr>
      <w:r>
        <w:rPr>
          <w:rFonts w:ascii="Arial" w:cs="Arial" w:eastAsia="Arial" w:hAnsi="Arial"/>
          <w:color w:val="1A2340"/>
          <w:sz w:val="20"/>
          <w:szCs w:val="20"/>
        </w:rPr>
        <w:t xml:space="preserve">Close — Mark closed in the vulnerability register with resolution date and method</w:t>
      </w:r>
    </w:p>
    <w:p>
      <w:pPr>
        <w:pStyle w:val="ListParagraph"/>
        <w:numPr>
          <w:ilvl w:val="0"/>
          <w:numId w:val="3"/>
        </w:numPr>
        <w:spacing w:after="40" w:before="40"/>
      </w:pPr>
      <w:r>
        <w:rPr>
          <w:rFonts w:ascii="Arial" w:cs="Arial" w:eastAsia="Arial" w:hAnsi="Arial"/>
          <w:color w:val="1A2340"/>
          <w:sz w:val="20"/>
          <w:szCs w:val="20"/>
        </w:rPr>
        <w:t xml:space="preserve">Report — Include in monthly vulnerability status report</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6.3.1 Emergency Remediation Process</w:t>
      </w:r>
    </w:p>
    <w:p>
      <w:pPr>
        <w:spacing w:after="60" w:before="60"/>
      </w:pPr>
      <w:r>
        <w:rPr>
          <w:rFonts w:ascii="Arial" w:cs="Arial" w:eastAsia="Arial" w:hAnsi="Arial"/>
          <w:color w:val="1A2340"/>
          <w:sz w:val="20"/>
          <w:szCs w:val="20"/>
        </w:rPr>
        <w:t xml:space="preserve">For Critical vulnerabilities and confirmed zero-day vulnerabilities, the following emergency process applies:</w:t>
      </w:r>
    </w:p>
    <w:p>
      <w:pPr>
        <w:pStyle w:val="ListParagraph"/>
        <w:numPr>
          <w:ilvl w:val="0"/>
          <w:numId w:val="2"/>
        </w:numPr>
        <w:spacing w:after="40" w:before="40"/>
      </w:pPr>
      <w:r>
        <w:rPr>
          <w:rFonts w:ascii="Arial" w:cs="Arial" w:eastAsia="Arial" w:hAnsi="Arial"/>
          <w:color w:val="1A2340"/>
          <w:sz w:val="20"/>
          <w:szCs w:val="20"/>
        </w:rPr>
        <w:t xml:space="preserve">Immediate escalation to CISO/vCISO and relevant system owner within 4 hours of identification</w:t>
      </w:r>
    </w:p>
    <w:p>
      <w:pPr>
        <w:pStyle w:val="ListParagraph"/>
        <w:numPr>
          <w:ilvl w:val="0"/>
          <w:numId w:val="2"/>
        </w:numPr>
        <w:spacing w:after="40" w:before="40"/>
      </w:pPr>
      <w:r>
        <w:rPr>
          <w:rFonts w:ascii="Arial" w:cs="Arial" w:eastAsia="Arial" w:hAnsi="Arial"/>
          <w:color w:val="1A2340"/>
          <w:sz w:val="20"/>
          <w:szCs w:val="20"/>
        </w:rPr>
        <w:t xml:space="preserve">Temporary isolation or access restriction of the affected system if exploitation is occurring or imminent</w:t>
      </w:r>
    </w:p>
    <w:p>
      <w:pPr>
        <w:pStyle w:val="ListParagraph"/>
        <w:numPr>
          <w:ilvl w:val="0"/>
          <w:numId w:val="2"/>
        </w:numPr>
        <w:spacing w:after="40" w:before="40"/>
      </w:pPr>
      <w:r>
        <w:rPr>
          <w:rFonts w:ascii="Arial" w:cs="Arial" w:eastAsia="Arial" w:hAnsi="Arial"/>
          <w:color w:val="1A2340"/>
          <w:sz w:val="20"/>
          <w:szCs w:val="20"/>
        </w:rPr>
        <w:t xml:space="preserve">Emergency change management process invoked — does not require standard change advisory board approval; requires CISO/vCISO approval followed by written confirmation within 24 hours</w:t>
      </w:r>
    </w:p>
    <w:p>
      <w:pPr>
        <w:pStyle w:val="ListParagraph"/>
        <w:numPr>
          <w:ilvl w:val="0"/>
          <w:numId w:val="2"/>
        </w:numPr>
        <w:spacing w:after="40" w:before="40"/>
      </w:pPr>
      <w:r>
        <w:rPr>
          <w:rFonts w:ascii="Arial" w:cs="Arial" w:eastAsia="Arial" w:hAnsi="Arial"/>
          <w:color w:val="1A2340"/>
          <w:sz w:val="20"/>
          <w:szCs w:val="20"/>
        </w:rPr>
        <w:t xml:space="preserve">Patch testing may be waived for verified Critical/zero-day vulnerabilities in internet-facing systems where delay creates unacceptable risk; the decision and rationale must be documented</w:t>
      </w:r>
    </w:p>
    <w:p>
      <w:pPr>
        <w:pStyle w:val="ListParagraph"/>
        <w:numPr>
          <w:ilvl w:val="0"/>
          <w:numId w:val="2"/>
        </w:numPr>
        <w:spacing w:after="40" w:before="40"/>
      </w:pPr>
      <w:r>
        <w:rPr>
          <w:rFonts w:ascii="Arial" w:cs="Arial" w:eastAsia="Arial" w:hAnsi="Arial"/>
          <w:color w:val="1A2340"/>
          <w:sz w:val="20"/>
          <w:szCs w:val="20"/>
        </w:rPr>
        <w:t xml:space="preserve">Post-remediation verification scan completed within 24 hours of patch deployment</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6.4 Patch Management</w:t>
      </w:r>
    </w:p>
    <w:p>
      <w:pPr>
        <w:spacing w:after="60" w:before="60"/>
      </w:pPr>
      <w:r>
        <w:rPr>
          <w:rFonts w:ascii="Arial" w:cs="Arial" w:eastAsia="Arial" w:hAnsi="Arial"/>
          <w:color w:val="1A2340"/>
          <w:sz w:val="20"/>
          <w:szCs w:val="20"/>
        </w:rPr>
        <w:t xml:space="preserve">Patch management is the primary mechanism for vulnerability remediation.</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6.4.1 Patch Sources</w:t>
      </w:r>
    </w:p>
    <w:p>
      <w:pPr>
        <w:pStyle w:val="ListParagraph"/>
        <w:numPr>
          <w:ilvl w:val="0"/>
          <w:numId w:val="2"/>
        </w:numPr>
        <w:spacing w:after="40" w:before="40"/>
      </w:pPr>
      <w:r>
        <w:rPr>
          <w:rFonts w:ascii="Arial" w:cs="Arial" w:eastAsia="Arial" w:hAnsi="Arial"/>
          <w:color w:val="1A2340"/>
          <w:sz w:val="20"/>
          <w:szCs w:val="20"/>
        </w:rPr>
        <w:t xml:space="preserve">Vendor security bulletins and advisories (subscribed to for all major software in use)</w:t>
      </w:r>
    </w:p>
    <w:p>
      <w:pPr>
        <w:pStyle w:val="ListParagraph"/>
        <w:numPr>
          <w:ilvl w:val="0"/>
          <w:numId w:val="2"/>
        </w:numPr>
        <w:spacing w:after="40" w:before="40"/>
      </w:pPr>
      <w:r>
        <w:rPr>
          <w:rFonts w:ascii="Arial" w:cs="Arial" w:eastAsia="Arial" w:hAnsi="Arial"/>
          <w:color w:val="1A2340"/>
          <w:sz w:val="20"/>
          <w:szCs w:val="20"/>
        </w:rPr>
        <w:t xml:space="preserve">Operating system update mechanisms (Windows Update / WSUS / SCCM for Windows; yum/apt update channels for Linux)</w:t>
      </w:r>
    </w:p>
    <w:p>
      <w:pPr>
        <w:pStyle w:val="ListParagraph"/>
        <w:numPr>
          <w:ilvl w:val="0"/>
          <w:numId w:val="2"/>
        </w:numPr>
        <w:spacing w:after="40" w:before="40"/>
      </w:pPr>
      <w:r>
        <w:rPr>
          <w:rFonts w:ascii="Arial" w:cs="Arial" w:eastAsia="Arial" w:hAnsi="Arial"/>
          <w:color w:val="1A2340"/>
          <w:sz w:val="20"/>
          <w:szCs w:val="20"/>
        </w:rPr>
        <w:t xml:space="preserve">Application vendor portals and automated update notifications</w:t>
      </w:r>
    </w:p>
    <w:p>
      <w:pPr>
        <w:pStyle w:val="ListParagraph"/>
        <w:numPr>
          <w:ilvl w:val="0"/>
          <w:numId w:val="2"/>
        </w:numPr>
        <w:spacing w:after="40" w:before="40"/>
      </w:pPr>
      <w:r>
        <w:rPr>
          <w:rFonts w:ascii="Arial" w:cs="Arial" w:eastAsia="Arial" w:hAnsi="Arial"/>
          <w:color w:val="1A2340"/>
          <w:sz w:val="20"/>
          <w:szCs w:val="20"/>
        </w:rPr>
        <w:t xml:space="preserve">CISA advisories and KEV catalog updates</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6.4.2 Patch Testing</w:t>
      </w:r>
    </w:p>
    <w:p>
      <w:pPr>
        <w:pStyle w:val="ListParagraph"/>
        <w:numPr>
          <w:ilvl w:val="0"/>
          <w:numId w:val="2"/>
        </w:numPr>
        <w:spacing w:after="40" w:before="40"/>
      </w:pPr>
      <w:r>
        <w:rPr>
          <w:rFonts w:ascii="Arial" w:cs="Arial" w:eastAsia="Arial" w:hAnsi="Arial"/>
          <w:color w:val="1A2340"/>
          <w:sz w:val="20"/>
          <w:szCs w:val="20"/>
        </w:rPr>
        <w:t xml:space="preserve">All patches classified as Medium or Low severity must be tested in a non-production environment before production deployment where a test environment exists</w:t>
      </w:r>
    </w:p>
    <w:p>
      <w:pPr>
        <w:pStyle w:val="ListParagraph"/>
        <w:numPr>
          <w:ilvl w:val="0"/>
          <w:numId w:val="2"/>
        </w:numPr>
        <w:spacing w:after="40" w:before="40"/>
      </w:pPr>
      <w:r>
        <w:rPr>
          <w:rFonts w:ascii="Arial" w:cs="Arial" w:eastAsia="Arial" w:hAnsi="Arial"/>
          <w:color w:val="1A2340"/>
          <w:sz w:val="20"/>
          <w:szCs w:val="20"/>
        </w:rPr>
        <w:t xml:space="preserve">High severity patches should be tested where operationally feasible without exceeding the 14-day SLA</w:t>
      </w:r>
    </w:p>
    <w:p>
      <w:pPr>
        <w:pStyle w:val="ListParagraph"/>
        <w:numPr>
          <w:ilvl w:val="0"/>
          <w:numId w:val="2"/>
        </w:numPr>
        <w:spacing w:after="40" w:before="40"/>
      </w:pPr>
      <w:r>
        <w:rPr>
          <w:rFonts w:ascii="Arial" w:cs="Arial" w:eastAsia="Arial" w:hAnsi="Arial"/>
          <w:color w:val="1A2340"/>
          <w:sz w:val="20"/>
          <w:szCs w:val="20"/>
        </w:rPr>
        <w:t xml:space="preserve">Critical and emergency patches may bypass test environment requirements when the risk of delay outweighs the risk of a patch-induced failure; this decision must be approved by the CISO/vCISO and documented</w:t>
      </w:r>
    </w:p>
    <w:p>
      <w:pPr>
        <w:pStyle w:val="ListParagraph"/>
        <w:numPr>
          <w:ilvl w:val="0"/>
          <w:numId w:val="2"/>
        </w:numPr>
        <w:spacing w:after="40" w:before="40"/>
      </w:pPr>
      <w:r>
        <w:rPr>
          <w:rFonts w:ascii="Arial" w:cs="Arial" w:eastAsia="Arial" w:hAnsi="Arial"/>
          <w:color w:val="1A2340"/>
          <w:sz w:val="20"/>
          <w:szCs w:val="20"/>
        </w:rPr>
        <w:t xml:space="preserve">Test results (success/failure, observed issues) must be recorded before production deployment</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6.4.3 Maintenance Windows</w:t>
      </w:r>
    </w:p>
    <w:p>
      <w:pPr>
        <w:pStyle w:val="ListParagraph"/>
        <w:numPr>
          <w:ilvl w:val="0"/>
          <w:numId w:val="2"/>
        </w:numPr>
        <w:spacing w:after="40" w:before="40"/>
      </w:pPr>
      <w:r>
        <w:rPr>
          <w:rFonts w:ascii="Arial" w:cs="Arial" w:eastAsia="Arial" w:hAnsi="Arial"/>
          <w:color w:val="1A2340"/>
          <w:sz w:val="20"/>
          <w:szCs w:val="20"/>
        </w:rPr>
        <w:t xml:space="preserve">Routine patching activities must be conducted during approved maintenance windows to minimize operational impact</w:t>
      </w:r>
    </w:p>
    <w:p>
      <w:pPr>
        <w:pStyle w:val="ListParagraph"/>
        <w:numPr>
          <w:ilvl w:val="0"/>
          <w:numId w:val="2"/>
        </w:numPr>
        <w:spacing w:after="40" w:before="40"/>
      </w:pPr>
      <w:r>
        <w:rPr>
          <w:rFonts w:ascii="Arial" w:cs="Arial" w:eastAsia="Arial" w:hAnsi="Arial"/>
          <w:color w:val="1A2340"/>
          <w:sz w:val="20"/>
          <w:szCs w:val="20"/>
        </w:rPr>
        <w:t xml:space="preserve">Maintenance windows must be communicated to affected users and stakeholders at least 48 hours in advance for non-emergency patching</w:t>
      </w:r>
    </w:p>
    <w:p>
      <w:pPr>
        <w:pStyle w:val="ListParagraph"/>
        <w:numPr>
          <w:ilvl w:val="0"/>
          <w:numId w:val="2"/>
        </w:numPr>
        <w:spacing w:after="40" w:before="40"/>
      </w:pPr>
      <w:r>
        <w:rPr>
          <w:rFonts w:ascii="Arial" w:cs="Arial" w:eastAsia="Arial" w:hAnsi="Arial"/>
          <w:color w:val="1A2340"/>
          <w:sz w:val="20"/>
          <w:szCs w:val="20"/>
        </w:rPr>
        <w:t xml:space="preserve">Emergency patching (Critical/zero-day) may be conducted outside maintenance windows with CISO/vCISO approval</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6.4.4 Rollback Procedures</w:t>
      </w:r>
    </w:p>
    <w:p>
      <w:pPr>
        <w:pStyle w:val="ListParagraph"/>
        <w:numPr>
          <w:ilvl w:val="0"/>
          <w:numId w:val="2"/>
        </w:numPr>
        <w:spacing w:after="40" w:before="40"/>
      </w:pPr>
      <w:r>
        <w:rPr>
          <w:rFonts w:ascii="Arial" w:cs="Arial" w:eastAsia="Arial" w:hAnsi="Arial"/>
          <w:color w:val="1A2340"/>
          <w:sz w:val="20"/>
          <w:szCs w:val="20"/>
        </w:rPr>
        <w:t xml:space="preserve">A documented rollback plan must exist for all production patches before deployment</w:t>
      </w:r>
    </w:p>
    <w:p>
      <w:pPr>
        <w:pStyle w:val="ListParagraph"/>
        <w:numPr>
          <w:ilvl w:val="0"/>
          <w:numId w:val="2"/>
        </w:numPr>
        <w:spacing w:after="40" w:before="40"/>
      </w:pPr>
      <w:r>
        <w:rPr>
          <w:rFonts w:ascii="Arial" w:cs="Arial" w:eastAsia="Arial" w:hAnsi="Arial"/>
          <w:color w:val="1A2340"/>
          <w:sz w:val="20"/>
          <w:szCs w:val="20"/>
        </w:rPr>
        <w:t xml:space="preserve">System backups must be verified before applying patches to critical systems</w:t>
      </w:r>
    </w:p>
    <w:p>
      <w:pPr>
        <w:pStyle w:val="ListParagraph"/>
        <w:numPr>
          <w:ilvl w:val="0"/>
          <w:numId w:val="2"/>
        </w:numPr>
        <w:spacing w:after="40" w:before="40"/>
      </w:pPr>
      <w:r>
        <w:rPr>
          <w:rFonts w:ascii="Arial" w:cs="Arial" w:eastAsia="Arial" w:hAnsi="Arial"/>
          <w:color w:val="1A2340"/>
          <w:sz w:val="20"/>
          <w:szCs w:val="20"/>
        </w:rPr>
        <w:t xml:space="preserve">Rollback must be initiated within 2 hours of detecting a patch-induced system failure</w:t>
      </w:r>
    </w:p>
    <w:p>
      <w:pPr>
        <w:pStyle w:val="ListParagraph"/>
        <w:numPr>
          <w:ilvl w:val="0"/>
          <w:numId w:val="2"/>
        </w:numPr>
        <w:spacing w:after="40" w:before="40"/>
      </w:pPr>
      <w:r>
        <w:rPr>
          <w:rFonts w:ascii="Arial" w:cs="Arial" w:eastAsia="Arial" w:hAnsi="Arial"/>
          <w:color w:val="1A2340"/>
          <w:sz w:val="20"/>
          <w:szCs w:val="20"/>
        </w:rPr>
        <w:t xml:space="preserve">Rollback decisions require approval from the system owner and IT lead</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6.4.5 End-of-Life Systems</w:t>
      </w:r>
    </w:p>
    <w:p>
      <w:pPr>
        <w:pStyle w:val="ListParagraph"/>
        <w:numPr>
          <w:ilvl w:val="0"/>
          <w:numId w:val="2"/>
        </w:numPr>
        <w:spacing w:after="40" w:before="40"/>
      </w:pPr>
      <w:r>
        <w:rPr>
          <w:rFonts w:ascii="Arial" w:cs="Arial" w:eastAsia="Arial" w:hAnsi="Arial"/>
          <w:color w:val="1A2340"/>
          <w:sz w:val="20"/>
          <w:szCs w:val="20"/>
        </w:rPr>
        <w:t xml:space="preserve">Systems running software or operating systems at vendor end-of-life (EOL) status represent an elevated and persistent risk</w:t>
      </w:r>
    </w:p>
    <w:p>
      <w:pPr>
        <w:pStyle w:val="ListParagraph"/>
        <w:numPr>
          <w:ilvl w:val="0"/>
          <w:numId w:val="2"/>
        </w:numPr>
        <w:spacing w:after="40" w:before="40"/>
      </w:pPr>
      <w:r>
        <w:rPr>
          <w:rFonts w:ascii="Arial" w:cs="Arial" w:eastAsia="Arial" w:hAnsi="Arial"/>
          <w:color w:val="1A2340"/>
          <w:sz w:val="20"/>
          <w:szCs w:val="20"/>
        </w:rPr>
        <w:t xml:space="preserve">A formal upgrade or replacement plan must be documented for all EOL systems within 90 days of EOL date</w:t>
      </w:r>
    </w:p>
    <w:p>
      <w:pPr>
        <w:pStyle w:val="ListParagraph"/>
        <w:numPr>
          <w:ilvl w:val="0"/>
          <w:numId w:val="2"/>
        </w:numPr>
        <w:spacing w:after="40" w:before="40"/>
      </w:pPr>
      <w:r>
        <w:rPr>
          <w:rFonts w:ascii="Arial" w:cs="Arial" w:eastAsia="Arial" w:hAnsi="Arial"/>
          <w:color w:val="1A2340"/>
          <w:sz w:val="20"/>
          <w:szCs w:val="20"/>
        </w:rPr>
        <w:t xml:space="preserve">EOL systems that cannot be immediately upgraded must have compensating controls in place (network segmentation, enhanced monitoring, access restrictions) and must be formally accepted by the system owner and CISO/vCISO</w:t>
      </w:r>
    </w:p>
    <w:p>
      <w:pPr>
        <w:pStyle w:val="ListParagraph"/>
        <w:numPr>
          <w:ilvl w:val="0"/>
          <w:numId w:val="2"/>
        </w:numPr>
        <w:spacing w:after="40" w:before="40"/>
      </w:pPr>
      <w:r>
        <w:rPr>
          <w:rFonts w:ascii="Arial" w:cs="Arial" w:eastAsia="Arial" w:hAnsi="Arial"/>
          <w:color w:val="1A2340"/>
          <w:sz w:val="20"/>
          <w:szCs w:val="20"/>
        </w:rPr>
        <w:t xml:space="preserve">EOL systems on internet-facing segments without an approved replacement plan are prohibited</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6.5 Exception and Risk Acceptance</w:t>
      </w:r>
    </w:p>
    <w:p>
      <w:pPr>
        <w:spacing w:after="60" w:before="60"/>
      </w:pPr>
      <w:r>
        <w:rPr>
          <w:rFonts w:ascii="Arial" w:cs="Arial" w:eastAsia="Arial" w:hAnsi="Arial"/>
          <w:color w:val="1A2340"/>
          <w:sz w:val="20"/>
          <w:szCs w:val="20"/>
        </w:rPr>
        <w:t xml:space="preserve">In circumstances where a vulnerability cannot be remediated within the defined SLA, a formal exception process must be followed. Unpatched vulnerabilities without an approved exception are policy violations.</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6.5.1 Exception Requirements</w:t>
      </w:r>
    </w:p>
    <w:p>
      <w:pPr>
        <w:pStyle w:val="ListParagraph"/>
        <w:numPr>
          <w:ilvl w:val="0"/>
          <w:numId w:val="2"/>
        </w:numPr>
        <w:spacing w:after="40" w:before="40"/>
      </w:pPr>
      <w:r>
        <w:rPr>
          <w:rFonts w:ascii="Arial" w:cs="Arial" w:eastAsia="Arial" w:hAnsi="Arial"/>
          <w:color w:val="1A2340"/>
          <w:sz w:val="20"/>
          <w:szCs w:val="20"/>
        </w:rPr>
        <w:t xml:space="preserve">Business justification for the exception must be documented in writing</w:t>
      </w:r>
    </w:p>
    <w:p>
      <w:pPr>
        <w:pStyle w:val="ListParagraph"/>
        <w:numPr>
          <w:ilvl w:val="0"/>
          <w:numId w:val="2"/>
        </w:numPr>
        <w:spacing w:after="40" w:before="40"/>
      </w:pPr>
      <w:r>
        <w:rPr>
          <w:rFonts w:ascii="Arial" w:cs="Arial" w:eastAsia="Arial" w:hAnsi="Arial"/>
          <w:color w:val="1A2340"/>
          <w:sz w:val="20"/>
          <w:szCs w:val="20"/>
        </w:rPr>
        <w:t xml:space="preserve">Compensating controls that reduce the risk to an acceptable level must be identified and implemented</w:t>
      </w:r>
    </w:p>
    <w:p>
      <w:pPr>
        <w:pStyle w:val="ListParagraph"/>
        <w:numPr>
          <w:ilvl w:val="0"/>
          <w:numId w:val="2"/>
        </w:numPr>
        <w:spacing w:after="40" w:before="40"/>
      </w:pPr>
      <w:r>
        <w:rPr>
          <w:rFonts w:ascii="Arial" w:cs="Arial" w:eastAsia="Arial" w:hAnsi="Arial"/>
          <w:color w:val="1A2340"/>
          <w:sz w:val="20"/>
          <w:szCs w:val="20"/>
        </w:rPr>
        <w:t xml:space="preserve">Risk must be formally accepted by both the system/asset owner and the CISO/vCISO</w:t>
      </w:r>
    </w:p>
    <w:p>
      <w:pPr>
        <w:pStyle w:val="ListParagraph"/>
        <w:numPr>
          <w:ilvl w:val="0"/>
          <w:numId w:val="2"/>
        </w:numPr>
        <w:spacing w:after="40" w:before="40"/>
      </w:pPr>
      <w:r>
        <w:rPr>
          <w:rFonts w:ascii="Arial" w:cs="Arial" w:eastAsia="Arial" w:hAnsi="Arial"/>
          <w:color w:val="1A2340"/>
          <w:sz w:val="20"/>
          <w:szCs w:val="20"/>
        </w:rPr>
        <w:t xml:space="preserve">Critical vulnerabilities cannot be accepted without additional sign-off from executive leadership (CEO, COO, or Board-level representative)</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6.5.2 Exception Governance</w:t>
      </w:r>
    </w:p>
    <w:p>
      <w:pPr>
        <w:pStyle w:val="ListParagraph"/>
        <w:numPr>
          <w:ilvl w:val="0"/>
          <w:numId w:val="2"/>
        </w:numPr>
        <w:spacing w:after="40" w:before="40"/>
      </w:pPr>
      <w:r>
        <w:rPr>
          <w:rFonts w:ascii="Arial" w:cs="Arial" w:eastAsia="Arial" w:hAnsi="Arial"/>
          <w:color w:val="1A2340"/>
          <w:sz w:val="20"/>
          <w:szCs w:val="20"/>
        </w:rPr>
        <w:t xml:space="preserve">All exceptions are time-limited to a maximum of 90 days without re-review and re-approval</w:t>
      </w:r>
    </w:p>
    <w:p>
      <w:pPr>
        <w:pStyle w:val="ListParagraph"/>
        <w:numPr>
          <w:ilvl w:val="0"/>
          <w:numId w:val="2"/>
        </w:numPr>
        <w:spacing w:after="40" w:before="40"/>
      </w:pPr>
      <w:r>
        <w:rPr>
          <w:rFonts w:ascii="Arial" w:cs="Arial" w:eastAsia="Arial" w:hAnsi="Arial"/>
          <w:color w:val="1A2340"/>
          <w:sz w:val="20"/>
          <w:szCs w:val="20"/>
        </w:rPr>
        <w:t xml:space="preserve">Exceptions must be tracked in the exception register with expiry dates</w:t>
      </w:r>
    </w:p>
    <w:p>
      <w:pPr>
        <w:pStyle w:val="ListParagraph"/>
        <w:numPr>
          <w:ilvl w:val="0"/>
          <w:numId w:val="2"/>
        </w:numPr>
        <w:spacing w:after="40" w:before="40"/>
      </w:pPr>
      <w:r>
        <w:rPr>
          <w:rFonts w:ascii="Arial" w:cs="Arial" w:eastAsia="Arial" w:hAnsi="Arial"/>
          <w:color w:val="1A2340"/>
          <w:sz w:val="20"/>
          <w:szCs w:val="20"/>
        </w:rPr>
        <w:t xml:space="preserve">The CISO/vCISO must review all active exceptions monthly and report the count and nature to leadership quarterly</w:t>
      </w:r>
    </w:p>
    <w:p>
      <w:pPr>
        <w:pStyle w:val="ListParagraph"/>
        <w:numPr>
          <w:ilvl w:val="0"/>
          <w:numId w:val="2"/>
        </w:numPr>
        <w:spacing w:after="40" w:before="40"/>
      </w:pPr>
      <w:r>
        <w:rPr>
          <w:rFonts w:ascii="Arial" w:cs="Arial" w:eastAsia="Arial" w:hAnsi="Arial"/>
          <w:color w:val="1A2340"/>
          <w:sz w:val="20"/>
          <w:szCs w:val="20"/>
        </w:rPr>
        <w:t xml:space="preserve">Expired exceptions without renewal are escalated automatically to the CISO/vCISO and system owner for immediate action</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6.6 Penetration Testing</w:t>
      </w:r>
    </w:p>
    <w:p>
      <w:pPr>
        <w:spacing w:after="60" w:before="60"/>
      </w:pPr>
      <w:r>
        <w:rPr>
          <w:rFonts w:ascii="Arial" w:cs="Arial" w:eastAsia="Arial" w:hAnsi="Arial"/>
          <w:color w:val="1A2340"/>
          <w:sz w:val="20"/>
          <w:szCs w:val="20"/>
        </w:rPr>
        <w:t xml:space="preserve">Annual penetration testing supplements automated scanning by identifying vulnerabilities that scanners may miss, testing multi-step attack chains, and validating the effectiveness of defensive controls.</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6.6.1 Penetration Test Requirements</w:t>
      </w:r>
    </w:p>
    <w:p>
      <w:pPr>
        <w:pStyle w:val="ListParagraph"/>
        <w:numPr>
          <w:ilvl w:val="0"/>
          <w:numId w:val="2"/>
        </w:numPr>
        <w:spacing w:after="40" w:before="40"/>
      </w:pPr>
      <w:r>
        <w:rPr>
          <w:rFonts w:ascii="Arial" w:cs="Arial" w:eastAsia="Arial" w:hAnsi="Arial"/>
          <w:color w:val="1A2340"/>
          <w:sz w:val="20"/>
          <w:szCs w:val="20"/>
        </w:rPr>
        <w:t xml:space="preserve">Penetration tests must be conducted at minimum annually, or following significant changes to internet-facing infrastructure</w:t>
      </w:r>
    </w:p>
    <w:p>
      <w:pPr>
        <w:pStyle w:val="ListParagraph"/>
        <w:numPr>
          <w:ilvl w:val="0"/>
          <w:numId w:val="2"/>
        </w:numPr>
        <w:spacing w:after="40" w:before="40"/>
      </w:pPr>
      <w:r>
        <w:rPr>
          <w:rFonts w:ascii="Arial" w:cs="Arial" w:eastAsia="Arial" w:hAnsi="Arial"/>
          <w:color w:val="1A2340"/>
          <w:sz w:val="20"/>
          <w:szCs w:val="20"/>
        </w:rPr>
        <w:t xml:space="preserve">Scope must include, at minimum, all internet-facing systems and externally accessible web applications</w:t>
      </w:r>
    </w:p>
    <w:p>
      <w:pPr>
        <w:pStyle w:val="ListParagraph"/>
        <w:numPr>
          <w:ilvl w:val="0"/>
          <w:numId w:val="2"/>
        </w:numPr>
        <w:spacing w:after="40" w:before="40"/>
      </w:pPr>
      <w:r>
        <w:rPr>
          <w:rFonts w:ascii="Arial" w:cs="Arial" w:eastAsia="Arial" w:hAnsi="Arial"/>
          <w:color w:val="1A2340"/>
          <w:sz w:val="20"/>
          <w:szCs w:val="20"/>
        </w:rPr>
        <w:t xml:space="preserve">Internal network penetration testing is recommended annually for organizations with elevated risk profiles</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6.6.2 Tester Qualifications</w:t>
      </w:r>
    </w:p>
    <w:p>
      <w:pPr>
        <w:pStyle w:val="ListParagraph"/>
        <w:numPr>
          <w:ilvl w:val="0"/>
          <w:numId w:val="2"/>
        </w:numPr>
        <w:spacing w:after="40" w:before="40"/>
      </w:pPr>
      <w:r>
        <w:rPr>
          <w:rFonts w:ascii="Arial" w:cs="Arial" w:eastAsia="Arial" w:hAnsi="Arial"/>
          <w:color w:val="1A2340"/>
          <w:sz w:val="20"/>
          <w:szCs w:val="20"/>
        </w:rPr>
        <w:t xml:space="preserve">Penetration tests must be conducted by qualified professionals holding relevant certifications (OSCP, CEH, GPEN, or equivalent) or by a reputable third-party security firm</w:t>
      </w:r>
    </w:p>
    <w:p>
      <w:pPr>
        <w:pStyle w:val="ListParagraph"/>
        <w:numPr>
          <w:ilvl w:val="0"/>
          <w:numId w:val="2"/>
        </w:numPr>
        <w:spacing w:after="40" w:before="40"/>
      </w:pPr>
      <w:r>
        <w:rPr>
          <w:rFonts w:ascii="Arial" w:cs="Arial" w:eastAsia="Arial" w:hAnsi="Arial"/>
          <w:color w:val="1A2340"/>
          <w:sz w:val="20"/>
          <w:szCs w:val="20"/>
        </w:rPr>
        <w:t xml:space="preserve">A Rules of Engagement document must be signed before testing begins, defining scope, permitted techniques, emergency contacts, and out-of-scope systems</w:t>
      </w:r>
    </w:p>
    <w:p>
      <w:pPr>
        <w:pStyle w:val="ListParagraph"/>
        <w:numPr>
          <w:ilvl w:val="0"/>
          <w:numId w:val="2"/>
        </w:numPr>
        <w:spacing w:after="40" w:before="40"/>
      </w:pPr>
      <w:r>
        <w:rPr>
          <w:rFonts w:ascii="Arial" w:cs="Arial" w:eastAsia="Arial" w:hAnsi="Arial"/>
          <w:color w:val="1A2340"/>
          <w:sz w:val="20"/>
          <w:szCs w:val="20"/>
        </w:rPr>
        <w:t xml:space="preserve">The CISO/vCISO must approve the scope and rules of engagement before testing commences</w:t>
      </w:r>
    </w:p>
    <w:p>
      <w:pPr>
        <w:spacing w:after="60" w:before="60"/>
      </w:pPr>
      <w:r>
        <w:t xml:space="preserve"/>
      </w:r>
    </w:p>
    <w:p>
      <w:pPr>
        <w:pStyle w:val="Heading3"/>
        <w:spacing w:after="80" w:before="180"/>
      </w:pPr>
      <w:r>
        <w:rPr>
          <w:rFonts w:ascii="Arial" w:cs="Arial" w:eastAsia="Arial" w:hAnsi="Arial"/>
          <w:b/>
          <w:bCs/>
          <w:color w:val="4F46E5"/>
          <w:sz w:val="22"/>
          <w:szCs w:val="22"/>
        </w:rPr>
        <w:t xml:space="preserve">6.6.3 Findings Management</w:t>
      </w:r>
    </w:p>
    <w:p>
      <w:pPr>
        <w:pStyle w:val="ListParagraph"/>
        <w:numPr>
          <w:ilvl w:val="0"/>
          <w:numId w:val="2"/>
        </w:numPr>
        <w:spacing w:after="40" w:before="40"/>
      </w:pPr>
      <w:r>
        <w:rPr>
          <w:rFonts w:ascii="Arial" w:cs="Arial" w:eastAsia="Arial" w:hAnsi="Arial"/>
          <w:color w:val="1A2340"/>
          <w:sz w:val="20"/>
          <w:szCs w:val="20"/>
        </w:rPr>
        <w:t xml:space="preserve">All penetration test findings must be entered into the vulnerability register within 5 business days of report delivery</w:t>
      </w:r>
    </w:p>
    <w:p>
      <w:pPr>
        <w:pStyle w:val="ListParagraph"/>
        <w:numPr>
          <w:ilvl w:val="0"/>
          <w:numId w:val="2"/>
        </w:numPr>
        <w:spacing w:after="40" w:before="40"/>
      </w:pPr>
      <w:r>
        <w:rPr>
          <w:rFonts w:ascii="Arial" w:cs="Arial" w:eastAsia="Arial" w:hAnsi="Arial"/>
          <w:color w:val="1A2340"/>
          <w:sz w:val="20"/>
          <w:szCs w:val="20"/>
        </w:rPr>
        <w:t xml:space="preserve">Critical and High findings from penetration tests are subject to the standard remediation SLAs from the date of report delivery</w:t>
      </w:r>
    </w:p>
    <w:p>
      <w:pPr>
        <w:pStyle w:val="ListParagraph"/>
        <w:numPr>
          <w:ilvl w:val="0"/>
          <w:numId w:val="2"/>
        </w:numPr>
        <w:spacing w:after="40" w:before="40"/>
      </w:pPr>
      <w:r>
        <w:rPr>
          <w:rFonts w:ascii="Arial" w:cs="Arial" w:eastAsia="Arial" w:hAnsi="Arial"/>
          <w:color w:val="1A2340"/>
          <w:sz w:val="20"/>
          <w:szCs w:val="20"/>
        </w:rPr>
        <w:t xml:space="preserve">A re-test must be conducted following remediation of Critical and High findings to verify effectiveness</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6.7 Vulnerability Register</w:t>
      </w:r>
    </w:p>
    <w:p>
      <w:pPr>
        <w:spacing w:after="60" w:before="60"/>
      </w:pPr>
      <w:r>
        <w:rPr>
          <w:rFonts w:ascii="Arial" w:cs="Arial" w:eastAsia="Arial" w:hAnsi="Arial"/>
          <w:color w:val="1A2340"/>
          <w:sz w:val="20"/>
          <w:szCs w:val="20"/>
        </w:rPr>
        <w:t xml:space="preserve">The vulnerability register is the authoritative source of truth for all known vulnerabilities in organizational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Field</w:t>
            </w:r>
          </w:p>
        </w:tc>
        <w:tc>
          <w:tcPr>
            <w:tcW w:type="dxa" w:w="66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Vuln ID</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Unique identifier for tracking (e.g., VUL-2026-001)</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System / Asset</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and type of affected system</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CVE / Description</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CVE identifier where applicable; plain-English description</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CVSS Score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CVSS v3.1 base score (0.0 to 10.0)</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Severity</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Critical / High / Medium / Low (with any risk adjustments noted)</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Discovery Date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first identified in scan or report</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Assigned Owner</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Individual responsible for remediation</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Target Remediation Date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by which remediation must be complete per SLA</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Status</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Open / In Progress / Remediated / Exception Approved / Accepted</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Resolution</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How the vulnerability was addressed (patched, mitigated, exception, accepted)</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Actual Close Date</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remediation was verified and the item closed</w:t>
            </w:r>
          </w:p>
        </w:tc>
      </w:tr>
    </w:tbl>
    <w:p>
      <w:pPr>
        <w:spacing w:after="60" w:before="60"/>
      </w:pPr>
      <w:r>
        <w:t xml:space="preserve"/>
      </w:r>
    </w:p>
    <w:p>
      <w:pPr>
        <w:pStyle w:val="ListParagraph"/>
        <w:numPr>
          <w:ilvl w:val="0"/>
          <w:numId w:val="2"/>
        </w:numPr>
        <w:spacing w:after="40" w:before="40"/>
      </w:pPr>
      <w:r>
        <w:rPr>
          <w:rFonts w:ascii="Arial" w:cs="Arial" w:eastAsia="Arial" w:hAnsi="Arial"/>
          <w:color w:val="1A2340"/>
          <w:sz w:val="20"/>
          <w:szCs w:val="20"/>
        </w:rPr>
        <w:t xml:space="preserve">The vulnerability register must be reviewed and updated monthly by the IT department</w:t>
      </w:r>
    </w:p>
    <w:p>
      <w:pPr>
        <w:pStyle w:val="ListParagraph"/>
        <w:numPr>
          <w:ilvl w:val="0"/>
          <w:numId w:val="2"/>
        </w:numPr>
        <w:spacing w:after="40" w:before="40"/>
      </w:pPr>
      <w:r>
        <w:rPr>
          <w:rFonts w:ascii="Arial" w:cs="Arial" w:eastAsia="Arial" w:hAnsi="Arial"/>
          <w:color w:val="1A2340"/>
          <w:sz w:val="20"/>
          <w:szCs w:val="20"/>
        </w:rPr>
        <w:t xml:space="preserve">Closed items must be retained in the register for 12 months for audit and trend analysis purposes</w:t>
      </w:r>
    </w:p>
    <w:p>
      <w:pPr>
        <w:pStyle w:val="ListParagraph"/>
        <w:numPr>
          <w:ilvl w:val="0"/>
          <w:numId w:val="2"/>
        </w:numPr>
        <w:spacing w:after="40" w:before="40"/>
      </w:pPr>
      <w:r>
        <w:rPr>
          <w:rFonts w:ascii="Arial" w:cs="Arial" w:eastAsia="Arial" w:hAnsi="Arial"/>
          <w:color w:val="1A2340"/>
          <w:sz w:val="20"/>
          <w:szCs w:val="20"/>
        </w:rPr>
        <w:t xml:space="preserve">Quarterly trend analysis must be produced by the CISO/vCISO comparing open counts, aging, and SLA compliance over time</w:t>
      </w:r>
    </w:p>
    <w:p>
      <w:pPr>
        <w:spacing w:after="60" w:before="60"/>
      </w:pPr>
      <w:r>
        <w:t xml:space="preserve"/>
      </w:r>
    </w:p>
    <w:p>
      <w:pPr>
        <w:pStyle w:val="Heading2"/>
        <w:spacing w:after="100" w:before="240"/>
      </w:pPr>
      <w:r>
        <w:rPr>
          <w:rFonts w:ascii="Arial" w:cs="Arial" w:eastAsia="Arial" w:hAnsi="Arial"/>
          <w:b/>
          <w:bCs/>
          <w:color w:val="152168"/>
          <w:sz w:val="26"/>
          <w:szCs w:val="26"/>
        </w:rPr>
        <w:t xml:space="preserve">6.8 Metrics and Reporting</w:t>
      </w:r>
    </w:p>
    <w:p>
      <w:pPr>
        <w:spacing w:after="60" w:before="60"/>
      </w:pPr>
      <w:r>
        <w:rPr>
          <w:rFonts w:ascii="Arial" w:cs="Arial" w:eastAsia="Arial" w:hAnsi="Arial"/>
          <w:color w:val="1A2340"/>
          <w:sz w:val="20"/>
          <w:szCs w:val="20"/>
        </w:rPr>
        <w:t xml:space="preserve">The following Key Performance Indicators (KPIs) must be tracked and reported: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Reporting Cadence</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Mean Time to Remediate (MTTR) — Critical</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Same day / under 24 hours</w:t>
            </w:r>
          </w:p>
        </w:tc>
        <w:tc>
          <w:tcPr>
            <w:tcW w:type="dxa" w:w="39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Monthly to CISO/vCISO; Quarterly to leadership</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Mean Time to Remediate — High</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Under 14 days</w:t>
            </w:r>
          </w:p>
        </w:tc>
        <w:tc>
          <w:tcPr>
            <w:tcW w:type="dxa" w:w="39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Monthly to CISO/vCISO; Quarterly to leadership</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Vulnerabilities Remediated Within SLA (by severity)</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Target: 90% or above</w:t>
            </w:r>
          </w:p>
        </w:tc>
        <w:tc>
          <w:tcPr>
            <w:tcW w:type="dxa" w:w="39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Monthly to CISO/vCISO; Quarterly to leadership</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Open Critical and High Vulnerability Count</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Target: 0 Critical unmitigated beyond 7 days</w:t>
            </w:r>
          </w:p>
        </w:tc>
        <w:tc>
          <w:tcPr>
            <w:tcW w:type="dxa" w:w="39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Weekly escalation if Critical open beyond 7 days</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Scan Coverage (% of in-scope assets scanned)</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Target: 100%</w:t>
            </w:r>
          </w:p>
        </w:tc>
        <w:tc>
          <w:tcPr>
            <w:tcW w:type="dxa" w:w="39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Monthly to CISO/vCISO</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Exception Count (active, by severity)</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Tracked; trend downward</w:t>
            </w:r>
          </w:p>
        </w:tc>
        <w:tc>
          <w:tcPr>
            <w:tcW w:type="dxa" w:w="39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Quarterly to leadership</w:t>
            </w:r>
          </w:p>
        </w:tc>
      </w:tr>
    </w:tbl>
    <w:p>
      <w:pPr>
        <w:spacing w:after="60" w:before="60"/>
      </w:pPr>
      <w:r>
        <w:t xml:space="preserve"/>
      </w:r>
    </w:p>
    <w:p>
      <w:pPr>
        <w:spacing w:after="60" w:before="60"/>
      </w:pPr>
      <w:r>
        <w:rPr>
          <w:rFonts w:ascii="Arial" w:cs="Arial" w:eastAsia="Arial" w:hAnsi="Arial"/>
          <w:color w:val="1A2340"/>
          <w:sz w:val="20"/>
          <w:szCs w:val="20"/>
        </w:rPr>
        <w:t xml:space="preserve">A quarterly executive vulnerability summary must be produced by the CISO/vCISO and presented to senior leadership, including trend comparisons, SLA compliance rates, critical open items, and material changes to the threat landscape.</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7. Compliance and Enforcement</w:t>
      </w:r>
    </w:p>
    <w:p>
      <w:pPr>
        <w:pBdr>
          <w:bottom w:val="single" w:color="07B4D9" w:sz="4" w:space="1"/>
        </w:pBdr>
        <w:spacing w:after="120" w:before="120"/>
      </w:pPr>
      <w:r>
        <w:t xml:space="preserve"/>
      </w:r>
    </w:p>
    <w:p>
      <w:pPr>
        <w:spacing w:after="60" w:before="60"/>
      </w:pPr>
      <w:r>
        <w:rPr>
          <w:rFonts w:ascii="Arial" w:cs="Arial" w:eastAsia="Arial" w:hAnsi="Arial"/>
          <w:color w:val="1A2340"/>
          <w:sz w:val="20"/>
          <w:szCs w:val="20"/>
        </w:rPr>
        <w:t xml:space="preserve">Compliance with this policy is mandatory for all individuals and systems within scope. Non-compliance may result in:</w:t>
      </w:r>
    </w:p>
    <w:p>
      <w:pPr>
        <w:pStyle w:val="ListParagraph"/>
        <w:numPr>
          <w:ilvl w:val="0"/>
          <w:numId w:val="2"/>
        </w:numPr>
        <w:spacing w:after="40" w:before="40"/>
      </w:pPr>
      <w:r>
        <w:rPr>
          <w:rFonts w:ascii="Arial" w:cs="Arial" w:eastAsia="Arial" w:hAnsi="Arial"/>
          <w:color w:val="1A2340"/>
          <w:sz w:val="20"/>
          <w:szCs w:val="20"/>
        </w:rPr>
        <w:t xml:space="preserve">Formal written notice and documented corrective action plan</w:t>
      </w:r>
    </w:p>
    <w:p>
      <w:pPr>
        <w:pStyle w:val="ListParagraph"/>
        <w:numPr>
          <w:ilvl w:val="0"/>
          <w:numId w:val="2"/>
        </w:numPr>
        <w:spacing w:after="40" w:before="40"/>
      </w:pPr>
      <w:r>
        <w:rPr>
          <w:rFonts w:ascii="Arial" w:cs="Arial" w:eastAsia="Arial" w:hAnsi="Arial"/>
          <w:color w:val="1A2340"/>
          <w:sz w:val="20"/>
          <w:szCs w:val="20"/>
        </w:rPr>
        <w:t xml:space="preserve">Escalation to HR for disciplinary action, up to and including termination of employment or contract</w:t>
      </w:r>
    </w:p>
    <w:p>
      <w:pPr>
        <w:pStyle w:val="ListParagraph"/>
        <w:numPr>
          <w:ilvl w:val="0"/>
          <w:numId w:val="2"/>
        </w:numPr>
        <w:spacing w:after="40" w:before="40"/>
      </w:pPr>
      <w:r>
        <w:rPr>
          <w:rFonts w:ascii="Arial" w:cs="Arial" w:eastAsia="Arial" w:hAnsi="Arial"/>
          <w:color w:val="1A2340"/>
          <w:sz w:val="20"/>
          <w:szCs w:val="20"/>
        </w:rPr>
        <w:t xml:space="preserve">Mandatory security awareness training</w:t>
      </w:r>
    </w:p>
    <w:p>
      <w:pPr>
        <w:pStyle w:val="ListParagraph"/>
        <w:numPr>
          <w:ilvl w:val="0"/>
          <w:numId w:val="2"/>
        </w:numPr>
        <w:spacing w:after="40" w:before="40"/>
      </w:pPr>
      <w:r>
        <w:rPr>
          <w:rFonts w:ascii="Arial" w:cs="Arial" w:eastAsia="Arial" w:hAnsi="Arial"/>
          <w:color w:val="1A2340"/>
          <w:sz w:val="20"/>
          <w:szCs w:val="20"/>
        </w:rPr>
        <w:t xml:space="preserve">Temporary suspension of access to systems pending remediation</w:t>
      </w:r>
    </w:p>
    <w:p>
      <w:pPr>
        <w:spacing w:after="60" w:before="60"/>
      </w:pPr>
      <w:r>
        <w:t xml:space="preserve"/>
      </w:r>
    </w:p>
    <w:p>
      <w:pPr>
        <w:spacing w:after="60" w:before="60"/>
      </w:pPr>
      <w:r>
        <w:rPr>
          <w:rFonts w:ascii="Arial" w:cs="Arial" w:eastAsia="Arial" w:hAnsi="Arial"/>
          <w:color w:val="1A2340"/>
          <w:sz w:val="20"/>
          <w:szCs w:val="20"/>
        </w:rPr>
        <w:t xml:space="preserve">System owners who fail to remediate vulnerabilities within approved SLAs or exception timelines will be escalated to senior leadership. Deliberate exploitation of organizational vulnerabilities or obstruction of the vulnerability management process will result in immediate termination and may be subject to legal action.</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8. Related Documents</w:t>
      </w:r>
    </w:p>
    <w:p>
      <w:pPr>
        <w:pBdr>
          <w:bottom w:val="single" w:color="07B4D9" w:sz="4" w:space="1"/>
        </w:pBdr>
        <w:spacing w:after="120" w:before="120"/>
      </w:pPr>
      <w:r>
        <w:t xml:space="preserve"/>
      </w:r>
    </w:p>
    <w:p>
      <w:pPr>
        <w:pStyle w:val="ListParagraph"/>
        <w:numPr>
          <w:ilvl w:val="0"/>
          <w:numId w:val="2"/>
        </w:numPr>
        <w:spacing w:after="40" w:before="40"/>
      </w:pPr>
      <w:r>
        <w:rPr>
          <w:rFonts w:ascii="Arial" w:cs="Arial" w:eastAsia="Arial" w:hAnsi="Arial"/>
          <w:color w:val="1A2340"/>
          <w:sz w:val="20"/>
          <w:szCs w:val="20"/>
        </w:rPr>
        <w:t xml:space="preserve">Information Security Policy (Master Policy)</w:t>
      </w:r>
    </w:p>
    <w:p>
      <w:pPr>
        <w:pStyle w:val="ListParagraph"/>
        <w:numPr>
          <w:ilvl w:val="0"/>
          <w:numId w:val="2"/>
        </w:numPr>
        <w:spacing w:after="40" w:before="40"/>
      </w:pPr>
      <w:r>
        <w:rPr>
          <w:rFonts w:ascii="Arial" w:cs="Arial" w:eastAsia="Arial" w:hAnsi="Arial"/>
          <w:color w:val="1A2340"/>
          <w:sz w:val="20"/>
          <w:szCs w:val="20"/>
        </w:rPr>
        <w:t xml:space="preserve">Asset Management Policy</w:t>
      </w:r>
    </w:p>
    <w:p>
      <w:pPr>
        <w:pStyle w:val="ListParagraph"/>
        <w:numPr>
          <w:ilvl w:val="0"/>
          <w:numId w:val="2"/>
        </w:numPr>
        <w:spacing w:after="40" w:before="40"/>
      </w:pPr>
      <w:r>
        <w:rPr>
          <w:rFonts w:ascii="Arial" w:cs="Arial" w:eastAsia="Arial" w:hAnsi="Arial"/>
          <w:color w:val="1A2340"/>
          <w:sz w:val="20"/>
          <w:szCs w:val="20"/>
        </w:rPr>
        <w:t xml:space="preserve">Change Management Policy</w:t>
      </w:r>
    </w:p>
    <w:p>
      <w:pPr>
        <w:pStyle w:val="ListParagraph"/>
        <w:numPr>
          <w:ilvl w:val="0"/>
          <w:numId w:val="2"/>
        </w:numPr>
        <w:spacing w:after="40" w:before="40"/>
      </w:pPr>
      <w:r>
        <w:rPr>
          <w:rFonts w:ascii="Arial" w:cs="Arial" w:eastAsia="Arial" w:hAnsi="Arial"/>
          <w:color w:val="1A2340"/>
          <w:sz w:val="20"/>
          <w:szCs w:val="20"/>
        </w:rPr>
        <w:t xml:space="preserve">Incident Response Policy</w:t>
      </w:r>
    </w:p>
    <w:p>
      <w:pPr>
        <w:pStyle w:val="ListParagraph"/>
        <w:numPr>
          <w:ilvl w:val="0"/>
          <w:numId w:val="2"/>
        </w:numPr>
        <w:spacing w:after="40" w:before="40"/>
      </w:pPr>
      <w:r>
        <w:rPr>
          <w:rFonts w:ascii="Arial" w:cs="Arial" w:eastAsia="Arial" w:hAnsi="Arial"/>
          <w:color w:val="1A2340"/>
          <w:sz w:val="20"/>
          <w:szCs w:val="20"/>
        </w:rPr>
        <w:t xml:space="preserve">Third-Party Risk Assessment Policy</w:t>
      </w:r>
    </w:p>
    <w:p>
      <w:pPr>
        <w:pStyle w:val="ListParagraph"/>
        <w:numPr>
          <w:ilvl w:val="0"/>
          <w:numId w:val="2"/>
        </w:numPr>
        <w:spacing w:after="40" w:before="40"/>
      </w:pPr>
      <w:r>
        <w:rPr>
          <w:rFonts w:ascii="Arial" w:cs="Arial" w:eastAsia="Arial" w:hAnsi="Arial"/>
          <w:color w:val="1A2340"/>
          <w:sz w:val="20"/>
          <w:szCs w:val="20"/>
        </w:rPr>
        <w:t xml:space="preserve">Acceptable Use Policy</w:t>
      </w:r>
    </w:p>
    <w:p>
      <w:pPr>
        <w:pStyle w:val="ListParagraph"/>
        <w:numPr>
          <w:ilvl w:val="0"/>
          <w:numId w:val="2"/>
        </w:numPr>
        <w:spacing w:after="40" w:before="40"/>
      </w:pPr>
      <w:r>
        <w:rPr>
          <w:rFonts w:ascii="Arial" w:cs="Arial" w:eastAsia="Arial" w:hAnsi="Arial"/>
          <w:color w:val="1A2340"/>
          <w:sz w:val="20"/>
          <w:szCs w:val="20"/>
        </w:rPr>
        <w:t xml:space="preserve">Business Continuity and Disaster Recovery Policy</w:t>
      </w:r>
    </w:p>
    <w:p>
      <w:pPr>
        <w:pStyle w:val="ListParagraph"/>
        <w:numPr>
          <w:ilvl w:val="0"/>
          <w:numId w:val="2"/>
        </w:numPr>
        <w:spacing w:after="40" w:before="40"/>
      </w:pPr>
      <w:r>
        <w:rPr>
          <w:rFonts w:ascii="Arial" w:cs="Arial" w:eastAsia="Arial" w:hAnsi="Arial"/>
          <w:color w:val="1A2340"/>
          <w:sz w:val="20"/>
          <w:szCs w:val="20"/>
        </w:rPr>
        <w:t xml:space="preserve">Risk Register and Risk Acceptance Procedure</w:t>
      </w:r>
    </w:p>
    <w:p>
      <w:pPr>
        <w:pBdr>
          <w:bottom w:val="single" w:color="07B4D9" w:sz="4" w:space="1"/>
        </w:pBdr>
        <w:spacing w:after="120" w:before="120"/>
      </w:pPr>
      <w:r>
        <w:t xml:space="preserve"/>
      </w:r>
    </w:p>
    <w:p>
      <w:pPr>
        <w:pStyle w:val="Heading1"/>
        <w:spacing w:after="120" w:before="300"/>
      </w:pPr>
      <w:r>
        <w:rPr>
          <w:rFonts w:ascii="Arial" w:cs="Arial" w:eastAsia="Arial" w:hAnsi="Arial"/>
          <w:b/>
          <w:bCs/>
          <w:color w:val="152168"/>
          <w:sz w:val="32"/>
          <w:szCs w:val="32"/>
        </w:rPr>
        <w:t xml:space="preserve">9. Document Control</w:t>
      </w:r>
    </w:p>
    <w:p>
      <w:pPr>
        <w:pBdr>
          <w:bottom w:val="single" w:color="07B4D9"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of Changes</w:t>
            </w:r>
          </w:p>
        </w:tc>
      </w:tr>
      <w:tr>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1.0</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June 2026</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[Author Name]</w:t>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Initial policy — draft for review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Prepared By</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Reviewed By</w:t>
            </w:r>
          </w:p>
        </w:tc>
        <w:tc>
          <w:tcPr>
            <w:tcW w:type="dxa" w:w="31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Approved By</w:t>
            </w:r>
          </w:p>
        </w:tc>
      </w:tr>
      <w:tr>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Role]</w:t>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Role]</w:t>
            </w:r>
          </w:p>
        </w:tc>
        <w:tc>
          <w:tcPr>
            <w:tcW w:type="dxa" w:w="31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Role]</w:t>
            </w:r>
          </w:p>
        </w:tc>
      </w:tr>
      <w:tr>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____________</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____________</w:t>
            </w:r>
          </w:p>
        </w:tc>
        <w:tc>
          <w:tcPr>
            <w:tcW w:type="dxa" w:w="31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Date: ____________</w:t>
            </w:r>
          </w:p>
        </w:tc>
      </w:tr>
    </w:tbl>
    <w:p>
      <w:pPr>
        <w:spacing w:after="60" w:before="60"/>
      </w:pPr>
      <w:r>
        <w:t xml:space="preserve"/>
      </w:r>
    </w:p>
    <w:p>
      <w:pPr>
        <w:spacing w:after="60" w:before="60"/>
      </w:pPr>
      <w:r>
        <w:rPr>
          <w:rFonts w:ascii="Arial" w:cs="Arial" w:eastAsia="Arial" w:hAnsi="Arial"/>
          <w:color w:val="1A2340"/>
          <w:sz w:val="20"/>
          <w:szCs w:val="20"/>
        </w:rPr>
        <w:t xml:space="preserve">This policy must be reviewed at minimum annually or following a material change to the organization's risk environment. Next scheduled review: June 2027.</w:t>
      </w:r>
    </w:p>
    <w:p>
      <w:pPr>
        <w:pBdr>
          <w:bottom w:val="single" w:color="07B4D9" w:sz="4" w:space="1"/>
        </w:pBdr>
        <w:spacing w:after="120" w:before="120"/>
      </w:pPr>
      <w:r>
        <w:t xml:space="preserve"/>
      </w:r>
    </w:p>
    <w:p>
      <w:r>
        <w:br w:type="page"/>
      </w:r>
    </w:p>
    <w:p>
      <w:pPr>
        <w:pStyle w:val="Heading1"/>
        <w:spacing w:after="120" w:before="300"/>
      </w:pPr>
      <w:r>
        <w:rPr>
          <w:rFonts w:ascii="Arial" w:cs="Arial" w:eastAsia="Arial" w:hAnsi="Arial"/>
          <w:b/>
          <w:bCs/>
          <w:color w:val="152168"/>
          <w:sz w:val="32"/>
          <w:szCs w:val="32"/>
        </w:rPr>
        <w:t xml:space="preserve">Appendix A: Remediation SLA Summary — Quick Reference</w:t>
      </w:r>
    </w:p>
    <w:p>
      <w:pPr>
        <w:spacing w:after="60" w:before="60"/>
      </w:pPr>
      <w:r>
        <w:rPr>
          <w:rFonts w:ascii="Arial" w:cs="Arial" w:eastAsia="Arial" w:hAnsi="Arial"/>
          <w:color w:val="1A2340"/>
          <w:sz w:val="20"/>
          <w:szCs w:val="20"/>
        </w:rPr>
        <w:t xml:space="preserve">Single-page quick reference for IT operations. Print and post in patch management areas.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SLA</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Trigger</w:t>
            </w:r>
          </w:p>
        </w:tc>
        <w:tc>
          <w:tcPr>
            <w:tcW w:type="dxa" w:w="23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Escalation</w:t>
            </w:r>
          </w:p>
        </w:tc>
      </w:tr>
      <w:tr>
        <w:tc>
          <w:tcPr>
            <w:tcW w:type="dxa" w:w="1560"/>
            <w:tcBorders>
              <w:top w:val="single" w:color="DDE3EF" w:sz="1"/>
              <w:left w:val="single" w:color="DDE3EF" w:sz="1"/>
              <w:bottom w:val="single" w:color="DDE3EF" w:sz="1"/>
              <w:right w:val="single" w:color="DDE3E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9.0-10.0</w:t>
            </w:r>
          </w:p>
        </w:tc>
        <w:tc>
          <w:tcPr>
            <w:tcW w:type="dxa" w:w="156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Immediate; same-day for KEV</w:t>
            </w:r>
          </w:p>
        </w:tc>
        <w:tc>
          <w:tcPr>
            <w:tcW w:type="dxa" w:w="234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Internet-facing + CISA KEV = same day</w:t>
            </w:r>
          </w:p>
        </w:tc>
        <w:tc>
          <w:tcPr>
            <w:tcW w:type="dxa" w:w="2340"/>
            <w:tcBorders>
              <w:top w:val="single" w:color="DDE3EF" w:sz="1"/>
              <w:left w:val="single" w:color="DDE3EF" w:sz="1"/>
              <w:bottom w:val="single" w:color="DDE3EF" w:sz="1"/>
              <w:right w:val="single" w:color="DDE3EF" w:sz="1"/>
            </w:tcBorders>
            <w:shd w:fill="FDECE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CISO/vCISO within 4 hours</w:t>
            </w:r>
          </w:p>
        </w:tc>
      </w:tr>
      <w:tr>
        <w:tc>
          <w:tcPr>
            <w:tcW w:type="dxa" w:w="1560"/>
            <w:tcBorders>
              <w:top w:val="single" w:color="DDE3EF" w:sz="1"/>
              <w:left w:val="single" w:color="DDE3EF" w:sz="1"/>
              <w:bottom w:val="single" w:color="DDE3EF" w:sz="1"/>
              <w:right w:val="single" w:color="DDE3EF"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6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7.0-8.9</w:t>
            </w:r>
          </w:p>
        </w:tc>
        <w:tc>
          <w:tcPr>
            <w:tcW w:type="dxa" w:w="156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bCs/>
                <w:color w:val="1A2340"/>
                <w:sz w:val="20"/>
                <w:szCs w:val="20"/>
              </w:rPr>
              <w:t xml:space="preserve">14 days</w:t>
            </w:r>
          </w:p>
        </w:tc>
        <w:tc>
          <w:tcPr>
            <w:tcW w:type="dxa" w:w="234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Exploitation available in wild</w:t>
            </w:r>
          </w:p>
        </w:tc>
        <w:tc>
          <w:tcPr>
            <w:tcW w:type="dxa" w:w="2340"/>
            <w:tcBorders>
              <w:top w:val="single" w:color="DDE3EF" w:sz="1"/>
              <w:left w:val="single" w:color="DDE3EF" w:sz="1"/>
              <w:bottom w:val="single" w:color="DDE3EF" w:sz="1"/>
              <w:right w:val="single" w:color="DDE3EF" w:sz="1"/>
            </w:tcBorders>
            <w:shd w:fill="FEF3E2"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CISO/vCISO if beyond 14 days open</w:t>
            </w:r>
          </w:p>
        </w:tc>
      </w:tr>
      <w:tr>
        <w:tc>
          <w:tcPr>
            <w:tcW w:type="dxa" w:w="1560"/>
            <w:tcBorders>
              <w:top w:val="single" w:color="DDE3EF" w:sz="1"/>
              <w:left w:val="single" w:color="DDE3EF" w:sz="1"/>
              <w:bottom w:val="single" w:color="DDE3EF" w:sz="1"/>
              <w:right w:val="single" w:color="DDE3E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4.0-6.9</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30 days</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User interaction or local access required</w:t>
            </w:r>
          </w:p>
        </w:tc>
        <w:tc>
          <w:tcPr>
            <w:tcW w:type="dxa" w:w="23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IT lead if beyond 30 days open</w:t>
            </w:r>
          </w:p>
        </w:tc>
      </w:tr>
      <w:tr>
        <w:tc>
          <w:tcPr>
            <w:tcW w:type="dxa" w:w="1560"/>
            <w:tcBorders>
              <w:top w:val="single" w:color="DDE3EF" w:sz="1"/>
              <w:left w:val="single" w:color="DDE3EF" w:sz="1"/>
              <w:bottom w:val="single" w:color="DDE3EF" w:sz="1"/>
              <w:right w:val="single" w:color="DDE3EF"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0.1-3.9</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90 days</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Minimal risk; standard maintenance</w:t>
            </w:r>
          </w:p>
        </w:tc>
        <w:tc>
          <w:tcPr>
            <w:tcW w:type="dxa" w:w="23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IT lead review at 90-day mark</w:t>
            </w:r>
          </w:p>
        </w:tc>
      </w:tr>
    </w:tbl>
    <w:p>
      <w:pPr>
        <w:spacing w:after="60" w:before="60"/>
      </w:pPr>
      <w:r>
        <w:t xml:space="preserve"/>
      </w:r>
    </w:p>
    <w:p>
      <w:pPr>
        <w:spacing w:after="60" w:before="60"/>
      </w:pPr>
      <w:r>
        <w:rPr>
          <w:rFonts w:ascii="Arial" w:cs="Arial" w:eastAsia="Arial" w:hAnsi="Arial"/>
          <w:color w:val="1A2340"/>
          <w:sz w:val="20"/>
          <w:szCs w:val="20"/>
        </w:rPr>
        <w:t xml:space="preserve">IMPORTANT: SLA clock starts from date of identification in scan output. Risk adjustment factors (CISA KEV, asset criticality, public exploit availability) can escalate effective SLA. When in doubt, escalate.</w:t>
      </w:r>
    </w:p>
    <w:p>
      <w:r>
        <w:br w:type="page"/>
      </w:r>
    </w:p>
    <w:p>
      <w:pPr>
        <w:pStyle w:val="Heading1"/>
        <w:spacing w:after="120" w:before="300"/>
      </w:pPr>
      <w:r>
        <w:rPr>
          <w:rFonts w:ascii="Arial" w:cs="Arial" w:eastAsia="Arial" w:hAnsi="Arial"/>
          <w:b/>
          <w:bCs/>
          <w:color w:val="152168"/>
          <w:sz w:val="32"/>
          <w:szCs w:val="32"/>
        </w:rPr>
        <w:t xml:space="preserve">Appendix B: Vulnerability Register Template</w:t>
      </w:r>
    </w:p>
    <w:p>
      <w:pPr>
        <w:spacing w:after="60" w:before="60"/>
      </w:pPr>
      <w:r>
        <w:rPr>
          <w:rFonts w:ascii="Arial" w:cs="Arial" w:eastAsia="Arial" w:hAnsi="Arial"/>
          <w:color w:val="1A2340"/>
          <w:sz w:val="20"/>
          <w:szCs w:val="20"/>
        </w:rPr>
        <w:t xml:space="preserve">Maintain this register in a shared, access-controlled spreadsheet or vulnerability management platform. Export monthly for CISO/vCISO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60"/>
        <w:gridCol w:w="720"/>
        <w:gridCol w:w="840"/>
        <w:gridCol w:w="960"/>
        <w:gridCol w:w="960"/>
        <w:gridCol w:w="960"/>
        <w:gridCol w:w="560"/>
      </w:tblGrid>
      <w:tr>
        <w:tc>
          <w:tcPr>
            <w:tcW w:type="dxa" w:w="9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Vuln ID</w:t>
            </w:r>
          </w:p>
        </w:tc>
        <w:tc>
          <w:tcPr>
            <w:tcW w:type="dxa" w:w="12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12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CVE / Desc</w:t>
            </w:r>
          </w:p>
        </w:tc>
        <w:tc>
          <w:tcPr>
            <w:tcW w:type="dxa" w:w="7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84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Discovered</w:t>
            </w:r>
          </w:p>
        </w:tc>
        <w:tc>
          <w:tcPr>
            <w:tcW w:type="dxa" w:w="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9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c>
          <w:tcPr>
            <w:tcW w:type="dxa" w:w="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VUL-2026-001</w:t>
            </w:r>
          </w:p>
        </w:tc>
        <w:tc>
          <w:tcPr>
            <w:tcW w:type="dxa" w:w="1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[System]</w:t>
            </w:r>
          </w:p>
        </w:tc>
        <w:tc>
          <w:tcPr>
            <w:tcW w:type="dxa" w:w="12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[CVE-####]</w:t>
            </w:r>
          </w:p>
        </w:tc>
        <w:tc>
          <w:tcPr>
            <w:tcW w:type="dxa" w:w="7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[0.0]</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[Sev]</w:t>
            </w:r>
          </w:p>
        </w:tc>
        <w:tc>
          <w:tcPr>
            <w:tcW w:type="dxa" w:w="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[YYYY-MM-DD]</w:t>
            </w:r>
          </w:p>
        </w:tc>
        <w:tc>
          <w:tcPr>
            <w:tcW w:type="dxa" w:w="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w:t>
            </w:r>
          </w:p>
        </w:tc>
        <w:tc>
          <w:tcPr>
            <w:tcW w:type="dxa" w:w="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[YYYY-MM-DD]</w:t>
            </w:r>
          </w:p>
        </w:tc>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[Open]</w:t>
            </w:r>
          </w:p>
        </w:tc>
      </w:tr>
      <w:tr>
        <w:tc>
          <w:tcPr>
            <w:tcW w:type="dxa" w:w="9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VUL-2026-002</w:t>
            </w:r>
          </w:p>
        </w:tc>
        <w:tc>
          <w:tcPr>
            <w:tcW w:type="dxa" w:w="12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[System]</w:t>
            </w:r>
          </w:p>
        </w:tc>
        <w:tc>
          <w:tcPr>
            <w:tcW w:type="dxa" w:w="12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[CVE-####]</w:t>
            </w:r>
          </w:p>
        </w:tc>
        <w:tc>
          <w:tcPr>
            <w:tcW w:type="dxa" w:w="7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[0.0]</w:t>
            </w:r>
          </w:p>
        </w:tc>
        <w:tc>
          <w:tcPr>
            <w:tcW w:type="dxa" w:w="84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[Sev]</w:t>
            </w:r>
          </w:p>
        </w:tc>
        <w:tc>
          <w:tcPr>
            <w:tcW w:type="dxa" w:w="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[YYYY-MM-DD]</w:t>
            </w:r>
          </w:p>
        </w:tc>
        <w:tc>
          <w:tcPr>
            <w:tcW w:type="dxa" w:w="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w:t>
            </w:r>
          </w:p>
        </w:tc>
        <w:tc>
          <w:tcPr>
            <w:tcW w:type="dxa" w:w="9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[YYYY-MM-DD]</w:t>
            </w:r>
          </w:p>
        </w:tc>
        <w:tc>
          <w:tcPr>
            <w:tcW w:type="dxa" w:w="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[Open]</w:t>
            </w:r>
          </w:p>
        </w:tc>
      </w:tr>
      <w:tr>
        <w:tc>
          <w:tcPr>
            <w:tcW w:type="dxa" w:w="9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VUL-2026-003</w:t>
            </w:r>
          </w:p>
        </w:tc>
        <w:tc>
          <w:tcPr>
            <w:tcW w:type="dxa" w:w="12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[System]</w:t>
            </w:r>
          </w:p>
        </w:tc>
        <w:tc>
          <w:tcPr>
            <w:tcW w:type="dxa" w:w="12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[CVE-####]</w:t>
            </w:r>
          </w:p>
        </w:tc>
        <w:tc>
          <w:tcPr>
            <w:tcW w:type="dxa" w:w="7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[0.0]</w:t>
            </w:r>
          </w:p>
        </w:tc>
        <w:tc>
          <w:tcPr>
            <w:tcW w:type="dxa" w:w="84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[Sev]</w:t>
            </w:r>
          </w:p>
        </w:tc>
        <w:tc>
          <w:tcPr>
            <w:tcW w:type="dxa" w:w="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[YYYY-MM-DD]</w:t>
            </w:r>
          </w:p>
        </w:tc>
        <w:tc>
          <w:tcPr>
            <w:tcW w:type="dxa" w:w="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w:t>
            </w:r>
          </w:p>
        </w:tc>
        <w:tc>
          <w:tcPr>
            <w:tcW w:type="dxa" w:w="9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[YYYY-MM-DD]</w:t>
            </w:r>
          </w:p>
        </w:tc>
        <w:tc>
          <w:tcPr>
            <w:tcW w:type="dxa" w:w="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[Open]</w:t>
            </w:r>
          </w:p>
        </w:tc>
      </w:tr>
    </w:tbl>
    <w:p>
      <w:pPr>
        <w:spacing w:after="60" w:before="60"/>
      </w:pPr>
      <w:r>
        <w:t xml:space="preserve"/>
      </w:r>
    </w:p>
    <w:p>
      <w:pPr>
        <w:spacing w:after="60" w:before="60"/>
      </w:pPr>
      <w:r>
        <w:rPr>
          <w:rFonts w:ascii="Arial" w:cs="Arial" w:eastAsia="Arial" w:hAnsi="Arial"/>
          <w:color w:val="1A2340"/>
          <w:sz w:val="20"/>
          <w:szCs w:val="20"/>
        </w:rPr>
        <w:t xml:space="preserve">Additional recommended columns: Resolution Method | Actual Close Date | Exception Reference | Notes</w:t>
      </w:r>
    </w:p>
    <w:p>
      <w:r>
        <w:br w:type="page"/>
      </w:r>
    </w:p>
    <w:p>
      <w:pPr>
        <w:pStyle w:val="Heading1"/>
        <w:spacing w:after="120" w:before="300"/>
      </w:pPr>
      <w:r>
        <w:rPr>
          <w:rFonts w:ascii="Arial" w:cs="Arial" w:eastAsia="Arial" w:hAnsi="Arial"/>
          <w:b/>
          <w:bCs/>
          <w:color w:val="152168"/>
          <w:sz w:val="32"/>
          <w:szCs w:val="32"/>
        </w:rPr>
        <w:t xml:space="preserve">Appendix C: Vulnerability Exception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DDE3EF" w:sz="1"/>
              <w:left w:val="single" w:color="DDE3EF" w:sz="1"/>
              <w:bottom w:val="single" w:color="DDE3EF" w:sz="1"/>
              <w:right w:val="single" w:color="DDE3EF" w:sz="1"/>
            </w:tcBorders>
            <w:shd w:fill="152168"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VULNERABILITY EXCEPTION REQUEST</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Request ID</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[Auto-assigned or sequential]</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Date of Request</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Vulnerability ID</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[From vulnerability register]</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CVE / Description</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CVSS Score / Severity</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Affected System(s)</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System Owner</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Business Justification</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Why cannot this be remediated within SLA?</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Compensating Controls Proposed</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What mitigating measures will be implemented?</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Proposed Exception Duration</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Maximum 90 days</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Expiry Date</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Risk Owner Approval</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Signature / Date</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CISO/vCISO Approval</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Signature / Date</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Executive Approval (Critical only)</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Signature / Date</w:t>
            </w:r>
          </w:p>
        </w:tc>
      </w:tr>
    </w:tbl>
    <w:p>
      <w:r>
        <w:br w:type="page"/>
      </w:r>
    </w:p>
    <w:p>
      <w:pPr>
        <w:pStyle w:val="Heading1"/>
        <w:spacing w:after="120" w:before="300"/>
      </w:pPr>
      <w:r>
        <w:rPr>
          <w:rFonts w:ascii="Arial" w:cs="Arial" w:eastAsia="Arial" w:hAnsi="Arial"/>
          <w:b/>
          <w:bCs/>
          <w:color w:val="152168"/>
          <w:sz w:val="32"/>
          <w:szCs w:val="32"/>
        </w:rPr>
        <w:t xml:space="preserve">Appendix D: Penetration Test Scope Template</w:t>
      </w:r>
    </w:p>
    <w:p>
      <w:pPr>
        <w:spacing w:after="60" w:before="60"/>
      </w:pPr>
      <w:r>
        <w:rPr>
          <w:rFonts w:ascii="Arial" w:cs="Arial" w:eastAsia="Arial" w:hAnsi="Arial"/>
          <w:color w:val="1A2340"/>
          <w:sz w:val="20"/>
          <w:szCs w:val="20"/>
        </w:rPr>
        <w:t xml:space="preserve">Complete this document before engaging a penetration testing firm. Provide to the selected vendor as part of the engagement setup.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DDE3EF" w:sz="1"/>
              <w:left w:val="single" w:color="DDE3EF" w:sz="1"/>
              <w:bottom w:val="single" w:color="DDE3EF" w:sz="1"/>
              <w:right w:val="single" w:color="DDE3EF" w:sz="1"/>
            </w:tcBorders>
            <w:shd w:fill="152168"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PENETRATION TEST — RULES OF ENGAGEMENT</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Organization</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[ORGANIZATION NAME]</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Engagement Date(s)</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Testing Firm / Lead Tester</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Tester Certifications</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OSCP / CEH / GPEN or equivalent</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In-Scope Systems</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List all IP ranges, URLs, application names</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Out-of-Scope Systems</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Explicitly list any excluded systems</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Testing Windows</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Permitted hours/days for active testing</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Permitted Techniques</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Port scanning, service enumeration, authenticated testing, exploitation</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Social Engineering Permitted?</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Yes / No</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Physical Testing Permitted?</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Yes / No</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Emergency Stop Contact</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and phone number in case of critical service disruption</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Report Delivery Date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Report Format Required</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PDF executive summary plus technical detail</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Data Handling Requirements</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How test findings must be stored and transmitted</w:t>
            </w:r>
          </w:p>
        </w:tc>
      </w:tr>
      <w:tr>
        <w:tc>
          <w:tcPr>
            <w:tcW w:type="dxa" w:w="27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tcPr>
          <w:p>
            <w:r>
              <w:rPr>
                <w:rFonts w:ascii="Arial" w:cs="Arial" w:eastAsia="Arial" w:hAnsi="Arial"/>
                <w:b/>
                <w:bCs/>
                <w:color w:val="1A2340"/>
                <w:sz w:val="20"/>
                <w:szCs w:val="20"/>
              </w:rPr>
              <w:t xml:space="preserve">CISO/vCISO Signature</w:t>
            </w:r>
          </w:p>
        </w:tc>
        <w:tc>
          <w:tcPr>
            <w:tcW w:type="dxa" w:w="66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Date</w:t>
            </w:r>
          </w:p>
        </w:tc>
      </w:tr>
      <w:tr>
        <w:tc>
          <w:tcPr>
            <w:tcW w:type="dxa" w:w="27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tcPr>
          <w:p>
            <w:r>
              <w:rPr>
                <w:rFonts w:ascii="Arial" w:cs="Arial" w:eastAsia="Arial" w:hAnsi="Arial"/>
                <w:b/>
                <w:bCs/>
                <w:color w:val="1A2340"/>
                <w:sz w:val="20"/>
                <w:szCs w:val="20"/>
              </w:rPr>
              <w:t xml:space="preserve">Tester Signature</w:t>
            </w:r>
          </w:p>
        </w:tc>
        <w:tc>
          <w:tcPr>
            <w:tcW w:type="dxa" w:w="66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Name / Date</w:t>
            </w:r>
          </w:p>
        </w:tc>
      </w:tr>
    </w:tbl>
    <w:p>
      <w:r>
        <w:br w:type="page"/>
      </w:r>
    </w:p>
    <w:p>
      <w:pPr>
        <w:pStyle w:val="Heading1"/>
        <w:spacing w:after="120" w:before="300"/>
      </w:pPr>
      <w:r>
        <w:rPr>
          <w:rFonts w:ascii="Arial" w:cs="Arial" w:eastAsia="Arial" w:hAnsi="Arial"/>
          <w:b/>
          <w:bCs/>
          <w:color w:val="152168"/>
          <w:sz w:val="32"/>
          <w:szCs w:val="32"/>
        </w:rPr>
        <w:t xml:space="preserve">Appendix E: Framework Mapping</w:t>
      </w:r>
    </w:p>
    <w:p>
      <w:pPr>
        <w:spacing w:after="60" w:before="60"/>
      </w:pPr>
      <w:r>
        <w:rPr>
          <w:rFonts w:ascii="Arial" w:cs="Arial" w:eastAsia="Arial" w:hAnsi="Arial"/>
          <w:color w:val="1A2340"/>
          <w:sz w:val="20"/>
          <w:szCs w:val="20"/>
        </w:rPr>
        <w:t xml:space="preserve">This appendix maps policy sections to relevant requirements in NIST CSF 2.0, ISO/IEC 27001:2022, CIS Controls v8, and NIST SP 800-53 Rev 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1800"/>
        <w:gridCol w:w="1920"/>
      </w:tblGrid>
      <w:tr>
        <w:tc>
          <w:tcPr>
            <w:tcW w:type="dxa" w:w="25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Section</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NIST CSF 2.0</w:t>
            </w:r>
          </w:p>
        </w:tc>
        <w:tc>
          <w:tcPr>
            <w:tcW w:type="dxa" w:w="156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ISO 27001:2022</w:t>
            </w:r>
          </w:p>
        </w:tc>
        <w:tc>
          <w:tcPr>
            <w:tcW w:type="dxa" w:w="180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CIS Controls v8</w:t>
            </w:r>
          </w:p>
        </w:tc>
        <w:tc>
          <w:tcPr>
            <w:tcW w:type="dxa" w:w="1920"/>
            <w:tcBorders>
              <w:top w:val="single" w:color="DDE3EF" w:sz="1"/>
              <w:left w:val="single" w:color="DDE3EF" w:sz="1"/>
              <w:bottom w:val="single" w:color="DDE3EF" w:sz="1"/>
              <w:right w:val="single" w:color="DDE3EF" w:sz="1"/>
            </w:tcBorders>
            <w:shd w:fill="152168" w:val="clear"/>
            <w:tcMar>
              <w:top w:type="dxa" w:w="80"/>
              <w:left w:type="dxa" w:w="120"/>
              <w:bottom w:type="dxa" w:w="80"/>
              <w:right w:type="dxa" w:w="120"/>
            </w:tcMar>
            <w:vAlign w:val="center"/>
          </w:tcPr>
          <w:p>
            <w:r>
              <w:rPr>
                <w:rFonts w:ascii="Arial" w:cs="Arial" w:eastAsia="Arial" w:hAnsi="Arial"/>
                <w:b/>
                <w:bCs/>
                <w:color w:val="FFFFFF"/>
                <w:sz w:val="20"/>
                <w:szCs w:val="20"/>
              </w:rPr>
              <w:t xml:space="preserve">NIST 800-53 Rev 5</w:t>
            </w:r>
          </w:p>
        </w:tc>
      </w:tr>
      <w:tr>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1. Purpose and Scope</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ID.RA-1, ID.RA-5</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7.1</w:t>
            </w:r>
          </w:p>
        </w:tc>
        <w:tc>
          <w:tcPr>
            <w:tcW w:type="dxa" w:w="19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RA-3, SI-2</w:t>
            </w:r>
          </w:p>
        </w:tc>
      </w:tr>
      <w:tr>
        <w:tc>
          <w:tcPr>
            <w:tcW w:type="dxa" w:w="25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6.1 Vulnerability Scanning</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ID.RA-1</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7.1, 7.3</w:t>
            </w:r>
          </w:p>
        </w:tc>
        <w:tc>
          <w:tcPr>
            <w:tcW w:type="dxa" w:w="19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RA-5</w:t>
            </w:r>
          </w:p>
        </w:tc>
      </w:tr>
      <w:tr>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6.2 Severity and Prioritization</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ID.RA-5</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7.4</w:t>
            </w:r>
          </w:p>
        </w:tc>
        <w:tc>
          <w:tcPr>
            <w:tcW w:type="dxa" w:w="19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RA-3, RA-5</w:t>
            </w:r>
          </w:p>
        </w:tc>
      </w:tr>
      <w:tr>
        <w:tc>
          <w:tcPr>
            <w:tcW w:type="dxa" w:w="25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6.3 Remediation Process</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PR.PS-1</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7.3</w:t>
            </w:r>
          </w:p>
        </w:tc>
        <w:tc>
          <w:tcPr>
            <w:tcW w:type="dxa" w:w="19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SI-2</w:t>
            </w:r>
          </w:p>
        </w:tc>
      </w:tr>
      <w:tr>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6.4 Patch Management</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PR.PS-1</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7.2</w:t>
            </w:r>
          </w:p>
        </w:tc>
        <w:tc>
          <w:tcPr>
            <w:tcW w:type="dxa" w:w="19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SI-2, CM-6</w:t>
            </w:r>
          </w:p>
        </w:tc>
      </w:tr>
      <w:tr>
        <w:tc>
          <w:tcPr>
            <w:tcW w:type="dxa" w:w="25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6.5 Exception and Risk Acceptance</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ID.RA-6</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A.8.1</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7.5</w:t>
            </w:r>
          </w:p>
        </w:tc>
        <w:tc>
          <w:tcPr>
            <w:tcW w:type="dxa" w:w="19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RA-3, RA-6</w:t>
            </w:r>
          </w:p>
        </w:tc>
      </w:tr>
      <w:tr>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6.6 Penetration Testing</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ID.RA-5</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18.1</w:t>
            </w:r>
          </w:p>
        </w:tc>
        <w:tc>
          <w:tcPr>
            <w:tcW w:type="dxa" w:w="19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CA-8, RA-5</w:t>
            </w:r>
          </w:p>
        </w:tc>
      </w:tr>
      <w:tr>
        <w:tc>
          <w:tcPr>
            <w:tcW w:type="dxa" w:w="25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bCs/>
                <w:color w:val="1A2340"/>
                <w:sz w:val="20"/>
                <w:szCs w:val="20"/>
              </w:rPr>
              <w:t xml:space="preserve">6.7 Vulnerability Register</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ID.RA-1</w:t>
            </w:r>
          </w:p>
        </w:tc>
        <w:tc>
          <w:tcPr>
            <w:tcW w:type="dxa" w:w="156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A.8.8</w:t>
            </w:r>
          </w:p>
        </w:tc>
        <w:tc>
          <w:tcPr>
            <w:tcW w:type="dxa" w:w="180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7.5</w:t>
            </w:r>
          </w:p>
        </w:tc>
        <w:tc>
          <w:tcPr>
            <w:tcW w:type="dxa" w:w="1920"/>
            <w:tcBorders>
              <w:top w:val="single" w:color="DDE3EF" w:sz="1"/>
              <w:left w:val="single" w:color="DDE3EF" w:sz="1"/>
              <w:bottom w:val="single" w:color="DDE3EF" w:sz="1"/>
              <w:right w:val="single" w:color="DDE3EF" w:sz="1"/>
            </w:tcBorders>
            <w:shd w:fill="FFFFFF"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RA-5, PM-5</w:t>
            </w:r>
          </w:p>
        </w:tc>
      </w:tr>
      <w:tr>
        <w:tc>
          <w:tcPr>
            <w:tcW w:type="dxa" w:w="25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bCs/>
                <w:color w:val="1A2340"/>
                <w:sz w:val="20"/>
                <w:szCs w:val="20"/>
              </w:rPr>
              <w:t xml:space="preserve">6.8 Metrics and Reporting</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ID.RA-6</w:t>
            </w:r>
          </w:p>
        </w:tc>
        <w:tc>
          <w:tcPr>
            <w:tcW w:type="dxa" w:w="156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A.5.29</w:t>
            </w:r>
          </w:p>
        </w:tc>
        <w:tc>
          <w:tcPr>
            <w:tcW w:type="dxa" w:w="180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Control 7.5</w:t>
            </w:r>
          </w:p>
        </w:tc>
        <w:tc>
          <w:tcPr>
            <w:tcW w:type="dxa" w:w="1920"/>
            <w:tcBorders>
              <w:top w:val="single" w:color="DDE3EF" w:sz="1"/>
              <w:left w:val="single" w:color="DDE3EF" w:sz="1"/>
              <w:bottom w:val="single" w:color="DDE3EF" w:sz="1"/>
              <w:right w:val="single" w:color="DDE3EF" w:sz="1"/>
            </w:tcBorders>
            <w:shd w:fill="EBF0FA" w:val="clear"/>
            <w:tcMar>
              <w:top w:type="dxa" w:w="80"/>
              <w:left w:type="dxa" w:w="120"/>
              <w:bottom w:type="dxa" w:w="80"/>
              <w:right w:type="dxa" w:w="120"/>
            </w:tcMar>
            <w:vAlign w:val="center"/>
          </w:tcPr>
          <w:p>
            <w:r>
              <w:rPr>
                <w:rFonts w:ascii="Arial" w:cs="Arial" w:eastAsia="Arial" w:hAnsi="Arial"/>
                <w:b w:val="false"/>
                <w:bCs w:val="false"/>
                <w:color w:val="1A2340"/>
                <w:sz w:val="20"/>
                <w:szCs w:val="20"/>
              </w:rPr>
              <w:t xml:space="preserve">RA-5, PM-6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2"/>
      </w:pBdr>
    </w:pPr>
    <w:r>
      <w:rPr>
        <w:rFonts w:ascii="Arial" w:cs="Arial" w:eastAsia="Arial" w:hAnsi="Arial"/>
        <w:color w:val="5A6A8A"/>
        <w:sz w:val="16"/>
        <w:szCs w:val="16"/>
      </w:rPr>
      <w:t xml:space="preserve">INTERNAL — CONFIDENTIAL | © [ORGANIZATION NAME].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4" w:space="2"/>
      </w:pBdr>
      <w:tabs>
        <w:tab w:val="right" w:pos="9026"/>
      </w:tabs>
    </w:pPr>
    <w:r>
      <w:rPr>
        <w:rFonts w:ascii="Arial" w:cs="Arial" w:eastAsia="Arial" w:hAnsi="Arial"/>
        <w:color w:val="5A6A8A"/>
        <w:sz w:val="16"/>
        <w:szCs w:val="16"/>
      </w:rPr>
      <w:t xml:space="preserve">ENT-Draft-POL-Vulnerability Management-Comprehensive-6.26 | Vulnerability Management Policy</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2026-06-19T04:32:14.572Z</dcterms:created>
  <dcterms:modified xsi:type="dcterms:W3CDTF">2026-06-19T04:32:14.572Z</dcterms:modified>
</cp:coreProperties>
</file>

<file path=docProps/custom.xml><?xml version="1.0" encoding="utf-8"?>
<Properties xmlns="http://schemas.openxmlformats.org/officeDocument/2006/custom-properties" xmlns:vt="http://schemas.openxmlformats.org/officeDocument/2006/docPropsVTypes"/>
</file>