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Arial" w:cs="Arial" w:eastAsia="Arial" w:hAnsi="Arial"/>
          <w:b/>
          <w:bCs/>
          <w:color w:val="152168"/>
          <w:sz w:val="28"/>
          <w:szCs w:val="28"/>
        </w:rPr>
        <w:t xml:space="preserve">[ORGANIZATION NAME]</w:t>
      </w:r>
    </w:p>
    <w:p>
      <w:pPr>
        <w:spacing w:after="240"/>
        <w:jc w:val="center"/>
      </w:pPr>
      <w:r>
        <w:rPr>
          <w:rFonts w:ascii="Arial" w:cs="Arial" w:eastAsia="Arial" w:hAnsi="Arial"/>
          <w:color w:val="5A6A8A"/>
          <w:sz w:val="22"/>
          <w:szCs w:val="22"/>
        </w:rPr>
        <w:t xml:space="preserve">Information Security Policy</w:t>
      </w:r>
    </w:p>
    <w:p>
      <w:pPr>
        <w:pBdr>
          <w:top w:val="single" w:color="07B4D9" w:sz="12"/>
          <w:bottom w:val="single" w:color="07B4D9" w:sz="12"/>
        </w:pBdr>
        <w:spacing w:after="160" w:before="160"/>
        <w:jc w:val="center"/>
      </w:pPr>
      <w:r>
        <w:rPr>
          <w:rFonts w:ascii="Arial" w:cs="Arial" w:eastAsia="Arial" w:hAnsi="Arial"/>
          <w:b/>
          <w:bCs/>
          <w:color w:val="152168"/>
          <w:sz w:val="48"/>
          <w:szCs w:val="48"/>
        </w:rPr>
        <w:t xml:space="preserve">Access Control Policy</w:t>
      </w:r>
    </w:p>
    <w:p>
      <w:pPr>
        <w:spacing w:after="2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Document ID</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ENT-Draft-POL-Access Control-Comprehensive-6.26</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Version</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1.0 - Draft</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Classification</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INTERNAL - CONFIDENTIAL</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Owner</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CISO / vCISO</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Effective Date</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[DATE]</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Review Cycle</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Annual</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Framework Refs</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NIST CSF 2.0 (PR.AA) | ISO/IEC 27001:2022 A.5.15-5.18, 8.2-8.5 | NIST SP 800-53 Rev 5 (AC)</w:t>
            </w:r>
          </w:p>
        </w:tc>
      </w:tr>
    </w:tbl>
    <w:p>
      <w:pPr>
        <w:spacing w:after="240"/>
      </w:pPr>
    </w:p>
    <w:p>
      <w:pPr>
        <w:spacing w:after="80"/>
        <w:jc w:val="center"/>
      </w:pPr>
      <w:r>
        <w:rPr>
          <w:rFonts w:ascii="Arial" w:cs="Arial" w:eastAsia="Arial" w:hAnsi="Arial"/>
          <w:i/>
          <w:iCs/>
          <w:color w:val="5A6A8A"/>
          <w:sz w:val="18"/>
          <w:szCs w:val="18"/>
        </w:rPr>
        <w:t xml:space="preserve">Prepared by Abbott Cyber Consulting</w:t>
      </w:r>
    </w:p>
    <w:p>
      <w:r>
        <w:br w:type="page"/>
      </w:r>
    </w:p>
    <w:p>
      <w:pPr>
        <w:pStyle w:val="Heading1"/>
        <w:spacing w:after="120" w:before="320"/>
      </w:pPr>
      <w:r>
        <w:rPr>
          <w:rFonts w:ascii="Arial" w:cs="Arial" w:eastAsia="Arial" w:hAnsi="Arial"/>
          <w:b/>
          <w:bCs/>
          <w:color w:val="152168"/>
          <w:sz w:val="28"/>
          <w:szCs w:val="28"/>
        </w:rPr>
        <w:t xml:space="preserve">1.  Purpose</w:t>
      </w:r>
    </w:p>
    <w:p>
      <w:pPr>
        <w:spacing w:after="160"/>
      </w:pPr>
      <w:r>
        <w:rPr>
          <w:rFonts w:ascii="Arial" w:cs="Arial" w:eastAsia="Arial" w:hAnsi="Arial"/>
          <w:color w:val="1A2340"/>
          <w:sz w:val="22"/>
          <w:szCs w:val="22"/>
        </w:rPr>
        <w:t xml:space="preserve">This Access Control Policy establishes the requirements governing who may access [Organization Name]'s information systems, data, and physical facilities, under what conditions, and with what level of privilege. It defines the standards and controls necessary to ensure that access to information assets is granted, maintained, and revoked in a manner consistent with the organization's risk tolerance, legal obligations, and operational requirements.</w:t>
      </w:r>
    </w:p>
    <w:p>
      <w:pPr>
        <w:spacing w:after="160"/>
      </w:pPr>
      <w:r>
        <w:rPr>
          <w:rFonts w:ascii="Arial" w:cs="Arial" w:eastAsia="Arial" w:hAnsi="Arial"/>
          <w:color w:val="1A2340"/>
          <w:sz w:val="22"/>
          <w:szCs w:val="22"/>
        </w:rPr>
        <w:t xml:space="preserve">This policy supports the organization's commitment to protecting the confidentiality, integrity, and availability of information by ensuring that access is limited to authorized individuals and is proportionate to their role and responsibilities.</w:t>
      </w:r>
    </w:p>
    <w:p>
      <w:pPr>
        <w:spacing w:after="80"/>
      </w:pPr>
    </w:p>
    <w:p>
      <w:pPr>
        <w:pStyle w:val="Heading1"/>
        <w:spacing w:after="120" w:before="320"/>
      </w:pPr>
      <w:r>
        <w:rPr>
          <w:rFonts w:ascii="Arial" w:cs="Arial" w:eastAsia="Arial" w:hAnsi="Arial"/>
          <w:b/>
          <w:bCs/>
          <w:color w:val="152168"/>
          <w:sz w:val="28"/>
          <w:szCs w:val="28"/>
        </w:rPr>
        <w:t xml:space="preserve">2.  Scope</w:t>
      </w:r>
    </w:p>
    <w:p>
      <w:pPr>
        <w:spacing w:after="160"/>
      </w:pPr>
      <w:r>
        <w:rPr>
          <w:rFonts w:ascii="Arial" w:cs="Arial" w:eastAsia="Arial" w:hAnsi="Arial"/>
          <w:color w:val="1A2340"/>
          <w:sz w:val="22"/>
          <w:szCs w:val="22"/>
        </w:rPr>
        <w:t xml:space="preserve">This policy applies to:</w:t>
      </w:r>
    </w:p>
    <w:p>
      <w:pPr>
        <w:pStyle w:val="ListParagraph"/>
        <w:numPr>
          <w:ilvl w:val="0"/>
          <w:numId w:val="2"/>
        </w:numPr>
        <w:spacing w:after="80"/>
      </w:pPr>
      <w:r>
        <w:rPr>
          <w:rFonts w:ascii="Arial" w:cs="Arial" w:eastAsia="Arial" w:hAnsi="Arial"/>
          <w:color w:val="1A2340"/>
          <w:sz w:val="22"/>
          <w:szCs w:val="22"/>
        </w:rPr>
        <w:t xml:space="preserve">All information systems, applications, databases, and cloud services owned, operated, or contracted by [Organization Name]</w:t>
      </w:r>
    </w:p>
    <w:p>
      <w:pPr>
        <w:pStyle w:val="ListParagraph"/>
        <w:numPr>
          <w:ilvl w:val="0"/>
          <w:numId w:val="2"/>
        </w:numPr>
        <w:spacing w:after="80"/>
      </w:pPr>
      <w:r>
        <w:rPr>
          <w:rFonts w:ascii="Arial" w:cs="Arial" w:eastAsia="Arial" w:hAnsi="Arial"/>
          <w:color w:val="1A2340"/>
          <w:sz w:val="22"/>
          <w:szCs w:val="22"/>
        </w:rPr>
        <w:t xml:space="preserve">All network infrastructure, including wired, wireless, and remote access systems</w:t>
      </w:r>
    </w:p>
    <w:p>
      <w:pPr>
        <w:pStyle w:val="ListParagraph"/>
        <w:numPr>
          <w:ilvl w:val="0"/>
          <w:numId w:val="2"/>
        </w:numPr>
        <w:spacing w:after="80"/>
      </w:pPr>
      <w:r>
        <w:rPr>
          <w:rFonts w:ascii="Arial" w:cs="Arial" w:eastAsia="Arial" w:hAnsi="Arial"/>
          <w:color w:val="1A2340"/>
          <w:sz w:val="22"/>
          <w:szCs w:val="22"/>
        </w:rPr>
        <w:t xml:space="preserve">All physical facilities and secured areas containing information systems or sensitive data</w:t>
      </w:r>
    </w:p>
    <w:p>
      <w:pPr>
        <w:pStyle w:val="ListParagraph"/>
        <w:numPr>
          <w:ilvl w:val="0"/>
          <w:numId w:val="2"/>
        </w:numPr>
        <w:spacing w:after="80"/>
      </w:pPr>
      <w:r>
        <w:rPr>
          <w:rFonts w:ascii="Arial" w:cs="Arial" w:eastAsia="Arial" w:hAnsi="Arial"/>
          <w:color w:val="1A2340"/>
          <w:sz w:val="22"/>
          <w:szCs w:val="22"/>
        </w:rPr>
        <w:t xml:space="preserve">All personnel with access to organizational systems, including employees (full-time and part-time), contractors and third-party service providers, temporary workers and consultants, and board members and executive leadership where system access is granted</w:t>
      </w:r>
    </w:p>
    <w:p>
      <w:pPr>
        <w:spacing w:after="80"/>
      </w:pPr>
    </w:p>
    <w:p>
      <w:pPr>
        <w:pStyle w:val="Heading1"/>
        <w:spacing w:after="120" w:before="320"/>
      </w:pPr>
      <w:r>
        <w:rPr>
          <w:rFonts w:ascii="Arial" w:cs="Arial" w:eastAsia="Arial" w:hAnsi="Arial"/>
          <w:b/>
          <w:bCs/>
          <w:color w:val="152168"/>
          <w:sz w:val="28"/>
          <w:szCs w:val="28"/>
        </w:rPr>
        <w:t xml:space="preserve">3.  Policy Statement</w:t>
      </w:r>
    </w:p>
    <w:p>
      <w:pPr>
        <w:spacing w:after="160"/>
      </w:pPr>
      <w:r>
        <w:rPr>
          <w:rFonts w:ascii="Arial" w:cs="Arial" w:eastAsia="Arial" w:hAnsi="Arial"/>
          <w:color w:val="1A2340"/>
          <w:sz w:val="22"/>
          <w:szCs w:val="22"/>
        </w:rPr>
        <w:t xml:space="preserve">[Organization Name] is committed to protecting its information assets through a risk-based, defense-in-depth approach to access control. This policy is governed by the following six principles:</w:t>
      </w:r>
    </w:p>
    <w:p>
      <w:pPr>
        <w:spacing w:after="40"/>
      </w:pPr>
    </w:p>
    <w:p>
      <w:pPr>
        <w:spacing w:after="80"/>
      </w:pPr>
      <w:r>
        <w:rPr>
          <w:rFonts w:ascii="Arial" w:cs="Arial" w:eastAsia="Arial" w:hAnsi="Arial"/>
          <w:b/>
          <w:bCs/>
          <w:color w:val="152168"/>
          <w:sz w:val="22"/>
          <w:szCs w:val="22"/>
        </w:rPr>
        <w:t xml:space="preserve">Least Privilege</w:t>
      </w:r>
    </w:p>
    <w:p>
      <w:pPr>
        <w:spacing w:after="160"/>
      </w:pPr>
      <w:r>
        <w:rPr>
          <w:rFonts w:ascii="Arial" w:cs="Arial" w:eastAsia="Arial" w:hAnsi="Arial"/>
          <w:color w:val="1A2340"/>
          <w:sz w:val="22"/>
          <w:szCs w:val="22"/>
        </w:rPr>
        <w:t xml:space="preserve">Users are granted only the minimum level of access required to perform their job function. Excess privilege increases risk and is not permitted.</w:t>
      </w:r>
    </w:p>
    <w:p>
      <w:pPr>
        <w:spacing w:after="80"/>
      </w:pPr>
      <w:r>
        <w:rPr>
          <w:rFonts w:ascii="Arial" w:cs="Arial" w:eastAsia="Arial" w:hAnsi="Arial"/>
          <w:b/>
          <w:bCs/>
          <w:color w:val="152168"/>
          <w:sz w:val="22"/>
          <w:szCs w:val="22"/>
        </w:rPr>
        <w:t xml:space="preserve">Need-to-Know</w:t>
      </w:r>
    </w:p>
    <w:p>
      <w:pPr>
        <w:spacing w:after="160"/>
      </w:pPr>
      <w:r>
        <w:rPr>
          <w:rFonts w:ascii="Arial" w:cs="Arial" w:eastAsia="Arial" w:hAnsi="Arial"/>
          <w:color w:val="1A2340"/>
          <w:sz w:val="22"/>
          <w:szCs w:val="22"/>
        </w:rPr>
        <w:t xml:space="preserve">Access to sensitive information is restricted to those with a demonstrated business need. Access is not granted based on seniority, convenience, or habit.</w:t>
      </w:r>
    </w:p>
    <w:p>
      <w:pPr>
        <w:spacing w:after="80"/>
      </w:pPr>
      <w:r>
        <w:rPr>
          <w:rFonts w:ascii="Arial" w:cs="Arial" w:eastAsia="Arial" w:hAnsi="Arial"/>
          <w:b/>
          <w:bCs/>
          <w:color w:val="152168"/>
          <w:sz w:val="22"/>
          <w:szCs w:val="22"/>
        </w:rPr>
        <w:t xml:space="preserve">Separation of Duties</w:t>
      </w:r>
    </w:p>
    <w:p>
      <w:pPr>
        <w:spacing w:after="160"/>
      </w:pPr>
      <w:r>
        <w:rPr>
          <w:rFonts w:ascii="Arial" w:cs="Arial" w:eastAsia="Arial" w:hAnsi="Arial"/>
          <w:color w:val="1A2340"/>
          <w:sz w:val="22"/>
          <w:szCs w:val="22"/>
        </w:rPr>
        <w:t xml:space="preserve">Conflicting responsibilities are separated across multiple roles or individuals to reduce the risk of fraud, error, and unauthorized activity. No single individual should have end-to-end control over a critical process without compensating controls.</w:t>
      </w:r>
    </w:p>
    <w:p>
      <w:pPr>
        <w:spacing w:after="80"/>
      </w:pPr>
      <w:r>
        <w:rPr>
          <w:rFonts w:ascii="Arial" w:cs="Arial" w:eastAsia="Arial" w:hAnsi="Arial"/>
          <w:b/>
          <w:bCs/>
          <w:color w:val="152168"/>
          <w:sz w:val="22"/>
          <w:szCs w:val="22"/>
        </w:rPr>
        <w:t xml:space="preserve">Defence in Depth</w:t>
      </w:r>
    </w:p>
    <w:p>
      <w:pPr>
        <w:spacing w:after="160"/>
      </w:pPr>
      <w:r>
        <w:rPr>
          <w:rFonts w:ascii="Arial" w:cs="Arial" w:eastAsia="Arial" w:hAnsi="Arial"/>
          <w:color w:val="1A2340"/>
          <w:sz w:val="22"/>
          <w:szCs w:val="22"/>
        </w:rPr>
        <w:t xml:space="preserve">Access controls are implemented in multiple layers - network, application, identity, and physical - so that no single failure exposes the organization to unacceptable risk.</w:t>
      </w:r>
    </w:p>
    <w:p>
      <w:pPr>
        <w:spacing w:after="80"/>
      </w:pPr>
      <w:r>
        <w:rPr>
          <w:rFonts w:ascii="Arial" w:cs="Arial" w:eastAsia="Arial" w:hAnsi="Arial"/>
          <w:b/>
          <w:bCs/>
          <w:color w:val="152168"/>
          <w:sz w:val="22"/>
          <w:szCs w:val="22"/>
        </w:rPr>
        <w:t xml:space="preserve">Zero Trust Alignment</w:t>
      </w:r>
    </w:p>
    <w:p>
      <w:pPr>
        <w:spacing w:after="160"/>
      </w:pPr>
      <w:r>
        <w:rPr>
          <w:rFonts w:ascii="Arial" w:cs="Arial" w:eastAsia="Arial" w:hAnsi="Arial"/>
          <w:color w:val="1A2340"/>
          <w:sz w:val="22"/>
          <w:szCs w:val="22"/>
        </w:rPr>
        <w:t xml:space="preserve">Trust is never assumed. All access requests are verified, regardless of network location. The organization progressively adopts zero trust principles as technology and budget allow.</w:t>
      </w:r>
    </w:p>
    <w:p>
      <w:pPr>
        <w:spacing w:after="80"/>
      </w:pPr>
      <w:r>
        <w:rPr>
          <w:rFonts w:ascii="Arial" w:cs="Arial" w:eastAsia="Arial" w:hAnsi="Arial"/>
          <w:b/>
          <w:bCs/>
          <w:color w:val="152168"/>
          <w:sz w:val="22"/>
          <w:szCs w:val="22"/>
        </w:rPr>
        <w:t xml:space="preserve">Accountability</w:t>
      </w:r>
    </w:p>
    <w:p>
      <w:pPr>
        <w:spacing w:after="160"/>
      </w:pPr>
      <w:r>
        <w:rPr>
          <w:rFonts w:ascii="Arial" w:cs="Arial" w:eastAsia="Arial" w:hAnsi="Arial"/>
          <w:color w:val="1A2340"/>
          <w:sz w:val="22"/>
          <w:szCs w:val="22"/>
        </w:rPr>
        <w:t xml:space="preserve">Access events are logged and attributable to individual users. Shared and anonymous access is prohibited where technically feasible.</w:t>
      </w:r>
    </w:p>
    <w:p>
      <w:pPr>
        <w:spacing w:after="80"/>
      </w:pPr>
    </w:p>
    <w:p>
      <w:pPr>
        <w:pStyle w:val="Heading1"/>
        <w:spacing w:after="120" w:before="320"/>
      </w:pPr>
      <w:r>
        <w:rPr>
          <w:rFonts w:ascii="Arial" w:cs="Arial" w:eastAsia="Arial" w:hAnsi="Arial"/>
          <w:b/>
          <w:bCs/>
          <w:color w:val="152168"/>
          <w:sz w:val="28"/>
          <w:szCs w:val="28"/>
        </w:rPr>
        <w:t xml:space="preserve">4.  Definitions</w:t>
      </w:r>
    </w:p>
    <w:p>
      <w:pPr>
        <w:spacing w:after="100"/>
      </w:pPr>
      <w:r>
        <w:rPr>
          <w:rFonts w:ascii="Arial" w:cs="Arial" w:eastAsia="Arial" w:hAnsi="Arial"/>
          <w:b/>
          <w:bCs/>
          <w:color w:val="152168"/>
          <w:sz w:val="22"/>
          <w:szCs w:val="22"/>
        </w:rPr>
        <w:t xml:space="preserve">Access Control: </w:t>
      </w:r>
      <w:r>
        <w:rPr>
          <w:rFonts w:ascii="Arial" w:cs="Arial" w:eastAsia="Arial" w:hAnsi="Arial"/>
          <w:color w:val="1A2340"/>
          <w:sz w:val="22"/>
          <w:szCs w:val="22"/>
        </w:rPr>
        <w:t xml:space="preserve">The mechanisms and policies that restrict access to information systems, data, and physical resources to authorized individuals and processes.</w:t>
      </w:r>
    </w:p>
    <w:p>
      <w:pPr>
        <w:spacing w:after="100"/>
      </w:pPr>
      <w:r>
        <w:rPr>
          <w:rFonts w:ascii="Arial" w:cs="Arial" w:eastAsia="Arial" w:hAnsi="Arial"/>
          <w:b/>
          <w:bCs/>
          <w:color w:val="152168"/>
          <w:sz w:val="22"/>
          <w:szCs w:val="22"/>
        </w:rPr>
        <w:t xml:space="preserve">Authentication: </w:t>
      </w:r>
      <w:r>
        <w:rPr>
          <w:rFonts w:ascii="Arial" w:cs="Arial" w:eastAsia="Arial" w:hAnsi="Arial"/>
          <w:color w:val="1A2340"/>
          <w:sz w:val="22"/>
          <w:szCs w:val="22"/>
        </w:rPr>
        <w:t xml:space="preserve">The process of verifying the identity of a user, device, or system before granting access.</w:t>
      </w:r>
    </w:p>
    <w:p>
      <w:pPr>
        <w:spacing w:after="100"/>
      </w:pPr>
      <w:r>
        <w:rPr>
          <w:rFonts w:ascii="Arial" w:cs="Arial" w:eastAsia="Arial" w:hAnsi="Arial"/>
          <w:b/>
          <w:bCs/>
          <w:color w:val="152168"/>
          <w:sz w:val="22"/>
          <w:szCs w:val="22"/>
        </w:rPr>
        <w:t xml:space="preserve">Authorization: </w:t>
      </w:r>
      <w:r>
        <w:rPr>
          <w:rFonts w:ascii="Arial" w:cs="Arial" w:eastAsia="Arial" w:hAnsi="Arial"/>
          <w:color w:val="1A2340"/>
          <w:sz w:val="22"/>
          <w:szCs w:val="22"/>
        </w:rPr>
        <w:t xml:space="preserve">The process of determining whether an authenticated identity has permission to perform a specific action or access a specific resource.</w:t>
      </w:r>
    </w:p>
    <w:p>
      <w:pPr>
        <w:spacing w:after="100"/>
      </w:pPr>
      <w:r>
        <w:rPr>
          <w:rFonts w:ascii="Arial" w:cs="Arial" w:eastAsia="Arial" w:hAnsi="Arial"/>
          <w:b/>
          <w:bCs/>
          <w:color w:val="152168"/>
          <w:sz w:val="22"/>
          <w:szCs w:val="22"/>
        </w:rPr>
        <w:t xml:space="preserve">Multi-Factor Authentication (MFA): </w:t>
      </w:r>
      <w:r>
        <w:rPr>
          <w:rFonts w:ascii="Arial" w:cs="Arial" w:eastAsia="Arial" w:hAnsi="Arial"/>
          <w:color w:val="1A2340"/>
          <w:sz w:val="22"/>
          <w:szCs w:val="22"/>
        </w:rPr>
        <w:t xml:space="preserve">An authentication method requiring the user to provide two or more verification factors from different categories (something you know, something you have, something you are).</w:t>
      </w:r>
    </w:p>
    <w:p>
      <w:pPr>
        <w:spacing w:after="100"/>
      </w:pPr>
      <w:r>
        <w:rPr>
          <w:rFonts w:ascii="Arial" w:cs="Arial" w:eastAsia="Arial" w:hAnsi="Arial"/>
          <w:b/>
          <w:bCs/>
          <w:color w:val="152168"/>
          <w:sz w:val="22"/>
          <w:szCs w:val="22"/>
        </w:rPr>
        <w:t xml:space="preserve">Single Sign-On (SSO): </w:t>
      </w:r>
      <w:r>
        <w:rPr>
          <w:rFonts w:ascii="Arial" w:cs="Arial" w:eastAsia="Arial" w:hAnsi="Arial"/>
          <w:color w:val="1A2340"/>
          <w:sz w:val="22"/>
          <w:szCs w:val="22"/>
        </w:rPr>
        <w:t xml:space="preserve">A centralized authentication mechanism that allows a user to authenticate once and gain access to multiple connected systems without re-entering credentials.</w:t>
      </w:r>
    </w:p>
    <w:p>
      <w:pPr>
        <w:spacing w:after="100"/>
      </w:pPr>
      <w:r>
        <w:rPr>
          <w:rFonts w:ascii="Arial" w:cs="Arial" w:eastAsia="Arial" w:hAnsi="Arial"/>
          <w:b/>
          <w:bCs/>
          <w:color w:val="152168"/>
          <w:sz w:val="22"/>
          <w:szCs w:val="22"/>
        </w:rPr>
        <w:t xml:space="preserve">Privileged Access: </w:t>
      </w:r>
      <w:r>
        <w:rPr>
          <w:rFonts w:ascii="Arial" w:cs="Arial" w:eastAsia="Arial" w:hAnsi="Arial"/>
          <w:color w:val="1A2340"/>
          <w:sz w:val="22"/>
          <w:szCs w:val="22"/>
        </w:rPr>
        <w:t xml:space="preserve">Any access right that permits a user to perform administrative, configuration, or override functions beyond those of a standard user.</w:t>
      </w:r>
    </w:p>
    <w:p>
      <w:pPr>
        <w:spacing w:after="100"/>
      </w:pPr>
      <w:r>
        <w:rPr>
          <w:rFonts w:ascii="Arial" w:cs="Arial" w:eastAsia="Arial" w:hAnsi="Arial"/>
          <w:b/>
          <w:bCs/>
          <w:color w:val="152168"/>
          <w:sz w:val="22"/>
          <w:szCs w:val="22"/>
        </w:rPr>
        <w:t xml:space="preserve">Least Privilege: </w:t>
      </w:r>
      <w:r>
        <w:rPr>
          <w:rFonts w:ascii="Arial" w:cs="Arial" w:eastAsia="Arial" w:hAnsi="Arial"/>
          <w:color w:val="1A2340"/>
          <w:sz w:val="22"/>
          <w:szCs w:val="22"/>
        </w:rPr>
        <w:t xml:space="preserve">The principle that each user, program, or system component should have only the minimum access rights necessary to perform its function.</w:t>
      </w:r>
    </w:p>
    <w:p>
      <w:pPr>
        <w:spacing w:after="100"/>
      </w:pPr>
      <w:r>
        <w:rPr>
          <w:rFonts w:ascii="Arial" w:cs="Arial" w:eastAsia="Arial" w:hAnsi="Arial"/>
          <w:b/>
          <w:bCs/>
          <w:color w:val="152168"/>
          <w:sz w:val="22"/>
          <w:szCs w:val="22"/>
        </w:rPr>
        <w:t xml:space="preserve">Separation of Duties: </w:t>
      </w:r>
      <w:r>
        <w:rPr>
          <w:rFonts w:ascii="Arial" w:cs="Arial" w:eastAsia="Arial" w:hAnsi="Arial"/>
          <w:color w:val="1A2340"/>
          <w:sz w:val="22"/>
          <w:szCs w:val="22"/>
        </w:rPr>
        <w:t xml:space="preserve">The distribution of critical tasks and permissions across multiple individuals or roles to prevent any single person from having the ability to commit or conceal fraud or error.</w:t>
      </w:r>
    </w:p>
    <w:p>
      <w:pPr>
        <w:spacing w:after="100"/>
      </w:pPr>
      <w:r>
        <w:rPr>
          <w:rFonts w:ascii="Arial" w:cs="Arial" w:eastAsia="Arial" w:hAnsi="Arial"/>
          <w:b/>
          <w:bCs/>
          <w:color w:val="152168"/>
          <w:sz w:val="22"/>
          <w:szCs w:val="22"/>
        </w:rPr>
        <w:t xml:space="preserve">Role-Based Access Control (RBAC): </w:t>
      </w:r>
      <w:r>
        <w:rPr>
          <w:rFonts w:ascii="Arial" w:cs="Arial" w:eastAsia="Arial" w:hAnsi="Arial"/>
          <w:color w:val="1A2340"/>
          <w:sz w:val="22"/>
          <w:szCs w:val="22"/>
        </w:rPr>
        <w:t xml:space="preserve">An access control model in which permissions are assigned to roles rather than individuals. Users are then assigned roles based on their job function.</w:t>
      </w:r>
    </w:p>
    <w:p>
      <w:pPr>
        <w:spacing w:after="100"/>
      </w:pPr>
      <w:r>
        <w:rPr>
          <w:rFonts w:ascii="Arial" w:cs="Arial" w:eastAsia="Arial" w:hAnsi="Arial"/>
          <w:b/>
          <w:bCs/>
          <w:color w:val="152168"/>
          <w:sz w:val="22"/>
          <w:szCs w:val="22"/>
        </w:rPr>
        <w:t xml:space="preserve">Access Review: </w:t>
      </w:r>
      <w:r>
        <w:rPr>
          <w:rFonts w:ascii="Arial" w:cs="Arial" w:eastAsia="Arial" w:hAnsi="Arial"/>
          <w:color w:val="1A2340"/>
          <w:sz w:val="22"/>
          <w:szCs w:val="22"/>
        </w:rPr>
        <w:t xml:space="preserve">A periodic examination of user access rights to confirm they remain appropriate for the user's current role and responsibilities.</w:t>
      </w:r>
    </w:p>
    <w:p>
      <w:pPr>
        <w:spacing w:after="100"/>
      </w:pPr>
      <w:r>
        <w:rPr>
          <w:rFonts w:ascii="Arial" w:cs="Arial" w:eastAsia="Arial" w:hAnsi="Arial"/>
          <w:b/>
          <w:bCs/>
          <w:color w:val="152168"/>
          <w:sz w:val="22"/>
          <w:szCs w:val="22"/>
        </w:rPr>
        <w:t xml:space="preserve">Provisioning: </w:t>
      </w:r>
      <w:r>
        <w:rPr>
          <w:rFonts w:ascii="Arial" w:cs="Arial" w:eastAsia="Arial" w:hAnsi="Arial"/>
          <w:color w:val="1A2340"/>
          <w:sz w:val="22"/>
          <w:szCs w:val="22"/>
        </w:rPr>
        <w:t xml:space="preserve">The process of creating and configuring a user account and granting the appropriate access rights when an individual joins the organization or changes roles.</w:t>
      </w:r>
    </w:p>
    <w:p>
      <w:pPr>
        <w:spacing w:after="100"/>
      </w:pPr>
      <w:r>
        <w:rPr>
          <w:rFonts w:ascii="Arial" w:cs="Arial" w:eastAsia="Arial" w:hAnsi="Arial"/>
          <w:b/>
          <w:bCs/>
          <w:color w:val="152168"/>
          <w:sz w:val="22"/>
          <w:szCs w:val="22"/>
        </w:rPr>
        <w:t xml:space="preserve">De-provisioning: </w:t>
      </w:r>
      <w:r>
        <w:rPr>
          <w:rFonts w:ascii="Arial" w:cs="Arial" w:eastAsia="Arial" w:hAnsi="Arial"/>
          <w:color w:val="1A2340"/>
          <w:sz w:val="22"/>
          <w:szCs w:val="22"/>
        </w:rPr>
        <w:t xml:space="preserve">The process of revoking and removing access rights and disabling accounts when an individual leaves the organization or no longer requires access.</w:t>
      </w:r>
    </w:p>
    <w:p>
      <w:pPr>
        <w:spacing w:after="100"/>
      </w:pPr>
      <w:r>
        <w:rPr>
          <w:rFonts w:ascii="Arial" w:cs="Arial" w:eastAsia="Arial" w:hAnsi="Arial"/>
          <w:b/>
          <w:bCs/>
          <w:color w:val="152168"/>
          <w:sz w:val="22"/>
          <w:szCs w:val="22"/>
        </w:rPr>
        <w:t xml:space="preserve">Credential: </w:t>
      </w:r>
      <w:r>
        <w:rPr>
          <w:rFonts w:ascii="Arial" w:cs="Arial" w:eastAsia="Arial" w:hAnsi="Arial"/>
          <w:color w:val="1A2340"/>
          <w:sz w:val="22"/>
          <w:szCs w:val="22"/>
        </w:rPr>
        <w:t xml:space="preserve">A combination of an identifier (such as a username) and an authenticator (such as a password or certificate) used to authenticate a user or system.</w:t>
      </w:r>
    </w:p>
    <w:p>
      <w:pPr>
        <w:spacing w:after="100"/>
      </w:pPr>
      <w:r>
        <w:rPr>
          <w:rFonts w:ascii="Arial" w:cs="Arial" w:eastAsia="Arial" w:hAnsi="Arial"/>
          <w:b/>
          <w:bCs/>
          <w:color w:val="152168"/>
          <w:sz w:val="22"/>
          <w:szCs w:val="22"/>
        </w:rPr>
        <w:t xml:space="preserve">Password: </w:t>
      </w:r>
      <w:r>
        <w:rPr>
          <w:rFonts w:ascii="Arial" w:cs="Arial" w:eastAsia="Arial" w:hAnsi="Arial"/>
          <w:color w:val="1A2340"/>
          <w:sz w:val="22"/>
          <w:szCs w:val="22"/>
        </w:rPr>
        <w:t xml:space="preserve">A secret character string used to authenticate an identity. Passwords are one-factor and must meet minimum complexity requirements under this policy.</w:t>
      </w:r>
    </w:p>
    <w:p>
      <w:pPr>
        <w:spacing w:after="100"/>
      </w:pPr>
      <w:r>
        <w:rPr>
          <w:rFonts w:ascii="Arial" w:cs="Arial" w:eastAsia="Arial" w:hAnsi="Arial"/>
          <w:b/>
          <w:bCs/>
          <w:color w:val="152168"/>
          <w:sz w:val="22"/>
          <w:szCs w:val="22"/>
        </w:rPr>
        <w:t xml:space="preserve">Passphrase: </w:t>
      </w:r>
      <w:r>
        <w:rPr>
          <w:rFonts w:ascii="Arial" w:cs="Arial" w:eastAsia="Arial" w:hAnsi="Arial"/>
          <w:color w:val="1A2340"/>
          <w:sz w:val="22"/>
          <w:szCs w:val="22"/>
        </w:rPr>
        <w:t xml:space="preserve">A longer, phrase-based credential typically composed of multiple words. Passphrases are preferred over traditional passwords due to their inherent complexity and resistance to brute-force attack.</w:t>
      </w:r>
    </w:p>
    <w:p>
      <w:pPr>
        <w:spacing w:after="100"/>
      </w:pPr>
      <w:r>
        <w:rPr>
          <w:rFonts w:ascii="Arial" w:cs="Arial" w:eastAsia="Arial" w:hAnsi="Arial"/>
          <w:b/>
          <w:bCs/>
          <w:color w:val="152168"/>
          <w:sz w:val="22"/>
          <w:szCs w:val="22"/>
        </w:rPr>
        <w:t xml:space="preserve">Service Account: </w:t>
      </w:r>
      <w:r>
        <w:rPr>
          <w:rFonts w:ascii="Arial" w:cs="Arial" w:eastAsia="Arial" w:hAnsi="Arial"/>
          <w:color w:val="1A2340"/>
          <w:sz w:val="22"/>
          <w:szCs w:val="22"/>
        </w:rPr>
        <w:t xml:space="preserve">A non-human account used by an application, script, or automated process to interact with other systems or services.</w:t>
      </w:r>
    </w:p>
    <w:p>
      <w:pPr>
        <w:spacing w:after="100"/>
      </w:pPr>
      <w:r>
        <w:rPr>
          <w:rFonts w:ascii="Arial" w:cs="Arial" w:eastAsia="Arial" w:hAnsi="Arial"/>
          <w:b/>
          <w:bCs/>
          <w:color w:val="152168"/>
          <w:sz w:val="22"/>
          <w:szCs w:val="22"/>
        </w:rPr>
        <w:t xml:space="preserve">Shared Account: </w:t>
      </w:r>
      <w:r>
        <w:rPr>
          <w:rFonts w:ascii="Arial" w:cs="Arial" w:eastAsia="Arial" w:hAnsi="Arial"/>
          <w:color w:val="1A2340"/>
          <w:sz w:val="22"/>
          <w:szCs w:val="22"/>
        </w:rPr>
        <w:t xml:space="preserve">An account used by more than one individual. Shared accounts undermine accountability and are prohibited except in limited, documented operational circumstances.</w:t>
      </w:r>
    </w:p>
    <w:p>
      <w:pPr>
        <w:spacing w:after="100"/>
      </w:pPr>
      <w:r>
        <w:rPr>
          <w:rFonts w:ascii="Arial" w:cs="Arial" w:eastAsia="Arial" w:hAnsi="Arial"/>
          <w:b/>
          <w:bCs/>
          <w:color w:val="152168"/>
          <w:sz w:val="22"/>
          <w:szCs w:val="22"/>
        </w:rPr>
        <w:t xml:space="preserve">Identity Lifecycle: </w:t>
      </w:r>
      <w:r>
        <w:rPr>
          <w:rFonts w:ascii="Arial" w:cs="Arial" w:eastAsia="Arial" w:hAnsi="Arial"/>
          <w:color w:val="1A2340"/>
          <w:sz w:val="22"/>
          <w:szCs w:val="22"/>
        </w:rPr>
        <w:t xml:space="preserve">The full sequence of activities associated with managing an individual's access from initial provisioning through role changes to final de-provisioning.</w:t>
      </w:r>
    </w:p>
    <w:p>
      <w:pPr>
        <w:spacing w:after="80"/>
      </w:pPr>
    </w:p>
    <w:p>
      <w:pPr>
        <w:pStyle w:val="Heading1"/>
        <w:spacing w:after="120" w:before="320"/>
      </w:pPr>
      <w:r>
        <w:rPr>
          <w:rFonts w:ascii="Arial" w:cs="Arial" w:eastAsia="Arial" w:hAnsi="Arial"/>
          <w:b/>
          <w:bCs/>
          <w:color w:val="152168"/>
          <w:sz w:val="28"/>
          <w:szCs w:val="28"/>
        </w:rPr>
        <w:t xml:space="preserve">5.  Roles and Responsibilities</w:t>
      </w:r>
    </w:p>
    <w:p>
      <w:pPr>
        <w:spacing w:after="80"/>
      </w:pPr>
      <w:r>
        <w:rPr>
          <w:rFonts w:ascii="Arial" w:cs="Arial" w:eastAsia="Arial" w:hAnsi="Arial"/>
          <w:b/>
          <w:bCs/>
          <w:color w:val="152168"/>
          <w:sz w:val="22"/>
          <w:szCs w:val="22"/>
        </w:rPr>
        <w:t xml:space="preserve">CISO / vCISO</w:t>
      </w:r>
    </w:p>
    <w:p>
      <w:pPr>
        <w:pStyle w:val="ListParagraph"/>
        <w:numPr>
          <w:ilvl w:val="0"/>
          <w:numId w:val="2"/>
        </w:numPr>
        <w:spacing w:after="80"/>
      </w:pPr>
      <w:r>
        <w:rPr>
          <w:rFonts w:ascii="Arial" w:cs="Arial" w:eastAsia="Arial" w:hAnsi="Arial"/>
          <w:color w:val="1A2340"/>
          <w:sz w:val="22"/>
          <w:szCs w:val="22"/>
        </w:rPr>
        <w:t xml:space="preserve">Policy owner; accountable for the development, maintenance, and enforcement of this policy</w:t>
      </w:r>
    </w:p>
    <w:p>
      <w:pPr>
        <w:pStyle w:val="ListParagraph"/>
        <w:numPr>
          <w:ilvl w:val="0"/>
          <w:numId w:val="2"/>
        </w:numPr>
        <w:spacing w:after="80"/>
      </w:pPr>
      <w:r>
        <w:rPr>
          <w:rFonts w:ascii="Arial" w:cs="Arial" w:eastAsia="Arial" w:hAnsi="Arial"/>
          <w:color w:val="1A2340"/>
          <w:sz w:val="22"/>
          <w:szCs w:val="22"/>
        </w:rPr>
        <w:t xml:space="preserve">Approves access control standards, exceptions, and privileged access controls</w:t>
      </w:r>
    </w:p>
    <w:p>
      <w:pPr>
        <w:pStyle w:val="ListParagraph"/>
        <w:numPr>
          <w:ilvl w:val="0"/>
          <w:numId w:val="2"/>
        </w:numPr>
        <w:spacing w:after="80"/>
      </w:pPr>
      <w:r>
        <w:rPr>
          <w:rFonts w:ascii="Arial" w:cs="Arial" w:eastAsia="Arial" w:hAnsi="Arial"/>
          <w:color w:val="1A2340"/>
          <w:sz w:val="22"/>
          <w:szCs w:val="22"/>
        </w:rPr>
        <w:t xml:space="preserve">Oversees annual access control audits and the exception register</w:t>
      </w:r>
    </w:p>
    <w:p>
      <w:pPr>
        <w:pStyle w:val="ListParagraph"/>
        <w:numPr>
          <w:ilvl w:val="0"/>
          <w:numId w:val="2"/>
        </w:numPr>
        <w:spacing w:after="80"/>
      </w:pPr>
      <w:r>
        <w:rPr>
          <w:rFonts w:ascii="Arial" w:cs="Arial" w:eastAsia="Arial" w:hAnsi="Arial"/>
          <w:color w:val="1A2340"/>
          <w:sz w:val="22"/>
          <w:szCs w:val="22"/>
        </w:rPr>
        <w:t xml:space="preserve">Final sign-off authority on access control deviations</w:t>
      </w:r>
    </w:p>
    <w:p>
      <w:pPr>
        <w:spacing w:after="40"/>
      </w:pPr>
    </w:p>
    <w:p>
      <w:pPr>
        <w:spacing w:after="80"/>
      </w:pPr>
      <w:r>
        <w:rPr>
          <w:rFonts w:ascii="Arial" w:cs="Arial" w:eastAsia="Arial" w:hAnsi="Arial"/>
          <w:b/>
          <w:bCs/>
          <w:color w:val="152168"/>
          <w:sz w:val="22"/>
          <w:szCs w:val="22"/>
        </w:rPr>
        <w:t xml:space="preserve">IT / System Administrators</w:t>
      </w:r>
    </w:p>
    <w:p>
      <w:pPr>
        <w:pStyle w:val="ListParagraph"/>
        <w:numPr>
          <w:ilvl w:val="0"/>
          <w:numId w:val="2"/>
        </w:numPr>
        <w:spacing w:after="80"/>
      </w:pPr>
      <w:r>
        <w:rPr>
          <w:rFonts w:ascii="Arial" w:cs="Arial" w:eastAsia="Arial" w:hAnsi="Arial"/>
          <w:color w:val="1A2340"/>
          <w:sz w:val="22"/>
          <w:szCs w:val="22"/>
        </w:rPr>
        <w:t xml:space="preserve">Implement, configure, and maintain technical access controls across all systems</w:t>
      </w:r>
    </w:p>
    <w:p>
      <w:pPr>
        <w:pStyle w:val="ListParagraph"/>
        <w:numPr>
          <w:ilvl w:val="0"/>
          <w:numId w:val="2"/>
        </w:numPr>
        <w:spacing w:after="80"/>
      </w:pPr>
      <w:r>
        <w:rPr>
          <w:rFonts w:ascii="Arial" w:cs="Arial" w:eastAsia="Arial" w:hAnsi="Arial"/>
          <w:color w:val="1A2340"/>
          <w:sz w:val="22"/>
          <w:szCs w:val="22"/>
        </w:rPr>
        <w:t xml:space="preserve">Execute provisioning and de-provisioning requests within required timeframes</w:t>
      </w:r>
    </w:p>
    <w:p>
      <w:pPr>
        <w:pStyle w:val="ListParagraph"/>
        <w:numPr>
          <w:ilvl w:val="0"/>
          <w:numId w:val="2"/>
        </w:numPr>
        <w:spacing w:after="80"/>
      </w:pPr>
      <w:r>
        <w:rPr>
          <w:rFonts w:ascii="Arial" w:cs="Arial" w:eastAsia="Arial" w:hAnsi="Arial"/>
          <w:color w:val="1A2340"/>
          <w:sz w:val="22"/>
          <w:szCs w:val="22"/>
        </w:rPr>
        <w:t xml:space="preserve">Manage service account inventory and enforce password rotation</w:t>
      </w:r>
    </w:p>
    <w:p>
      <w:pPr>
        <w:pStyle w:val="ListParagraph"/>
        <w:numPr>
          <w:ilvl w:val="0"/>
          <w:numId w:val="2"/>
        </w:numPr>
        <w:spacing w:after="80"/>
      </w:pPr>
      <w:r>
        <w:rPr>
          <w:rFonts w:ascii="Arial" w:cs="Arial" w:eastAsia="Arial" w:hAnsi="Arial"/>
          <w:color w:val="1A2340"/>
          <w:sz w:val="22"/>
          <w:szCs w:val="22"/>
        </w:rPr>
        <w:t xml:space="preserve">Maintain audit logs of access control events</w:t>
      </w:r>
    </w:p>
    <w:p>
      <w:pPr>
        <w:spacing w:after="40"/>
      </w:pPr>
    </w:p>
    <w:p>
      <w:pPr>
        <w:spacing w:after="80"/>
      </w:pPr>
      <w:r>
        <w:rPr>
          <w:rFonts w:ascii="Arial" w:cs="Arial" w:eastAsia="Arial" w:hAnsi="Arial"/>
          <w:b/>
          <w:bCs/>
          <w:color w:val="152168"/>
          <w:sz w:val="22"/>
          <w:szCs w:val="22"/>
        </w:rPr>
        <w:t xml:space="preserve">Human Resources (HR)</w:t>
      </w:r>
    </w:p>
    <w:p>
      <w:pPr>
        <w:pStyle w:val="ListParagraph"/>
        <w:numPr>
          <w:ilvl w:val="0"/>
          <w:numId w:val="2"/>
        </w:numPr>
        <w:spacing w:after="80"/>
      </w:pPr>
      <w:r>
        <w:rPr>
          <w:rFonts w:ascii="Arial" w:cs="Arial" w:eastAsia="Arial" w:hAnsi="Arial"/>
          <w:color w:val="1A2340"/>
          <w:sz w:val="22"/>
          <w:szCs w:val="22"/>
        </w:rPr>
        <w:t xml:space="preserve">Notify IT and the CISO / vCISO of all new hires, role changes, and terminations as early as operationally possible and no later than the start of the person's first or last day</w:t>
      </w:r>
    </w:p>
    <w:p>
      <w:pPr>
        <w:pStyle w:val="ListParagraph"/>
        <w:numPr>
          <w:ilvl w:val="0"/>
          <w:numId w:val="2"/>
        </w:numPr>
        <w:spacing w:after="80"/>
      </w:pPr>
      <w:r>
        <w:rPr>
          <w:rFonts w:ascii="Arial" w:cs="Arial" w:eastAsia="Arial" w:hAnsi="Arial"/>
          <w:color w:val="1A2340"/>
          <w:sz w:val="22"/>
          <w:szCs w:val="22"/>
        </w:rPr>
        <w:t xml:space="preserve">Provide role descriptions to inform access provisioning decisions</w:t>
      </w:r>
    </w:p>
    <w:p>
      <w:pPr>
        <w:pStyle w:val="ListParagraph"/>
        <w:numPr>
          <w:ilvl w:val="0"/>
          <w:numId w:val="2"/>
        </w:numPr>
        <w:spacing w:after="80"/>
      </w:pPr>
      <w:r>
        <w:rPr>
          <w:rFonts w:ascii="Arial" w:cs="Arial" w:eastAsia="Arial" w:hAnsi="Arial"/>
          <w:color w:val="1A2340"/>
          <w:sz w:val="22"/>
          <w:szCs w:val="22"/>
        </w:rPr>
        <w:t xml:space="preserve">Coordinate with IT on exit procedures to ensure timely de-provisioning</w:t>
      </w:r>
    </w:p>
    <w:p>
      <w:pPr>
        <w:spacing w:after="40"/>
      </w:pPr>
    </w:p>
    <w:p>
      <w:pPr>
        <w:spacing w:after="80"/>
      </w:pPr>
      <w:r>
        <w:rPr>
          <w:rFonts w:ascii="Arial" w:cs="Arial" w:eastAsia="Arial" w:hAnsi="Arial"/>
          <w:b/>
          <w:bCs/>
          <w:color w:val="152168"/>
          <w:sz w:val="22"/>
          <w:szCs w:val="22"/>
        </w:rPr>
        <w:t xml:space="preserve">Managers and Supervisors</w:t>
      </w:r>
    </w:p>
    <w:p>
      <w:pPr>
        <w:pStyle w:val="ListParagraph"/>
        <w:numPr>
          <w:ilvl w:val="0"/>
          <w:numId w:val="2"/>
        </w:numPr>
        <w:spacing w:after="80"/>
      </w:pPr>
      <w:r>
        <w:rPr>
          <w:rFonts w:ascii="Arial" w:cs="Arial" w:eastAsia="Arial" w:hAnsi="Arial"/>
          <w:color w:val="1A2340"/>
          <w:sz w:val="22"/>
          <w:szCs w:val="22"/>
        </w:rPr>
        <w:t xml:space="preserve">Approve access requests for direct reports</w:t>
      </w:r>
    </w:p>
    <w:p>
      <w:pPr>
        <w:pStyle w:val="ListParagraph"/>
        <w:numPr>
          <w:ilvl w:val="0"/>
          <w:numId w:val="2"/>
        </w:numPr>
        <w:spacing w:after="80"/>
      </w:pPr>
      <w:r>
        <w:rPr>
          <w:rFonts w:ascii="Arial" w:cs="Arial" w:eastAsia="Arial" w:hAnsi="Arial"/>
          <w:color w:val="1A2340"/>
          <w:sz w:val="22"/>
          <w:szCs w:val="22"/>
        </w:rPr>
        <w:t xml:space="preserve">Participate in semi-annual access reviews and certify team access rights</w:t>
      </w:r>
    </w:p>
    <w:p>
      <w:pPr>
        <w:pStyle w:val="ListParagraph"/>
        <w:numPr>
          <w:ilvl w:val="0"/>
          <w:numId w:val="2"/>
        </w:numPr>
        <w:spacing w:after="80"/>
      </w:pPr>
      <w:r>
        <w:rPr>
          <w:rFonts w:ascii="Arial" w:cs="Arial" w:eastAsia="Arial" w:hAnsi="Arial"/>
          <w:color w:val="1A2340"/>
          <w:sz w:val="22"/>
          <w:szCs w:val="22"/>
        </w:rPr>
        <w:t xml:space="preserve">Notify HR and IT promptly when a direct report changes roles or responsibilities</w:t>
      </w:r>
    </w:p>
    <w:p>
      <w:pPr>
        <w:spacing w:after="40"/>
      </w:pPr>
    </w:p>
    <w:p>
      <w:pPr>
        <w:spacing w:after="80"/>
      </w:pPr>
      <w:r>
        <w:rPr>
          <w:rFonts w:ascii="Arial" w:cs="Arial" w:eastAsia="Arial" w:hAnsi="Arial"/>
          <w:b/>
          <w:bCs/>
          <w:color w:val="152168"/>
          <w:sz w:val="22"/>
          <w:szCs w:val="22"/>
        </w:rPr>
        <w:t xml:space="preserve">All Users</w:t>
      </w:r>
    </w:p>
    <w:p>
      <w:pPr>
        <w:pStyle w:val="ListParagraph"/>
        <w:numPr>
          <w:ilvl w:val="0"/>
          <w:numId w:val="2"/>
        </w:numPr>
        <w:spacing w:after="80"/>
      </w:pPr>
      <w:r>
        <w:rPr>
          <w:rFonts w:ascii="Arial" w:cs="Arial" w:eastAsia="Arial" w:hAnsi="Arial"/>
          <w:color w:val="1A2340"/>
          <w:sz w:val="22"/>
          <w:szCs w:val="22"/>
        </w:rPr>
        <w:t xml:space="preserve">Protect assigned credentials and not share them with any other person</w:t>
      </w:r>
    </w:p>
    <w:p>
      <w:pPr>
        <w:pStyle w:val="ListParagraph"/>
        <w:numPr>
          <w:ilvl w:val="0"/>
          <w:numId w:val="2"/>
        </w:numPr>
        <w:spacing w:after="80"/>
      </w:pPr>
      <w:r>
        <w:rPr>
          <w:rFonts w:ascii="Arial" w:cs="Arial" w:eastAsia="Arial" w:hAnsi="Arial"/>
          <w:color w:val="1A2340"/>
          <w:sz w:val="22"/>
          <w:szCs w:val="22"/>
        </w:rPr>
        <w:t xml:space="preserve">Lock or log out of workstations when unattended</w:t>
      </w:r>
    </w:p>
    <w:p>
      <w:pPr>
        <w:pStyle w:val="ListParagraph"/>
        <w:numPr>
          <w:ilvl w:val="0"/>
          <w:numId w:val="2"/>
        </w:numPr>
        <w:spacing w:after="80"/>
      </w:pPr>
      <w:r>
        <w:rPr>
          <w:rFonts w:ascii="Arial" w:cs="Arial" w:eastAsia="Arial" w:hAnsi="Arial"/>
          <w:color w:val="1A2340"/>
          <w:sz w:val="22"/>
          <w:szCs w:val="22"/>
        </w:rPr>
        <w:t xml:space="preserve">Report any suspected or actual unauthorized access to IT or the CISO / vCISO immediately</w:t>
      </w:r>
    </w:p>
    <w:p>
      <w:pPr>
        <w:pStyle w:val="ListParagraph"/>
        <w:numPr>
          <w:ilvl w:val="0"/>
          <w:numId w:val="2"/>
        </w:numPr>
        <w:spacing w:after="80"/>
      </w:pPr>
      <w:r>
        <w:rPr>
          <w:rFonts w:ascii="Arial" w:cs="Arial" w:eastAsia="Arial" w:hAnsi="Arial"/>
          <w:color w:val="1A2340"/>
          <w:sz w:val="22"/>
          <w:szCs w:val="22"/>
        </w:rPr>
        <w:t xml:space="preserve">Access only systems and data for which they have been explicitly authorized</w:t>
      </w:r>
    </w:p>
    <w:p>
      <w:pPr>
        <w:pStyle w:val="ListParagraph"/>
        <w:numPr>
          <w:ilvl w:val="0"/>
          <w:numId w:val="2"/>
        </w:numPr>
        <w:spacing w:after="80"/>
      </w:pPr>
      <w:r>
        <w:rPr>
          <w:rFonts w:ascii="Arial" w:cs="Arial" w:eastAsia="Arial" w:hAnsi="Arial"/>
          <w:color w:val="1A2340"/>
          <w:sz w:val="22"/>
          <w:szCs w:val="22"/>
        </w:rPr>
        <w:t xml:space="preserve">Comply with this policy and all related procedures and standards</w:t>
      </w:r>
    </w:p>
    <w:p>
      <w:pPr>
        <w:spacing w:after="80"/>
      </w:pPr>
    </w:p>
    <w:p>
      <w:pPr>
        <w:pStyle w:val="Heading1"/>
        <w:spacing w:after="120" w:before="320"/>
      </w:pPr>
      <w:r>
        <w:rPr>
          <w:rFonts w:ascii="Arial" w:cs="Arial" w:eastAsia="Arial" w:hAnsi="Arial"/>
          <w:b/>
          <w:bCs/>
          <w:color w:val="152168"/>
          <w:sz w:val="28"/>
          <w:szCs w:val="28"/>
        </w:rPr>
        <w:t xml:space="preserve">6.  Policy Requirements</w:t>
      </w:r>
    </w:p>
    <w:p>
      <w:pPr>
        <w:pStyle w:val="Heading2"/>
        <w:spacing w:after="100" w:before="240"/>
      </w:pPr>
      <w:r>
        <w:rPr>
          <w:rFonts w:ascii="Arial" w:cs="Arial" w:eastAsia="Arial" w:hAnsi="Arial"/>
          <w:b/>
          <w:bCs/>
          <w:color w:val="4F46E5"/>
          <w:sz w:val="24"/>
          <w:szCs w:val="24"/>
        </w:rPr>
        <w:t xml:space="preserve">6.1  Identity Lifecycle Management</w:t>
      </w:r>
    </w:p>
    <w:p>
      <w:pPr>
        <w:spacing w:after="160"/>
      </w:pPr>
      <w:r>
        <w:rPr>
          <w:rFonts w:ascii="Arial" w:cs="Arial" w:eastAsia="Arial" w:hAnsi="Arial"/>
          <w:color w:val="1A2340"/>
          <w:sz w:val="22"/>
          <w:szCs w:val="22"/>
        </w:rPr>
        <w:t xml:space="preserve">All user identities follow a structured lifecycle with defined controls at each stage:</w:t>
      </w:r>
    </w:p>
    <w:p>
      <w:pPr>
        <w:spacing w:after="40"/>
      </w:pPr>
    </w:p>
    <w:p>
      <w:pPr>
        <w:spacing w:after="80"/>
      </w:pPr>
      <w:r>
        <w:rPr>
          <w:rFonts w:ascii="Arial" w:cs="Arial" w:eastAsia="Arial" w:hAnsi="Arial"/>
          <w:b/>
          <w:bCs/>
          <w:color w:val="4F46E5"/>
          <w:sz w:val="22"/>
          <w:szCs w:val="22"/>
        </w:rPr>
        <w:t xml:space="preserve">Provisioning</w:t>
      </w:r>
    </w:p>
    <w:p>
      <w:pPr>
        <w:pStyle w:val="ListParagraph"/>
        <w:numPr>
          <w:ilvl w:val="0"/>
          <w:numId w:val="2"/>
        </w:numPr>
        <w:spacing w:after="80"/>
      </w:pPr>
      <w:r>
        <w:rPr>
          <w:rFonts w:ascii="Arial" w:cs="Arial" w:eastAsia="Arial" w:hAnsi="Arial"/>
          <w:color w:val="1A2340"/>
          <w:sz w:val="22"/>
          <w:szCs w:val="22"/>
        </w:rPr>
        <w:t xml:space="preserve">All access requests must be submitted via an approved access request form (see Appendix A) and approved by the requesting employee's direct manager prior to access being granted</w:t>
      </w:r>
    </w:p>
    <w:p>
      <w:pPr>
        <w:pStyle w:val="ListParagraph"/>
        <w:numPr>
          <w:ilvl w:val="0"/>
          <w:numId w:val="2"/>
        </w:numPr>
        <w:spacing w:after="80"/>
      </w:pPr>
      <w:r>
        <w:rPr>
          <w:rFonts w:ascii="Arial" w:cs="Arial" w:eastAsia="Arial" w:hAnsi="Arial"/>
          <w:color w:val="1A2340"/>
          <w:sz w:val="22"/>
          <w:szCs w:val="22"/>
        </w:rPr>
        <w:t xml:space="preserve">Standard access requests must be fulfilled by IT within one (1) business day of manager approval</w:t>
      </w:r>
    </w:p>
    <w:p>
      <w:pPr>
        <w:pStyle w:val="ListParagraph"/>
        <w:numPr>
          <w:ilvl w:val="0"/>
          <w:numId w:val="2"/>
        </w:numPr>
        <w:spacing w:after="80"/>
      </w:pPr>
      <w:r>
        <w:rPr>
          <w:rFonts w:ascii="Arial" w:cs="Arial" w:eastAsia="Arial" w:hAnsi="Arial"/>
          <w:color w:val="1A2340"/>
          <w:sz w:val="22"/>
          <w:szCs w:val="22"/>
        </w:rPr>
        <w:t xml:space="preserve">Executive or emergency access requests must be fulfilled within four (4) hours with CISO / vCISO notification</w:t>
      </w:r>
    </w:p>
    <w:p>
      <w:pPr>
        <w:pStyle w:val="ListParagraph"/>
        <w:numPr>
          <w:ilvl w:val="0"/>
          <w:numId w:val="2"/>
        </w:numPr>
        <w:spacing w:after="80"/>
      </w:pPr>
      <w:r>
        <w:rPr>
          <w:rFonts w:ascii="Arial" w:cs="Arial" w:eastAsia="Arial" w:hAnsi="Arial"/>
          <w:color w:val="1A2340"/>
          <w:sz w:val="22"/>
          <w:szCs w:val="22"/>
        </w:rPr>
        <w:t xml:space="preserve">Access is provisioned to role, not individual - personal negotiations for additional access outside the defined role profile are not permitted</w:t>
      </w:r>
    </w:p>
    <w:p>
      <w:pPr>
        <w:spacing w:after="40"/>
      </w:pPr>
    </w:p>
    <w:p>
      <w:pPr>
        <w:spacing w:after="80"/>
      </w:pPr>
      <w:r>
        <w:rPr>
          <w:rFonts w:ascii="Arial" w:cs="Arial" w:eastAsia="Arial" w:hAnsi="Arial"/>
          <w:b/>
          <w:bCs/>
          <w:color w:val="4F46E5"/>
          <w:sz w:val="22"/>
          <w:szCs w:val="22"/>
        </w:rPr>
        <w:t xml:space="preserve">Role Change</w:t>
      </w:r>
    </w:p>
    <w:p>
      <w:pPr>
        <w:pStyle w:val="ListParagraph"/>
        <w:numPr>
          <w:ilvl w:val="0"/>
          <w:numId w:val="2"/>
        </w:numPr>
        <w:spacing w:after="80"/>
      </w:pPr>
      <w:r>
        <w:rPr>
          <w:rFonts w:ascii="Arial" w:cs="Arial" w:eastAsia="Arial" w:hAnsi="Arial"/>
          <w:color w:val="1A2340"/>
          <w:sz w:val="22"/>
          <w:szCs w:val="22"/>
        </w:rPr>
        <w:t xml:space="preserve">Upon a change in role, the employee's access must be modified within one (1) business day of HR notification to IT</w:t>
      </w:r>
    </w:p>
    <w:p>
      <w:pPr>
        <w:pStyle w:val="ListParagraph"/>
        <w:numPr>
          <w:ilvl w:val="0"/>
          <w:numId w:val="2"/>
        </w:numPr>
        <w:spacing w:after="80"/>
      </w:pPr>
      <w:r>
        <w:rPr>
          <w:rFonts w:ascii="Arial" w:cs="Arial" w:eastAsia="Arial" w:hAnsi="Arial"/>
          <w:color w:val="1A2340"/>
          <w:sz w:val="22"/>
          <w:szCs w:val="22"/>
        </w:rPr>
        <w:t xml:space="preserve">Access associated with the previous role must be removed; access for the new role is provisioned based on the new role profile</w:t>
      </w:r>
    </w:p>
    <w:p>
      <w:pPr>
        <w:pStyle w:val="ListParagraph"/>
        <w:numPr>
          <w:ilvl w:val="0"/>
          <w:numId w:val="2"/>
        </w:numPr>
        <w:spacing w:after="80"/>
      </w:pPr>
      <w:r>
        <w:rPr>
          <w:rFonts w:ascii="Arial" w:cs="Arial" w:eastAsia="Arial" w:hAnsi="Arial"/>
          <w:color w:val="1A2340"/>
          <w:sz w:val="22"/>
          <w:szCs w:val="22"/>
        </w:rPr>
        <w:t xml:space="preserve">Accumulation of access rights across multiple roles (privilege creep) is not permitted</w:t>
      </w:r>
    </w:p>
    <w:p>
      <w:pPr>
        <w:spacing w:after="40"/>
      </w:pPr>
    </w:p>
    <w:p>
      <w:pPr>
        <w:spacing w:after="80"/>
      </w:pPr>
      <w:r>
        <w:rPr>
          <w:rFonts w:ascii="Arial" w:cs="Arial" w:eastAsia="Arial" w:hAnsi="Arial"/>
          <w:b/>
          <w:bCs/>
          <w:color w:val="4F46E5"/>
          <w:sz w:val="22"/>
          <w:szCs w:val="22"/>
        </w:rPr>
        <w:t xml:space="preserve">Suspension</w:t>
      </w:r>
    </w:p>
    <w:p>
      <w:pPr>
        <w:pStyle w:val="ListParagraph"/>
        <w:numPr>
          <w:ilvl w:val="0"/>
          <w:numId w:val="2"/>
        </w:numPr>
        <w:spacing w:after="80"/>
      </w:pPr>
      <w:r>
        <w:rPr>
          <w:rFonts w:ascii="Arial" w:cs="Arial" w:eastAsia="Arial" w:hAnsi="Arial"/>
          <w:color w:val="1A2340"/>
          <w:sz w:val="22"/>
          <w:szCs w:val="22"/>
        </w:rPr>
        <w:t xml:space="preserve">Accounts must be suspended within four (4) hours when a security incident, investigation, or court order requires it</w:t>
      </w:r>
    </w:p>
    <w:p>
      <w:pPr>
        <w:pStyle w:val="ListParagraph"/>
        <w:numPr>
          <w:ilvl w:val="0"/>
          <w:numId w:val="2"/>
        </w:numPr>
        <w:spacing w:after="80"/>
      </w:pPr>
      <w:r>
        <w:rPr>
          <w:rFonts w:ascii="Arial" w:cs="Arial" w:eastAsia="Arial" w:hAnsi="Arial"/>
          <w:color w:val="1A2340"/>
          <w:sz w:val="22"/>
          <w:szCs w:val="22"/>
        </w:rPr>
        <w:t xml:space="preserve">Suspension is temporary; full de-provisioning follows if the situation warrants</w:t>
      </w:r>
    </w:p>
    <w:p>
      <w:pPr>
        <w:spacing w:after="40"/>
      </w:pPr>
    </w:p>
    <w:p>
      <w:pPr>
        <w:spacing w:after="80"/>
      </w:pPr>
      <w:r>
        <w:rPr>
          <w:rFonts w:ascii="Arial" w:cs="Arial" w:eastAsia="Arial" w:hAnsi="Arial"/>
          <w:b/>
          <w:bCs/>
          <w:color w:val="4F46E5"/>
          <w:sz w:val="22"/>
          <w:szCs w:val="22"/>
        </w:rPr>
        <w:t xml:space="preserve">Termination / De-provisioning</w:t>
      </w:r>
    </w:p>
    <w:p>
      <w:pPr>
        <w:pStyle w:val="ListParagraph"/>
        <w:numPr>
          <w:ilvl w:val="0"/>
          <w:numId w:val="2"/>
        </w:numPr>
        <w:spacing w:after="80"/>
      </w:pPr>
      <w:r>
        <w:rPr>
          <w:rFonts w:ascii="Arial" w:cs="Arial" w:eastAsia="Arial" w:hAnsi="Arial"/>
          <w:color w:val="1A2340"/>
          <w:sz w:val="22"/>
          <w:szCs w:val="22"/>
        </w:rPr>
        <w:t xml:space="preserve">All accounts must be disabled within one (1) hour of termination notification from HR</w:t>
      </w:r>
    </w:p>
    <w:p>
      <w:pPr>
        <w:pStyle w:val="ListParagraph"/>
        <w:numPr>
          <w:ilvl w:val="0"/>
          <w:numId w:val="2"/>
        </w:numPr>
        <w:spacing w:after="80"/>
      </w:pPr>
      <w:r>
        <w:rPr>
          <w:rFonts w:ascii="Arial" w:cs="Arial" w:eastAsia="Arial" w:hAnsi="Arial"/>
          <w:color w:val="1A2340"/>
          <w:sz w:val="22"/>
          <w:szCs w:val="22"/>
        </w:rPr>
        <w:t xml:space="preserve">All access rights must be fully removed within twenty-four (24) hours of termination</w:t>
      </w:r>
    </w:p>
    <w:p>
      <w:pPr>
        <w:pStyle w:val="ListParagraph"/>
        <w:numPr>
          <w:ilvl w:val="0"/>
          <w:numId w:val="2"/>
        </w:numPr>
        <w:spacing w:after="80"/>
      </w:pPr>
      <w:r>
        <w:rPr>
          <w:rFonts w:ascii="Arial" w:cs="Arial" w:eastAsia="Arial" w:hAnsi="Arial"/>
          <w:color w:val="1A2340"/>
          <w:sz w:val="22"/>
          <w:szCs w:val="22"/>
        </w:rPr>
        <w:t xml:space="preserve">The IT Access Removal Checklist (Appendix B) must be completed for every termination</w:t>
      </w:r>
    </w:p>
    <w:p>
      <w:pPr>
        <w:pStyle w:val="ListParagraph"/>
        <w:numPr>
          <w:ilvl w:val="0"/>
          <w:numId w:val="2"/>
        </w:numPr>
        <w:spacing w:after="80"/>
      </w:pPr>
      <w:r>
        <w:rPr>
          <w:rFonts w:ascii="Arial" w:cs="Arial" w:eastAsia="Arial" w:hAnsi="Arial"/>
          <w:color w:val="1A2340"/>
          <w:sz w:val="22"/>
          <w:szCs w:val="22"/>
        </w:rPr>
        <w:t xml:space="preserve">Exit interviews should include reminder of continuing confidentiality obligations and prohibition on retaining copies of organizational data</w:t>
      </w:r>
    </w:p>
    <w:p>
      <w:pPr>
        <w:spacing w:after="80"/>
      </w:pPr>
    </w:p>
    <w:p>
      <w:pPr>
        <w:pStyle w:val="Heading2"/>
        <w:spacing w:after="100" w:before="240"/>
      </w:pPr>
      <w:r>
        <w:rPr>
          <w:rFonts w:ascii="Arial" w:cs="Arial" w:eastAsia="Arial" w:hAnsi="Arial"/>
          <w:b/>
          <w:bCs/>
          <w:color w:val="4F46E5"/>
          <w:sz w:val="24"/>
          <w:szCs w:val="24"/>
        </w:rPr>
        <w:t xml:space="preserve">6.2  Least Privilege Principle</w:t>
      </w:r>
    </w:p>
    <w:p>
      <w:pPr>
        <w:pStyle w:val="ListParagraph"/>
        <w:numPr>
          <w:ilvl w:val="0"/>
          <w:numId w:val="2"/>
        </w:numPr>
        <w:spacing w:after="80"/>
      </w:pPr>
      <w:r>
        <w:rPr>
          <w:rFonts w:ascii="Arial" w:cs="Arial" w:eastAsia="Arial" w:hAnsi="Arial"/>
          <w:color w:val="1A2340"/>
          <w:sz w:val="22"/>
          <w:szCs w:val="22"/>
        </w:rPr>
        <w:t xml:space="preserve">Access is granted on the basis of defined role profiles, not individual requests or organizational seniority</w:t>
      </w:r>
    </w:p>
    <w:p>
      <w:pPr>
        <w:pStyle w:val="ListParagraph"/>
        <w:numPr>
          <w:ilvl w:val="0"/>
          <w:numId w:val="2"/>
        </w:numPr>
        <w:spacing w:after="80"/>
      </w:pPr>
      <w:r>
        <w:rPr>
          <w:rFonts w:ascii="Arial" w:cs="Arial" w:eastAsia="Arial" w:hAnsi="Arial"/>
          <w:color w:val="1A2340"/>
          <w:sz w:val="22"/>
          <w:szCs w:val="22"/>
        </w:rPr>
        <w:t xml:space="preserve">Default posture is deny - access is not granted unless a legitimate business need is established and approved</w:t>
      </w:r>
    </w:p>
    <w:p>
      <w:pPr>
        <w:pStyle w:val="ListParagraph"/>
        <w:numPr>
          <w:ilvl w:val="0"/>
          <w:numId w:val="2"/>
        </w:numPr>
        <w:spacing w:after="80"/>
      </w:pPr>
      <w:r>
        <w:rPr>
          <w:rFonts w:ascii="Arial" w:cs="Arial" w:eastAsia="Arial" w:hAnsi="Arial"/>
          <w:color w:val="1A2340"/>
          <w:sz w:val="22"/>
          <w:szCs w:val="22"/>
        </w:rPr>
        <w:t xml:space="preserve">Privilege creep is prevented through semi-annual access reviews; any access that cannot be tied to a current job function will be removed</w:t>
      </w:r>
    </w:p>
    <w:p>
      <w:pPr>
        <w:pStyle w:val="ListParagraph"/>
        <w:numPr>
          <w:ilvl w:val="0"/>
          <w:numId w:val="2"/>
        </w:numPr>
        <w:spacing w:after="80"/>
      </w:pPr>
      <w:r>
        <w:rPr>
          <w:rFonts w:ascii="Arial" w:cs="Arial" w:eastAsia="Arial" w:hAnsi="Arial"/>
          <w:color w:val="1A2340"/>
          <w:sz w:val="22"/>
          <w:szCs w:val="22"/>
        </w:rPr>
        <w:t xml:space="preserve">Temporary elevated access must be time-limited, documented, and revoked automatically or manually when the operational need expires</w:t>
      </w:r>
    </w:p>
    <w:p>
      <w:pPr>
        <w:spacing w:after="80"/>
      </w:pPr>
    </w:p>
    <w:p>
      <w:pPr>
        <w:pStyle w:val="Heading2"/>
        <w:spacing w:after="100" w:before="240"/>
      </w:pPr>
      <w:r>
        <w:rPr>
          <w:rFonts w:ascii="Arial" w:cs="Arial" w:eastAsia="Arial" w:hAnsi="Arial"/>
          <w:b/>
          <w:bCs/>
          <w:color w:val="4F46E5"/>
          <w:sz w:val="24"/>
          <w:szCs w:val="24"/>
        </w:rPr>
        <w:t xml:space="preserve">6.3  Authentication Requirements</w:t>
      </w:r>
    </w:p>
    <w:p>
      <w:pPr>
        <w:spacing w:after="160"/>
      </w:pPr>
      <w:r>
        <w:rPr>
          <w:rFonts w:ascii="Arial" w:cs="Arial" w:eastAsia="Arial" w:hAnsi="Arial"/>
          <w:color w:val="1A2340"/>
          <w:sz w:val="22"/>
          <w:szCs w:val="22"/>
        </w:rPr>
        <w:t xml:space="preserve">The following minimum authentication requirements apply by access type: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Access Type</w:t>
            </w:r>
          </w:p>
        </w:tc>
        <w:tc>
          <w:tcPr>
            <w:tcW w:type="dxa" w:w="41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Minimum Authentication Requirement</w:t>
            </w:r>
          </w:p>
        </w:tc>
        <w:tc>
          <w:tcPr>
            <w:tcW w:type="dxa" w:w="24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MFA Required?</w:t>
            </w:r>
          </w:p>
        </w:tc>
      </w:tr>
      <w:tr>
        <w:tc>
          <w:tcPr>
            <w:tcW w:type="dxa" w:w="28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Local workstation</w:t>
            </w:r>
          </w:p>
        </w:tc>
        <w:tc>
          <w:tcPr>
            <w:tcW w:type="dxa" w:w="41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Username + password</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No</w:t>
            </w:r>
          </w:p>
        </w:tc>
      </w:tr>
      <w:tr>
        <w:tc>
          <w:tcPr>
            <w:tcW w:type="dxa" w:w="28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Remote access (VPN / cloud)</w:t>
            </w:r>
          </w:p>
        </w:tc>
        <w:tc>
          <w:tcPr>
            <w:tcW w:type="dxa" w:w="41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Username + password + MFA</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Yes - mandatory</w:t>
            </w:r>
          </w:p>
        </w:tc>
      </w:tr>
      <w:tr>
        <w:tc>
          <w:tcPr>
            <w:tcW w:type="dxa" w:w="28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Admin / privileged access</w:t>
            </w:r>
          </w:p>
        </w:tc>
        <w:tc>
          <w:tcPr>
            <w:tcW w:type="dxa" w:w="41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MFA + separate dedicated admin account</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Yes - mandatory</w:t>
            </w:r>
          </w:p>
        </w:tc>
      </w:tr>
      <w:tr>
        <w:tc>
          <w:tcPr>
            <w:tcW w:type="dxa" w:w="28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Cloud applications</w:t>
            </w:r>
          </w:p>
        </w:tc>
        <w:tc>
          <w:tcPr>
            <w:tcW w:type="dxa" w:w="41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SSO or direct login + MFA</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Yes - mandatory</w:t>
            </w:r>
          </w:p>
        </w:tc>
      </w:tr>
      <w:tr>
        <w:tc>
          <w:tcPr>
            <w:tcW w:type="dxa" w:w="28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Financial systems</w:t>
            </w:r>
          </w:p>
        </w:tc>
        <w:tc>
          <w:tcPr>
            <w:tcW w:type="dxa" w:w="41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Username + password + MFA</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Yes - mandatory</w:t>
            </w:r>
          </w:p>
        </w:tc>
      </w:tr>
      <w:tr>
        <w:tc>
          <w:tcPr>
            <w:tcW w:type="dxa" w:w="28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Physical access</w:t>
            </w:r>
          </w:p>
        </w:tc>
        <w:tc>
          <w:tcPr>
            <w:tcW w:type="dxa" w:w="41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Proximity badge or PIN code</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N/A (physical control)</w:t>
            </w:r>
          </w:p>
        </w:tc>
      </w:tr>
    </w:tbl>
    <w:p>
      <w:pPr>
        <w:spacing w:after="160"/>
      </w:pPr>
    </w:p>
    <w:p>
      <w:pPr>
        <w:spacing w:after="160"/>
      </w:pPr>
      <w:r>
        <w:rPr>
          <w:rFonts w:ascii="Arial" w:cs="Arial" w:eastAsia="Arial" w:hAnsi="Arial"/>
          <w:color w:val="1A2340"/>
          <w:sz w:val="22"/>
          <w:szCs w:val="22"/>
        </w:rPr>
        <w:t xml:space="preserve">Password-only authentication is not sufficient for any remote, privileged, cloud, or financial system access. MFA exceptions require CISO / vCISO approval and must be documented in the exception register.</w:t>
      </w:r>
    </w:p>
    <w:p>
      <w:pPr>
        <w:spacing w:after="80"/>
      </w:pPr>
    </w:p>
    <w:p>
      <w:pPr>
        <w:pStyle w:val="Heading2"/>
        <w:spacing w:after="100" w:before="240"/>
      </w:pPr>
      <w:r>
        <w:rPr>
          <w:rFonts w:ascii="Arial" w:cs="Arial" w:eastAsia="Arial" w:hAnsi="Arial"/>
          <w:b/>
          <w:bCs/>
          <w:color w:val="4F46E5"/>
          <w:sz w:val="24"/>
          <w:szCs w:val="24"/>
        </w:rPr>
        <w:t xml:space="preserve">6.4  Password and Passphrase Standards</w:t>
      </w:r>
    </w:p>
    <w:p>
      <w:pPr>
        <w:spacing w:after="160"/>
      </w:pPr>
      <w:r>
        <w:rPr>
          <w:rFonts w:ascii="Arial" w:cs="Arial" w:eastAsia="Arial" w:hAnsi="Arial"/>
          <w:color w:val="1A2340"/>
          <w:sz w:val="22"/>
          <w:szCs w:val="22"/>
        </w:rPr>
        <w:t xml:space="preserve">All passwords and passphrases used to access organizational systems must meet the following standards:</w:t>
      </w:r>
    </w:p>
    <w:p>
      <w:pPr>
        <w:spacing w:after="40"/>
      </w:pPr>
    </w:p>
    <w:p>
      <w:pPr>
        <w:pStyle w:val="ListParagraph"/>
        <w:numPr>
          <w:ilvl w:val="0"/>
          <w:numId w:val="2"/>
        </w:numPr>
        <w:spacing w:after="80"/>
      </w:pPr>
      <w:r>
        <w:rPr>
          <w:rFonts w:ascii="Arial" w:cs="Arial" w:eastAsia="Arial" w:hAnsi="Arial"/>
          <w:color w:val="1A2340"/>
          <w:sz w:val="22"/>
          <w:szCs w:val="22"/>
        </w:rPr>
        <w:t xml:space="preserve">Minimum length: 14 characters for passwords; 20+ characters recommended for passphrases</w:t>
      </w:r>
    </w:p>
    <w:p>
      <w:pPr>
        <w:pStyle w:val="ListParagraph"/>
        <w:numPr>
          <w:ilvl w:val="0"/>
          <w:numId w:val="2"/>
        </w:numPr>
        <w:spacing w:after="80"/>
      </w:pPr>
      <w:r>
        <w:rPr>
          <w:rFonts w:ascii="Arial" w:cs="Arial" w:eastAsia="Arial" w:hAnsi="Arial"/>
          <w:color w:val="1A2340"/>
          <w:sz w:val="22"/>
          <w:szCs w:val="22"/>
        </w:rPr>
        <w:t xml:space="preserve">Complexity: passwords must include a mix of uppercase, lowercase, numbers, and special characters; passphrases must comprise at least four unrelated words</w:t>
      </w:r>
    </w:p>
    <w:p>
      <w:pPr>
        <w:pStyle w:val="ListParagraph"/>
        <w:numPr>
          <w:ilvl w:val="0"/>
          <w:numId w:val="2"/>
        </w:numPr>
        <w:spacing w:after="80"/>
      </w:pPr>
      <w:r>
        <w:rPr>
          <w:rFonts w:ascii="Arial" w:cs="Arial" w:eastAsia="Arial" w:hAnsi="Arial"/>
          <w:color w:val="1A2340"/>
          <w:sz w:val="22"/>
          <w:szCs w:val="22"/>
        </w:rPr>
        <w:t xml:space="preserve">Reuse: passwords must not be reused across different systems; password history of at least twelve (12) must be enforced where technically feasible</w:t>
      </w:r>
    </w:p>
    <w:p>
      <w:pPr>
        <w:pStyle w:val="ListParagraph"/>
        <w:numPr>
          <w:ilvl w:val="0"/>
          <w:numId w:val="2"/>
        </w:numPr>
        <w:spacing w:after="80"/>
      </w:pPr>
      <w:r>
        <w:rPr>
          <w:rFonts w:ascii="Arial" w:cs="Arial" w:eastAsia="Arial" w:hAnsi="Arial"/>
          <w:color w:val="1A2340"/>
          <w:sz w:val="22"/>
          <w:szCs w:val="22"/>
        </w:rPr>
        <w:t xml:space="preserve">Sharing: passwords must never be shared with any other person, including IT personnel and management</w:t>
      </w:r>
    </w:p>
    <w:p>
      <w:pPr>
        <w:pStyle w:val="ListParagraph"/>
        <w:numPr>
          <w:ilvl w:val="0"/>
          <w:numId w:val="2"/>
        </w:numPr>
        <w:spacing w:after="80"/>
      </w:pPr>
      <w:r>
        <w:rPr>
          <w:rFonts w:ascii="Arial" w:cs="Arial" w:eastAsia="Arial" w:hAnsi="Arial"/>
          <w:color w:val="1A2340"/>
          <w:sz w:val="22"/>
          <w:szCs w:val="22"/>
        </w:rPr>
        <w:t xml:space="preserve">Storage: passwords must be stored only in an organization-approved password manager; written or plain-text storage is prohibited</w:t>
      </w:r>
    </w:p>
    <w:p>
      <w:pPr>
        <w:pStyle w:val="ListParagraph"/>
        <w:numPr>
          <w:ilvl w:val="0"/>
          <w:numId w:val="2"/>
        </w:numPr>
        <w:spacing w:after="80"/>
      </w:pPr>
      <w:r>
        <w:rPr>
          <w:rFonts w:ascii="Arial" w:cs="Arial" w:eastAsia="Arial" w:hAnsi="Arial"/>
          <w:color w:val="1A2340"/>
          <w:sz w:val="22"/>
          <w:szCs w:val="22"/>
        </w:rPr>
        <w:t xml:space="preserve">Account lockout: accounts lock after five (5) consecutive failed authentication attempts; lockout duration or IT-unlock process applies</w:t>
      </w:r>
    </w:p>
    <w:p>
      <w:pPr>
        <w:pStyle w:val="ListParagraph"/>
        <w:numPr>
          <w:ilvl w:val="0"/>
          <w:numId w:val="2"/>
        </w:numPr>
        <w:spacing w:after="80"/>
      </w:pPr>
      <w:r>
        <w:rPr>
          <w:rFonts w:ascii="Arial" w:cs="Arial" w:eastAsia="Arial" w:hAnsi="Arial"/>
          <w:color w:val="1A2340"/>
          <w:sz w:val="22"/>
          <w:szCs w:val="22"/>
        </w:rPr>
        <w:t xml:space="preserve">Password expiry: standard passwords must be changed every ninety (90) days; passphrases of twenty (20) or more characters with no history of compromise are exempt from mandatory rotation</w:t>
      </w:r>
    </w:p>
    <w:p>
      <w:pPr>
        <w:pStyle w:val="ListParagraph"/>
        <w:numPr>
          <w:ilvl w:val="0"/>
          <w:numId w:val="2"/>
        </w:numPr>
        <w:spacing w:after="80"/>
      </w:pPr>
      <w:r>
        <w:rPr>
          <w:rFonts w:ascii="Arial" w:cs="Arial" w:eastAsia="Arial" w:hAnsi="Arial"/>
          <w:color w:val="1A2340"/>
          <w:sz w:val="22"/>
          <w:szCs w:val="22"/>
        </w:rPr>
        <w:t xml:space="preserve">Temporary and default passwords must be changed on first use</w:t>
      </w:r>
    </w:p>
    <w:p>
      <w:pPr>
        <w:spacing w:after="80"/>
      </w:pPr>
    </w:p>
    <w:p>
      <w:pPr>
        <w:pStyle w:val="Heading2"/>
        <w:spacing w:after="100" w:before="240"/>
      </w:pPr>
      <w:r>
        <w:rPr>
          <w:rFonts w:ascii="Arial" w:cs="Arial" w:eastAsia="Arial" w:hAnsi="Arial"/>
          <w:b/>
          <w:bCs/>
          <w:color w:val="4F46E5"/>
          <w:sz w:val="24"/>
          <w:szCs w:val="24"/>
        </w:rPr>
        <w:t xml:space="preserve">6.5  Privileged Access Management</w:t>
      </w:r>
    </w:p>
    <w:p>
      <w:pPr>
        <w:spacing w:after="160"/>
      </w:pPr>
      <w:r>
        <w:rPr>
          <w:rFonts w:ascii="Arial" w:cs="Arial" w:eastAsia="Arial" w:hAnsi="Arial"/>
          <w:color w:val="1A2340"/>
          <w:sz w:val="22"/>
          <w:szCs w:val="22"/>
        </w:rPr>
        <w:t xml:space="preserve">Privileged access - including domain admin, root, system admin, and financial approval rights - carries elevated risk and requires additional controls:</w:t>
      </w:r>
    </w:p>
    <w:p>
      <w:pPr>
        <w:pStyle w:val="ListParagraph"/>
        <w:numPr>
          <w:ilvl w:val="0"/>
          <w:numId w:val="2"/>
        </w:numPr>
        <w:spacing w:after="80"/>
      </w:pPr>
      <w:r>
        <w:rPr>
          <w:rFonts w:ascii="Arial" w:cs="Arial" w:eastAsia="Arial" w:hAnsi="Arial"/>
          <w:color w:val="1A2340"/>
          <w:sz w:val="22"/>
          <w:szCs w:val="22"/>
        </w:rPr>
        <w:t xml:space="preserve">All privileged access must be performed via a separate, dedicated administrator account that is not used for day-to-day activities</w:t>
      </w:r>
    </w:p>
    <w:p>
      <w:pPr>
        <w:pStyle w:val="ListParagraph"/>
        <w:numPr>
          <w:ilvl w:val="0"/>
          <w:numId w:val="2"/>
        </w:numPr>
        <w:spacing w:after="80"/>
      </w:pPr>
      <w:r>
        <w:rPr>
          <w:rFonts w:ascii="Arial" w:cs="Arial" w:eastAsia="Arial" w:hAnsi="Arial"/>
          <w:color w:val="1A2340"/>
          <w:sz w:val="22"/>
          <w:szCs w:val="22"/>
        </w:rPr>
        <w:t xml:space="preserve">Default and vendor-supplied administrator credentials must be changed before system deployment</w:t>
      </w:r>
    </w:p>
    <w:p>
      <w:pPr>
        <w:pStyle w:val="ListParagraph"/>
        <w:numPr>
          <w:ilvl w:val="0"/>
          <w:numId w:val="2"/>
        </w:numPr>
        <w:spacing w:after="80"/>
      </w:pPr>
      <w:r>
        <w:rPr>
          <w:rFonts w:ascii="Arial" w:cs="Arial" w:eastAsia="Arial" w:hAnsi="Arial"/>
          <w:color w:val="1A2340"/>
          <w:sz w:val="22"/>
          <w:szCs w:val="22"/>
        </w:rPr>
        <w:t xml:space="preserve">Just-in-time access should be implemented where technically feasible to limit the window of privileged access exposure</w:t>
      </w:r>
    </w:p>
    <w:p>
      <w:pPr>
        <w:pStyle w:val="ListParagraph"/>
        <w:numPr>
          <w:ilvl w:val="0"/>
          <w:numId w:val="2"/>
        </w:numPr>
        <w:spacing w:after="80"/>
      </w:pPr>
      <w:r>
        <w:rPr>
          <w:rFonts w:ascii="Arial" w:cs="Arial" w:eastAsia="Arial" w:hAnsi="Arial"/>
          <w:color w:val="1A2340"/>
          <w:sz w:val="22"/>
          <w:szCs w:val="22"/>
        </w:rPr>
        <w:t xml:space="preserve">All privileged sessions must be logged; logs must be retained for a minimum of ninety (90) days</w:t>
      </w:r>
    </w:p>
    <w:p>
      <w:pPr>
        <w:pStyle w:val="ListParagraph"/>
        <w:numPr>
          <w:ilvl w:val="0"/>
          <w:numId w:val="2"/>
        </w:numPr>
        <w:spacing w:after="80"/>
      </w:pPr>
      <w:r>
        <w:rPr>
          <w:rFonts w:ascii="Arial" w:cs="Arial" w:eastAsia="Arial" w:hAnsi="Arial"/>
          <w:color w:val="1A2340"/>
          <w:sz w:val="22"/>
          <w:szCs w:val="22"/>
        </w:rPr>
        <w:t xml:space="preserve">Shared administrator credentials are strictly prohibited</w:t>
      </w:r>
    </w:p>
    <w:p>
      <w:pPr>
        <w:pStyle w:val="ListParagraph"/>
        <w:numPr>
          <w:ilvl w:val="0"/>
          <w:numId w:val="2"/>
        </w:numPr>
        <w:spacing w:after="80"/>
      </w:pPr>
      <w:r>
        <w:rPr>
          <w:rFonts w:ascii="Arial" w:cs="Arial" w:eastAsia="Arial" w:hAnsi="Arial"/>
          <w:color w:val="1A2340"/>
          <w:sz w:val="22"/>
          <w:szCs w:val="22"/>
        </w:rPr>
        <w:t xml:space="preserve">Organizations with twenty (20) or more staff should deploy a Privileged Access Management (PAM) solution to manage, vault, and monitor privileged credentials</w:t>
      </w:r>
    </w:p>
    <w:p>
      <w:pPr>
        <w:pStyle w:val="ListParagraph"/>
        <w:numPr>
          <w:ilvl w:val="0"/>
          <w:numId w:val="2"/>
        </w:numPr>
        <w:spacing w:after="80"/>
      </w:pPr>
      <w:r>
        <w:rPr>
          <w:rFonts w:ascii="Arial" w:cs="Arial" w:eastAsia="Arial" w:hAnsi="Arial"/>
          <w:color w:val="1A2340"/>
          <w:sz w:val="22"/>
          <w:szCs w:val="22"/>
        </w:rPr>
        <w:t xml:space="preserve">All privileged accounts are subject to annual review with CISO / vCISO sign-off in addition to the standard semi-annual access review</w:t>
      </w:r>
    </w:p>
    <w:p>
      <w:pPr>
        <w:spacing w:after="80"/>
      </w:pPr>
    </w:p>
    <w:p>
      <w:pPr>
        <w:pStyle w:val="Heading2"/>
        <w:spacing w:after="100" w:before="240"/>
      </w:pPr>
      <w:r>
        <w:rPr>
          <w:rFonts w:ascii="Arial" w:cs="Arial" w:eastAsia="Arial" w:hAnsi="Arial"/>
          <w:b/>
          <w:bCs/>
          <w:color w:val="4F46E5"/>
          <w:sz w:val="24"/>
          <w:szCs w:val="24"/>
        </w:rPr>
        <w:t xml:space="preserve">6.6  Remote Access</w:t>
      </w:r>
    </w:p>
    <w:p>
      <w:pPr>
        <w:pStyle w:val="ListParagraph"/>
        <w:numPr>
          <w:ilvl w:val="0"/>
          <w:numId w:val="2"/>
        </w:numPr>
        <w:spacing w:after="80"/>
      </w:pPr>
      <w:r>
        <w:rPr>
          <w:rFonts w:ascii="Arial" w:cs="Arial" w:eastAsia="Arial" w:hAnsi="Arial"/>
          <w:color w:val="1A2340"/>
          <w:sz w:val="22"/>
          <w:szCs w:val="22"/>
        </w:rPr>
        <w:t xml:space="preserve">All remote connections to internal resources must traverse an approved VPN or zero-trust network access (ZTNA) solution; direct internet-facing access to internal systems without a secure tunnel is prohibited</w:t>
      </w:r>
    </w:p>
    <w:p>
      <w:pPr>
        <w:pStyle w:val="ListParagraph"/>
        <w:numPr>
          <w:ilvl w:val="0"/>
          <w:numId w:val="2"/>
        </w:numPr>
        <w:spacing w:after="80"/>
      </w:pPr>
      <w:r>
        <w:rPr>
          <w:rFonts w:ascii="Arial" w:cs="Arial" w:eastAsia="Arial" w:hAnsi="Arial"/>
          <w:color w:val="1A2340"/>
          <w:sz w:val="22"/>
          <w:szCs w:val="22"/>
        </w:rPr>
        <w:t xml:space="preserve">Split tunneling must be reviewed by the CISO / vCISO; where enabled, only approved traffic flows must bypass the VPN</w:t>
      </w:r>
    </w:p>
    <w:p>
      <w:pPr>
        <w:pStyle w:val="ListParagraph"/>
        <w:numPr>
          <w:ilvl w:val="0"/>
          <w:numId w:val="2"/>
        </w:numPr>
        <w:spacing w:after="80"/>
      </w:pPr>
      <w:r>
        <w:rPr>
          <w:rFonts w:ascii="Arial" w:cs="Arial" w:eastAsia="Arial" w:hAnsi="Arial"/>
          <w:color w:val="1A2340"/>
          <w:sz w:val="22"/>
          <w:szCs w:val="22"/>
        </w:rPr>
        <w:t xml:space="preserve">Remote access is permitted only on organization-approved or IT-vetted devices that meet the organization's endpoint security baseline (antivirus, patching, encryption)</w:t>
      </w:r>
    </w:p>
    <w:p>
      <w:pPr>
        <w:pStyle w:val="ListParagraph"/>
        <w:numPr>
          <w:ilvl w:val="0"/>
          <w:numId w:val="2"/>
        </w:numPr>
        <w:spacing w:after="80"/>
      </w:pPr>
      <w:r>
        <w:rPr>
          <w:rFonts w:ascii="Arial" w:cs="Arial" w:eastAsia="Arial" w:hAnsi="Arial"/>
          <w:color w:val="1A2340"/>
          <w:sz w:val="22"/>
          <w:szCs w:val="22"/>
        </w:rPr>
        <w:t xml:space="preserve">Remote sessions must time out after thirty (30) minutes of inactivity</w:t>
      </w:r>
    </w:p>
    <w:p>
      <w:pPr>
        <w:pStyle w:val="ListParagraph"/>
        <w:numPr>
          <w:ilvl w:val="0"/>
          <w:numId w:val="2"/>
        </w:numPr>
        <w:spacing w:after="80"/>
      </w:pPr>
      <w:r>
        <w:rPr>
          <w:rFonts w:ascii="Arial" w:cs="Arial" w:eastAsia="Arial" w:hAnsi="Arial"/>
          <w:color w:val="1A2340"/>
          <w:sz w:val="22"/>
          <w:szCs w:val="22"/>
        </w:rPr>
        <w:t xml:space="preserve">Remote access logs must be retained for a minimum of ninety (90) days</w:t>
      </w:r>
    </w:p>
    <w:p>
      <w:pPr>
        <w:spacing w:after="80"/>
      </w:pPr>
    </w:p>
    <w:p>
      <w:pPr>
        <w:pStyle w:val="Heading2"/>
        <w:spacing w:after="100" w:before="240"/>
      </w:pPr>
      <w:r>
        <w:rPr>
          <w:rFonts w:ascii="Arial" w:cs="Arial" w:eastAsia="Arial" w:hAnsi="Arial"/>
          <w:b/>
          <w:bCs/>
          <w:color w:val="4F46E5"/>
          <w:sz w:val="24"/>
          <w:szCs w:val="24"/>
        </w:rPr>
        <w:t xml:space="preserve">6.7  Access Reviews</w:t>
      </w:r>
    </w:p>
    <w:p>
      <w:pPr>
        <w:pStyle w:val="ListParagraph"/>
        <w:numPr>
          <w:ilvl w:val="0"/>
          <w:numId w:val="2"/>
        </w:numPr>
        <w:spacing w:after="80"/>
      </w:pPr>
      <w:r>
        <w:rPr>
          <w:rFonts w:ascii="Arial" w:cs="Arial" w:eastAsia="Arial" w:hAnsi="Arial"/>
          <w:color w:val="1A2340"/>
          <w:sz w:val="22"/>
          <w:szCs w:val="22"/>
        </w:rPr>
        <w:t xml:space="preserve">A formal review of all user access rights across all systems must be conducted semi-annually (every six months)</w:t>
      </w:r>
    </w:p>
    <w:p>
      <w:pPr>
        <w:pStyle w:val="ListParagraph"/>
        <w:numPr>
          <w:ilvl w:val="0"/>
          <w:numId w:val="2"/>
        </w:numPr>
        <w:spacing w:after="80"/>
      </w:pPr>
      <w:r>
        <w:rPr>
          <w:rFonts w:ascii="Arial" w:cs="Arial" w:eastAsia="Arial" w:hAnsi="Arial"/>
          <w:color w:val="1A2340"/>
          <w:sz w:val="22"/>
          <w:szCs w:val="22"/>
        </w:rPr>
        <w:t xml:space="preserve">Department managers are responsible for certifying the access rights of their direct reports during each review cycle</w:t>
      </w:r>
    </w:p>
    <w:p>
      <w:pPr>
        <w:pStyle w:val="ListParagraph"/>
        <w:numPr>
          <w:ilvl w:val="0"/>
          <w:numId w:val="2"/>
        </w:numPr>
        <w:spacing w:after="80"/>
      </w:pPr>
      <w:r>
        <w:rPr>
          <w:rFonts w:ascii="Arial" w:cs="Arial" w:eastAsia="Arial" w:hAnsi="Arial"/>
          <w:color w:val="1A2340"/>
          <w:sz w:val="22"/>
          <w:szCs w:val="22"/>
        </w:rPr>
        <w:t xml:space="preserve">Review results must be recorded; any inappropriate or outdated access must be remediated within thirty (30) days of the review's completion</w:t>
      </w:r>
    </w:p>
    <w:p>
      <w:pPr>
        <w:pStyle w:val="ListParagraph"/>
        <w:numPr>
          <w:ilvl w:val="0"/>
          <w:numId w:val="2"/>
        </w:numPr>
        <w:spacing w:after="80"/>
      </w:pPr>
      <w:r>
        <w:rPr>
          <w:rFonts w:ascii="Arial" w:cs="Arial" w:eastAsia="Arial" w:hAnsi="Arial"/>
          <w:color w:val="1A2340"/>
          <w:sz w:val="22"/>
          <w:szCs w:val="22"/>
        </w:rPr>
        <w:t xml:space="preserve">An additional privileged access review must be conducted annually, with results signed off by the CISO / vCISO</w:t>
      </w:r>
    </w:p>
    <w:p>
      <w:pPr>
        <w:pStyle w:val="ListParagraph"/>
        <w:numPr>
          <w:ilvl w:val="0"/>
          <w:numId w:val="2"/>
        </w:numPr>
        <w:spacing w:after="80"/>
      </w:pPr>
      <w:r>
        <w:rPr>
          <w:rFonts w:ascii="Arial" w:cs="Arial" w:eastAsia="Arial" w:hAnsi="Arial"/>
          <w:color w:val="1A2340"/>
          <w:sz w:val="22"/>
          <w:szCs w:val="22"/>
        </w:rPr>
        <w:t xml:space="preserve">The Semi-Annual Access Review Checklist (Appendix C) must be used for each review cycle</w:t>
      </w:r>
    </w:p>
    <w:p>
      <w:pPr>
        <w:spacing w:after="80"/>
      </w:pPr>
    </w:p>
    <w:p>
      <w:pPr>
        <w:pStyle w:val="Heading2"/>
        <w:spacing w:after="100" w:before="240"/>
      </w:pPr>
      <w:r>
        <w:rPr>
          <w:rFonts w:ascii="Arial" w:cs="Arial" w:eastAsia="Arial" w:hAnsi="Arial"/>
          <w:b/>
          <w:bCs/>
          <w:color w:val="4F46E5"/>
          <w:sz w:val="24"/>
          <w:szCs w:val="24"/>
        </w:rPr>
        <w:t xml:space="preserve">6.8  Shared and Service Accounts</w:t>
      </w:r>
    </w:p>
    <w:p>
      <w:pPr>
        <w:spacing w:after="160"/>
      </w:pPr>
      <w:r>
        <w:rPr>
          <w:rFonts w:ascii="Arial" w:cs="Arial" w:eastAsia="Arial" w:hAnsi="Arial"/>
          <w:color w:val="1A2340"/>
          <w:sz w:val="22"/>
          <w:szCs w:val="22"/>
        </w:rPr>
        <w:t xml:space="preserve">Shared accounts:</w:t>
      </w:r>
    </w:p>
    <w:p>
      <w:pPr>
        <w:pStyle w:val="ListParagraph"/>
        <w:numPr>
          <w:ilvl w:val="0"/>
          <w:numId w:val="2"/>
        </w:numPr>
        <w:spacing w:after="80"/>
      </w:pPr>
      <w:r>
        <w:rPr>
          <w:rFonts w:ascii="Arial" w:cs="Arial" w:eastAsia="Arial" w:hAnsi="Arial"/>
          <w:color w:val="1A2340"/>
          <w:sz w:val="22"/>
          <w:szCs w:val="22"/>
        </w:rPr>
        <w:t xml:space="preserve">Shared accounts for standard users are prohibited; every individual must have a uniquely identified account to maintain accountability</w:t>
      </w:r>
    </w:p>
    <w:p>
      <w:pPr>
        <w:pStyle w:val="ListParagraph"/>
        <w:numPr>
          <w:ilvl w:val="0"/>
          <w:numId w:val="2"/>
        </w:numPr>
        <w:spacing w:after="80"/>
      </w:pPr>
      <w:r>
        <w:rPr>
          <w:rFonts w:ascii="Arial" w:cs="Arial" w:eastAsia="Arial" w:hAnsi="Arial"/>
          <w:color w:val="1A2340"/>
          <w:sz w:val="22"/>
          <w:szCs w:val="22"/>
        </w:rPr>
        <w:t xml:space="preserve">Where a legacy system cannot support individual accounts and a shared account is operationally unavoidable, an exception must be approved by the CISO / vCISO, documented in the exception register, and reviewed annually</w:t>
      </w:r>
    </w:p>
    <w:p>
      <w:pPr>
        <w:spacing w:after="40"/>
      </w:pPr>
    </w:p>
    <w:p>
      <w:pPr>
        <w:spacing w:after="160"/>
      </w:pPr>
      <w:r>
        <w:rPr>
          <w:rFonts w:ascii="Arial" w:cs="Arial" w:eastAsia="Arial" w:hAnsi="Arial"/>
          <w:color w:val="1A2340"/>
          <w:sz w:val="22"/>
          <w:szCs w:val="22"/>
        </w:rPr>
        <w:t xml:space="preserve">Service accounts:</w:t>
      </w:r>
    </w:p>
    <w:p>
      <w:pPr>
        <w:pStyle w:val="ListParagraph"/>
        <w:numPr>
          <w:ilvl w:val="0"/>
          <w:numId w:val="2"/>
        </w:numPr>
        <w:spacing w:after="80"/>
      </w:pPr>
      <w:r>
        <w:rPr>
          <w:rFonts w:ascii="Arial" w:cs="Arial" w:eastAsia="Arial" w:hAnsi="Arial"/>
          <w:color w:val="1A2340"/>
          <w:sz w:val="22"/>
          <w:szCs w:val="22"/>
        </w:rPr>
        <w:t xml:space="preserve">All service accounts must be documented in the IT asset inventory, including the system or application they serve and a named human owner</w:t>
      </w:r>
    </w:p>
    <w:p>
      <w:pPr>
        <w:pStyle w:val="ListParagraph"/>
        <w:numPr>
          <w:ilvl w:val="0"/>
          <w:numId w:val="2"/>
        </w:numPr>
        <w:spacing w:after="80"/>
      </w:pPr>
      <w:r>
        <w:rPr>
          <w:rFonts w:ascii="Arial" w:cs="Arial" w:eastAsia="Arial" w:hAnsi="Arial"/>
          <w:color w:val="1A2340"/>
          <w:sz w:val="22"/>
          <w:szCs w:val="22"/>
        </w:rPr>
        <w:t xml:space="preserve">Service accounts must use complex, auto-generated passwords managed in an approved credential vault</w:t>
      </w:r>
    </w:p>
    <w:p>
      <w:pPr>
        <w:pStyle w:val="ListParagraph"/>
        <w:numPr>
          <w:ilvl w:val="0"/>
          <w:numId w:val="2"/>
        </w:numPr>
        <w:spacing w:after="80"/>
      </w:pPr>
      <w:r>
        <w:rPr>
          <w:rFonts w:ascii="Arial" w:cs="Arial" w:eastAsia="Arial" w:hAnsi="Arial"/>
          <w:color w:val="1A2340"/>
          <w:sz w:val="22"/>
          <w:szCs w:val="22"/>
        </w:rPr>
        <w:t xml:space="preserve">Interactive logon on service accounts is prohibited unless operationally required and documented</w:t>
      </w:r>
    </w:p>
    <w:p>
      <w:pPr>
        <w:pStyle w:val="ListParagraph"/>
        <w:numPr>
          <w:ilvl w:val="0"/>
          <w:numId w:val="2"/>
        </w:numPr>
        <w:spacing w:after="80"/>
      </w:pPr>
      <w:r>
        <w:rPr>
          <w:rFonts w:ascii="Arial" w:cs="Arial" w:eastAsia="Arial" w:hAnsi="Arial"/>
          <w:color w:val="1A2340"/>
          <w:sz w:val="22"/>
          <w:szCs w:val="22"/>
        </w:rPr>
        <w:t xml:space="preserve">Service accounts must be reviewed annually to confirm continued necessity and appropriate access</w:t>
      </w:r>
    </w:p>
    <w:p>
      <w:pPr>
        <w:spacing w:after="80"/>
      </w:pPr>
    </w:p>
    <w:p>
      <w:pPr>
        <w:pStyle w:val="Heading2"/>
        <w:spacing w:after="100" w:before="240"/>
      </w:pPr>
      <w:r>
        <w:rPr>
          <w:rFonts w:ascii="Arial" w:cs="Arial" w:eastAsia="Arial" w:hAnsi="Arial"/>
          <w:b/>
          <w:bCs/>
          <w:color w:val="4F46E5"/>
          <w:sz w:val="24"/>
          <w:szCs w:val="24"/>
        </w:rPr>
        <w:t xml:space="preserve">6.9  Physical Access Controls</w:t>
      </w:r>
    </w:p>
    <w:p>
      <w:pPr>
        <w:pStyle w:val="ListParagraph"/>
        <w:numPr>
          <w:ilvl w:val="0"/>
          <w:numId w:val="2"/>
        </w:numPr>
        <w:spacing w:after="80"/>
      </w:pPr>
      <w:r>
        <w:rPr>
          <w:rFonts w:ascii="Arial" w:cs="Arial" w:eastAsia="Arial" w:hAnsi="Arial"/>
          <w:color w:val="1A2340"/>
          <w:sz w:val="22"/>
          <w:szCs w:val="22"/>
        </w:rPr>
        <w:t xml:space="preserve">Visitor access to facilities must be controlled; visitors must sign in, be accompanied, and wear identification at all times in restricted areas</w:t>
      </w:r>
    </w:p>
    <w:p>
      <w:pPr>
        <w:pStyle w:val="ListParagraph"/>
        <w:numPr>
          <w:ilvl w:val="0"/>
          <w:numId w:val="2"/>
        </w:numPr>
        <w:spacing w:after="80"/>
      </w:pPr>
      <w:r>
        <w:rPr>
          <w:rFonts w:ascii="Arial" w:cs="Arial" w:eastAsia="Arial" w:hAnsi="Arial"/>
          <w:color w:val="1A2340"/>
          <w:sz w:val="22"/>
          <w:szCs w:val="22"/>
        </w:rPr>
        <w:t xml:space="preserve">A clean desk policy is in effect; sensitive documents and portable media must be secured when unattended</w:t>
      </w:r>
    </w:p>
    <w:p>
      <w:pPr>
        <w:pStyle w:val="ListParagraph"/>
        <w:numPr>
          <w:ilvl w:val="0"/>
          <w:numId w:val="2"/>
        </w:numPr>
        <w:spacing w:after="80"/>
      </w:pPr>
      <w:r>
        <w:rPr>
          <w:rFonts w:ascii="Arial" w:cs="Arial" w:eastAsia="Arial" w:hAnsi="Arial"/>
          <w:color w:val="1A2340"/>
          <w:sz w:val="22"/>
          <w:szCs w:val="22"/>
        </w:rPr>
        <w:t xml:space="preserve">Workstation screens must be locked or turned off when an employee steps away from their desk</w:t>
      </w:r>
    </w:p>
    <w:p>
      <w:pPr>
        <w:pStyle w:val="ListParagraph"/>
        <w:numPr>
          <w:ilvl w:val="0"/>
          <w:numId w:val="2"/>
        </w:numPr>
        <w:spacing w:after="80"/>
      </w:pPr>
      <w:r>
        <w:rPr>
          <w:rFonts w:ascii="Arial" w:cs="Arial" w:eastAsia="Arial" w:hAnsi="Arial"/>
          <w:color w:val="1A2340"/>
          <w:sz w:val="22"/>
          <w:szCs w:val="22"/>
        </w:rPr>
        <w:t xml:space="preserve">Sensitive documents must not be left unattended in printers or print queues; secure or follow-me printing is recommended</w:t>
      </w:r>
    </w:p>
    <w:p>
      <w:pPr>
        <w:pStyle w:val="ListParagraph"/>
        <w:numPr>
          <w:ilvl w:val="0"/>
          <w:numId w:val="2"/>
        </w:numPr>
        <w:spacing w:after="80"/>
      </w:pPr>
      <w:r>
        <w:rPr>
          <w:rFonts w:ascii="Arial" w:cs="Arial" w:eastAsia="Arial" w:hAnsi="Arial"/>
          <w:color w:val="1A2340"/>
          <w:sz w:val="22"/>
          <w:szCs w:val="22"/>
        </w:rPr>
        <w:t xml:space="preserve">Server rooms, network closets, and areas housing critical infrastructure must be access-controlled with a log of all entry and exit events</w:t>
      </w:r>
    </w:p>
    <w:p>
      <w:pPr>
        <w:spacing w:after="80"/>
      </w:pPr>
    </w:p>
    <w:p>
      <w:pPr>
        <w:pStyle w:val="Heading2"/>
        <w:spacing w:after="100" w:before="240"/>
      </w:pPr>
      <w:r>
        <w:rPr>
          <w:rFonts w:ascii="Arial" w:cs="Arial" w:eastAsia="Arial" w:hAnsi="Arial"/>
          <w:b/>
          <w:bCs/>
          <w:color w:val="4F46E5"/>
          <w:sz w:val="24"/>
          <w:szCs w:val="24"/>
        </w:rPr>
        <w:t xml:space="preserve">6.10  Exception Process</w:t>
      </w:r>
    </w:p>
    <w:p>
      <w:pPr>
        <w:pStyle w:val="ListParagraph"/>
        <w:numPr>
          <w:ilvl w:val="0"/>
          <w:numId w:val="2"/>
        </w:numPr>
        <w:spacing w:after="80"/>
      </w:pPr>
      <w:r>
        <w:rPr>
          <w:rFonts w:ascii="Arial" w:cs="Arial" w:eastAsia="Arial" w:hAnsi="Arial"/>
          <w:color w:val="1A2340"/>
          <w:sz w:val="22"/>
          <w:szCs w:val="22"/>
        </w:rPr>
        <w:t xml:space="preserve">All exceptions to this policy require a written business justification, a defined expiry date, and approval by the CISO / vCISO</w:t>
      </w:r>
    </w:p>
    <w:p>
      <w:pPr>
        <w:pStyle w:val="ListParagraph"/>
        <w:numPr>
          <w:ilvl w:val="0"/>
          <w:numId w:val="2"/>
        </w:numPr>
        <w:spacing w:after="80"/>
      </w:pPr>
      <w:r>
        <w:rPr>
          <w:rFonts w:ascii="Arial" w:cs="Arial" w:eastAsia="Arial" w:hAnsi="Arial"/>
          <w:color w:val="1A2340"/>
          <w:sz w:val="22"/>
          <w:szCs w:val="22"/>
        </w:rPr>
        <w:t xml:space="preserve">Approved exceptions are logged in the Exception Register with owner, approval date, expiry date, and compensating controls</w:t>
      </w:r>
    </w:p>
    <w:p>
      <w:pPr>
        <w:pStyle w:val="ListParagraph"/>
        <w:numPr>
          <w:ilvl w:val="0"/>
          <w:numId w:val="2"/>
        </w:numPr>
        <w:spacing w:after="80"/>
      </w:pPr>
      <w:r>
        <w:rPr>
          <w:rFonts w:ascii="Arial" w:cs="Arial" w:eastAsia="Arial" w:hAnsi="Arial"/>
          <w:color w:val="1A2340"/>
          <w:sz w:val="22"/>
          <w:szCs w:val="22"/>
        </w:rPr>
        <w:t xml:space="preserve">Exceptions are subject to renewal at their expiry date; expired exceptions without renewal are treated as a policy violation</w:t>
      </w:r>
    </w:p>
    <w:p>
      <w:pPr>
        <w:pStyle w:val="ListParagraph"/>
        <w:numPr>
          <w:ilvl w:val="0"/>
          <w:numId w:val="2"/>
        </w:numPr>
        <w:spacing w:after="80"/>
      </w:pPr>
      <w:r>
        <w:rPr>
          <w:rFonts w:ascii="Arial" w:cs="Arial" w:eastAsia="Arial" w:hAnsi="Arial"/>
          <w:color w:val="1A2340"/>
          <w:sz w:val="22"/>
          <w:szCs w:val="22"/>
        </w:rPr>
        <w:t xml:space="preserve">Exceptions must be reviewed as part of the annual access control audit</w:t>
      </w:r>
    </w:p>
    <w:p>
      <w:pPr>
        <w:spacing w:after="80"/>
      </w:pPr>
    </w:p>
    <w:p>
      <w:pPr>
        <w:pStyle w:val="Heading1"/>
        <w:spacing w:after="120" w:before="320"/>
      </w:pPr>
      <w:r>
        <w:rPr>
          <w:rFonts w:ascii="Arial" w:cs="Arial" w:eastAsia="Arial" w:hAnsi="Arial"/>
          <w:b/>
          <w:bCs/>
          <w:color w:val="152168"/>
          <w:sz w:val="28"/>
          <w:szCs w:val="28"/>
        </w:rPr>
        <w:t xml:space="preserve">7.  Compliance and Enforcement</w:t>
      </w:r>
    </w:p>
    <w:p>
      <w:pPr>
        <w:spacing w:after="160"/>
      </w:pPr>
      <w:r>
        <w:rPr>
          <w:rFonts w:ascii="Arial" w:cs="Arial" w:eastAsia="Arial" w:hAnsi="Arial"/>
          <w:color w:val="1A2340"/>
          <w:sz w:val="22"/>
          <w:szCs w:val="22"/>
        </w:rPr>
        <w:t xml:space="preserve">Compliance with this policy is mandatory for all persons within scope. Violations may result in disciplinary action up to and including termination of employment or contract, removal of system access, civil or criminal referral where applicable, and personal liability for damages resulting from willful non-compliance.</w:t>
      </w:r>
    </w:p>
    <w:p>
      <w:pPr>
        <w:spacing w:after="160"/>
      </w:pPr>
      <w:r>
        <w:rPr>
          <w:rFonts w:ascii="Arial" w:cs="Arial" w:eastAsia="Arial" w:hAnsi="Arial"/>
          <w:color w:val="1A2340"/>
          <w:sz w:val="22"/>
          <w:szCs w:val="22"/>
        </w:rPr>
        <w:t xml:space="preserve">The CISO / vCISO will conduct an annual audit of this policy's implementation and report findings to executive leadership. Access control events are logged and may be reviewed for compliance purposes at any time.</w:t>
      </w:r>
    </w:p>
    <w:p>
      <w:pPr>
        <w:spacing w:after="80"/>
      </w:pPr>
    </w:p>
    <w:p>
      <w:pPr>
        <w:pStyle w:val="Heading1"/>
        <w:spacing w:after="120" w:before="320"/>
      </w:pPr>
      <w:r>
        <w:rPr>
          <w:rFonts w:ascii="Arial" w:cs="Arial" w:eastAsia="Arial" w:hAnsi="Arial"/>
          <w:b/>
          <w:bCs/>
          <w:color w:val="152168"/>
          <w:sz w:val="28"/>
          <w:szCs w:val="28"/>
        </w:rPr>
        <w:t xml:space="preserve">8.  Related Documents</w:t>
      </w:r>
    </w:p>
    <w:p>
      <w:pPr>
        <w:pStyle w:val="ListParagraph"/>
        <w:numPr>
          <w:ilvl w:val="0"/>
          <w:numId w:val="2"/>
        </w:numPr>
        <w:spacing w:after="80"/>
      </w:pPr>
      <w:r>
        <w:rPr>
          <w:rFonts w:ascii="Arial" w:cs="Arial" w:eastAsia="Arial" w:hAnsi="Arial"/>
          <w:color w:val="1A2340"/>
          <w:sz w:val="22"/>
          <w:szCs w:val="22"/>
        </w:rPr>
        <w:t xml:space="preserve">Information Security Policy</w:t>
      </w:r>
    </w:p>
    <w:p>
      <w:pPr>
        <w:pStyle w:val="ListParagraph"/>
        <w:numPr>
          <w:ilvl w:val="0"/>
          <w:numId w:val="2"/>
        </w:numPr>
        <w:spacing w:after="80"/>
      </w:pPr>
      <w:r>
        <w:rPr>
          <w:rFonts w:ascii="Arial" w:cs="Arial" w:eastAsia="Arial" w:hAnsi="Arial"/>
          <w:color w:val="1A2340"/>
          <w:sz w:val="22"/>
          <w:szCs w:val="22"/>
        </w:rPr>
        <w:t xml:space="preserve">Acceptable Use Policy</w:t>
      </w:r>
    </w:p>
    <w:p>
      <w:pPr>
        <w:pStyle w:val="ListParagraph"/>
        <w:numPr>
          <w:ilvl w:val="0"/>
          <w:numId w:val="2"/>
        </w:numPr>
        <w:spacing w:after="80"/>
      </w:pPr>
      <w:r>
        <w:rPr>
          <w:rFonts w:ascii="Arial" w:cs="Arial" w:eastAsia="Arial" w:hAnsi="Arial"/>
          <w:color w:val="1A2340"/>
          <w:sz w:val="22"/>
          <w:szCs w:val="22"/>
        </w:rPr>
        <w:t xml:space="preserve">Incident Response Policy</w:t>
      </w:r>
    </w:p>
    <w:p>
      <w:pPr>
        <w:pStyle w:val="ListParagraph"/>
        <w:numPr>
          <w:ilvl w:val="0"/>
          <w:numId w:val="2"/>
        </w:numPr>
        <w:spacing w:after="80"/>
      </w:pPr>
      <w:r>
        <w:rPr>
          <w:rFonts w:ascii="Arial" w:cs="Arial" w:eastAsia="Arial" w:hAnsi="Arial"/>
          <w:color w:val="1A2340"/>
          <w:sz w:val="22"/>
          <w:szCs w:val="22"/>
        </w:rPr>
        <w:t xml:space="preserve">Remote Work Policy</w:t>
      </w:r>
    </w:p>
    <w:p>
      <w:pPr>
        <w:pStyle w:val="ListParagraph"/>
        <w:numPr>
          <w:ilvl w:val="0"/>
          <w:numId w:val="2"/>
        </w:numPr>
        <w:spacing w:after="80"/>
      </w:pPr>
      <w:r>
        <w:rPr>
          <w:rFonts w:ascii="Arial" w:cs="Arial" w:eastAsia="Arial" w:hAnsi="Arial"/>
          <w:color w:val="1A2340"/>
          <w:sz w:val="22"/>
          <w:szCs w:val="22"/>
        </w:rPr>
        <w:t xml:space="preserve">Vendor and Third-Party Risk Management Policy</w:t>
      </w:r>
    </w:p>
    <w:p>
      <w:pPr>
        <w:pStyle w:val="ListParagraph"/>
        <w:numPr>
          <w:ilvl w:val="0"/>
          <w:numId w:val="2"/>
        </w:numPr>
        <w:spacing w:after="80"/>
      </w:pPr>
      <w:r>
        <w:rPr>
          <w:rFonts w:ascii="Arial" w:cs="Arial" w:eastAsia="Arial" w:hAnsi="Arial"/>
          <w:color w:val="1A2340"/>
          <w:sz w:val="22"/>
          <w:szCs w:val="22"/>
        </w:rPr>
        <w:t xml:space="preserve">Password Management Standard</w:t>
      </w:r>
    </w:p>
    <w:p>
      <w:pPr>
        <w:pStyle w:val="ListParagraph"/>
        <w:numPr>
          <w:ilvl w:val="0"/>
          <w:numId w:val="2"/>
        </w:numPr>
        <w:spacing w:after="80"/>
      </w:pPr>
      <w:r>
        <w:rPr>
          <w:rFonts w:ascii="Arial" w:cs="Arial" w:eastAsia="Arial" w:hAnsi="Arial"/>
          <w:color w:val="1A2340"/>
          <w:sz w:val="22"/>
          <w:szCs w:val="22"/>
        </w:rPr>
        <w:t xml:space="preserve">Privileged Access Management Standard</w:t>
      </w:r>
    </w:p>
    <w:p>
      <w:pPr>
        <w:spacing w:after="80"/>
      </w:pPr>
    </w:p>
    <w:p>
      <w:pPr>
        <w:pStyle w:val="Heading1"/>
        <w:spacing w:after="120" w:before="320"/>
      </w:pPr>
      <w:r>
        <w:rPr>
          <w:rFonts w:ascii="Arial" w:cs="Arial" w:eastAsia="Arial" w:hAnsi="Arial"/>
          <w:b/>
          <w:bCs/>
          <w:color w:val="152168"/>
          <w:sz w:val="28"/>
          <w:szCs w:val="28"/>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rPr>
          <w:tblHeader/>
        </w:trPr>
        <w:tc>
          <w:tcPr>
            <w:tcW w:type="dxa" w:w="1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Version</w:t>
            </w:r>
          </w:p>
        </w:tc>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Date</w:t>
            </w:r>
          </w:p>
        </w:tc>
        <w:tc>
          <w:tcPr>
            <w:tcW w:type="dxa" w:w="2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Author</w:t>
            </w:r>
          </w:p>
        </w:tc>
        <w:tc>
          <w:tcPr>
            <w:tcW w:type="dxa" w:w="3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Changes</w:t>
            </w:r>
          </w:p>
        </w:tc>
      </w:tr>
      <w:tr>
        <w:tc>
          <w:tcPr>
            <w:tcW w:type="dxa" w:w="16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1.0</w:t>
            </w:r>
          </w:p>
        </w:tc>
        <w:tc>
          <w:tcPr>
            <w:tcW w:type="dxa" w:w="22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[DATE]</w:t>
            </w:r>
          </w:p>
        </w:tc>
        <w:tc>
          <w:tcPr>
            <w:tcW w:type="dxa" w:w="25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Abbott Cyber Consulting</w:t>
            </w:r>
          </w:p>
        </w:tc>
        <w:tc>
          <w:tcPr>
            <w:tcW w:type="dxa" w:w="3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Initial draft</w:t>
            </w:r>
          </w:p>
        </w:tc>
      </w:tr>
    </w:tbl>
    <w:p>
      <w:pPr>
        <w:spacing w:after="80"/>
      </w:pPr>
    </w:p>
    <w:p>
      <w:r>
        <w:br w:type="page"/>
      </w:r>
    </w:p>
    <w:p>
      <w:pPr>
        <w:pStyle w:val="Heading1"/>
        <w:spacing w:after="120" w:before="320"/>
      </w:pPr>
      <w:r>
        <w:rPr>
          <w:rFonts w:ascii="Arial" w:cs="Arial" w:eastAsia="Arial" w:hAnsi="Arial"/>
          <w:b/>
          <w:bCs/>
          <w:color w:val="152168"/>
          <w:sz w:val="28"/>
          <w:szCs w:val="28"/>
        </w:rPr>
        <w:t xml:space="preserve">Appendix A:  Access Request Form Template</w:t>
      </w:r>
    </w:p>
    <w:p>
      <w:pPr>
        <w:spacing w:after="160"/>
      </w:pPr>
      <w:r>
        <w:rPr>
          <w:rFonts w:ascii="Arial" w:cs="Arial" w:eastAsia="Arial" w:hAnsi="Arial"/>
          <w:color w:val="1A2340"/>
          <w:sz w:val="22"/>
          <w:szCs w:val="22"/>
        </w:rPr>
        <w:t xml:space="preserve">Complete this form for all new access requests and role change requests. Submit to your manager for approval, then forward the approved form to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69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Response / Notes</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Requester Name</w:t>
            </w:r>
          </w:p>
        </w:tc>
        <w:tc>
          <w:tcPr>
            <w:tcW w:type="dxa" w:w="6960"/>
            <w:tcBorders>
              <w:top w:val="single" w:color="DDE3EF" w:sz="1"/>
              <w:left w:val="single" w:color="DDE3EF" w:sz="1"/>
              <w:bottom w:val="single" w:color="DDE3EF" w:sz="1"/>
              <w:right w:val="single" w:color="DDE3EF" w:sz="1"/>
            </w:tcBorders>
            <w:shd w:fill="FFFFFF" w:val="clear"/>
            <w:tcMar>
              <w:top w:type="dxa" w:w="80"/>
              <w:left w:type="dxa" w:w="120"/>
              <w:bottom w:type="dxa" w:w="240"/>
              <w:right w:type="dxa" w:w="80"/>
            </w:tcMar>
          </w:tcPr>
          <w:p>
            <w:r>
              <w:rPr>
                <w:rFonts w:ascii="Arial" w:cs="Arial" w:eastAsia="Arial" w:hAnsi="Arial"/>
                <w:i w:val="false"/>
                <w:iCs w:val="false"/>
                <w:color w:val="5A6A8A"/>
                <w:sz w:val="20"/>
                <w:szCs w:val="20"/>
              </w:rPr>
              <w:t xml:space="preserve"/>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Department</w:t>
            </w:r>
          </w:p>
        </w:tc>
        <w:tc>
          <w:tcPr>
            <w:tcW w:type="dxa" w:w="6960"/>
            <w:tcBorders>
              <w:top w:val="single" w:color="DDE3EF" w:sz="1"/>
              <w:left w:val="single" w:color="DDE3EF" w:sz="1"/>
              <w:bottom w:val="single" w:color="DDE3EF" w:sz="1"/>
              <w:right w:val="single" w:color="DDE3EF" w:sz="1"/>
            </w:tcBorders>
            <w:shd w:fill="EBF0FA" w:val="clear"/>
            <w:tcMar>
              <w:top w:type="dxa" w:w="80"/>
              <w:left w:type="dxa" w:w="120"/>
              <w:bottom w:type="dxa" w:w="240"/>
              <w:right w:type="dxa" w:w="80"/>
            </w:tcMar>
          </w:tcPr>
          <w:p>
            <w:r>
              <w:rPr>
                <w:rFonts w:ascii="Arial" w:cs="Arial" w:eastAsia="Arial" w:hAnsi="Arial"/>
                <w:i w:val="false"/>
                <w:iCs w:val="false"/>
                <w:color w:val="5A6A8A"/>
                <w:sz w:val="20"/>
                <w:szCs w:val="20"/>
              </w:rPr>
              <w:t xml:space="preserve"/>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Manager Name</w:t>
            </w:r>
          </w:p>
        </w:tc>
        <w:tc>
          <w:tcPr>
            <w:tcW w:type="dxa" w:w="6960"/>
            <w:tcBorders>
              <w:top w:val="single" w:color="DDE3EF" w:sz="1"/>
              <w:left w:val="single" w:color="DDE3EF" w:sz="1"/>
              <w:bottom w:val="single" w:color="DDE3EF" w:sz="1"/>
              <w:right w:val="single" w:color="DDE3EF" w:sz="1"/>
            </w:tcBorders>
            <w:shd w:fill="FFFFFF" w:val="clear"/>
            <w:tcMar>
              <w:top w:type="dxa" w:w="80"/>
              <w:left w:type="dxa" w:w="120"/>
              <w:bottom w:type="dxa" w:w="240"/>
              <w:right w:type="dxa" w:w="80"/>
            </w:tcMar>
          </w:tcPr>
          <w:p>
            <w:r>
              <w:rPr>
                <w:rFonts w:ascii="Arial" w:cs="Arial" w:eastAsia="Arial" w:hAnsi="Arial"/>
                <w:i w:val="false"/>
                <w:iCs w:val="false"/>
                <w:color w:val="5A6A8A"/>
                <w:sz w:val="20"/>
                <w:szCs w:val="20"/>
              </w:rPr>
              <w:t xml:space="preserve"/>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Date of Request</w:t>
            </w:r>
          </w:p>
        </w:tc>
        <w:tc>
          <w:tcPr>
            <w:tcW w:type="dxa" w:w="6960"/>
            <w:tcBorders>
              <w:top w:val="single" w:color="DDE3EF" w:sz="1"/>
              <w:left w:val="single" w:color="DDE3EF" w:sz="1"/>
              <w:bottom w:val="single" w:color="DDE3EF" w:sz="1"/>
              <w:right w:val="single" w:color="DDE3EF" w:sz="1"/>
            </w:tcBorders>
            <w:shd w:fill="EBF0FA" w:val="clear"/>
            <w:tcMar>
              <w:top w:type="dxa" w:w="80"/>
              <w:left w:type="dxa" w:w="120"/>
              <w:bottom w:type="dxa" w:w="240"/>
              <w:right w:type="dxa" w:w="80"/>
            </w:tcMar>
          </w:tcPr>
          <w:p>
            <w:r>
              <w:rPr>
                <w:rFonts w:ascii="Arial" w:cs="Arial" w:eastAsia="Arial" w:hAnsi="Arial"/>
                <w:i w:val="false"/>
                <w:iCs w:val="false"/>
                <w:color w:val="5A6A8A"/>
                <w:sz w:val="20"/>
                <w:szCs w:val="20"/>
              </w:rPr>
              <w:t xml:space="preserve"/>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System / Application</w:t>
            </w:r>
          </w:p>
        </w:tc>
        <w:tc>
          <w:tcPr>
            <w:tcW w:type="dxa" w:w="6960"/>
            <w:tcBorders>
              <w:top w:val="single" w:color="DDE3EF" w:sz="1"/>
              <w:left w:val="single" w:color="DDE3EF" w:sz="1"/>
              <w:bottom w:val="single" w:color="DDE3EF" w:sz="1"/>
              <w:right w:val="single" w:color="DDE3EF" w:sz="1"/>
            </w:tcBorders>
            <w:shd w:fill="FFFFFF" w:val="clear"/>
            <w:tcMar>
              <w:top w:type="dxa" w:w="80"/>
              <w:left w:type="dxa" w:w="120"/>
              <w:bottom w:type="dxa" w:w="240"/>
              <w:right w:type="dxa" w:w="80"/>
            </w:tcMar>
          </w:tcPr>
          <w:p>
            <w:r>
              <w:rPr>
                <w:rFonts w:ascii="Arial" w:cs="Arial" w:eastAsia="Arial" w:hAnsi="Arial"/>
                <w:i w:val="false"/>
                <w:iCs w:val="false"/>
                <w:color w:val="5A6A8A"/>
                <w:sz w:val="20"/>
                <w:szCs w:val="20"/>
              </w:rPr>
              <w:t xml:space="preserve"/>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Access Level Required</w:t>
            </w:r>
          </w:p>
        </w:tc>
        <w:tc>
          <w:tcPr>
            <w:tcW w:type="dxa" w:w="6960"/>
            <w:tcBorders>
              <w:top w:val="single" w:color="DDE3EF" w:sz="1"/>
              <w:left w:val="single" w:color="DDE3EF" w:sz="1"/>
              <w:bottom w:val="single" w:color="DDE3EF" w:sz="1"/>
              <w:right w:val="single" w:color="DDE3EF" w:sz="1"/>
            </w:tcBorders>
            <w:shd w:fill="EBF0FA" w:val="clear"/>
            <w:tcMar>
              <w:top w:type="dxa" w:w="80"/>
              <w:left w:type="dxa" w:w="120"/>
              <w:bottom w:type="dxa" w:w="240"/>
              <w:right w:type="dxa" w:w="80"/>
            </w:tcMar>
          </w:tcPr>
          <w:p>
            <w:r>
              <w:rPr>
                <w:rFonts w:ascii="Arial" w:cs="Arial" w:eastAsia="Arial" w:hAnsi="Arial"/>
                <w:i/>
                <w:iCs/>
                <w:color w:val="5A6A8A"/>
                <w:sz w:val="20"/>
                <w:szCs w:val="20"/>
              </w:rPr>
              <w:t xml:space="preserve">Read / Read-Write / Admin</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Business Justification</w:t>
            </w:r>
          </w:p>
        </w:tc>
        <w:tc>
          <w:tcPr>
            <w:tcW w:type="dxa" w:w="6960"/>
            <w:tcBorders>
              <w:top w:val="single" w:color="DDE3EF" w:sz="1"/>
              <w:left w:val="single" w:color="DDE3EF" w:sz="1"/>
              <w:bottom w:val="single" w:color="DDE3EF" w:sz="1"/>
              <w:right w:val="single" w:color="DDE3EF" w:sz="1"/>
            </w:tcBorders>
            <w:shd w:fill="FFFFFF" w:val="clear"/>
            <w:tcMar>
              <w:top w:type="dxa" w:w="80"/>
              <w:left w:type="dxa" w:w="120"/>
              <w:bottom w:type="dxa" w:w="240"/>
              <w:right w:type="dxa" w:w="80"/>
            </w:tcMar>
          </w:tcPr>
          <w:p>
            <w:r>
              <w:rPr>
                <w:rFonts w:ascii="Arial" w:cs="Arial" w:eastAsia="Arial" w:hAnsi="Arial"/>
                <w:i w:val="false"/>
                <w:iCs w:val="false"/>
                <w:color w:val="5A6A8A"/>
                <w:sz w:val="20"/>
                <w:szCs w:val="20"/>
              </w:rPr>
              <w:t xml:space="preserve"/>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Requested Start Date</w:t>
            </w:r>
          </w:p>
        </w:tc>
        <w:tc>
          <w:tcPr>
            <w:tcW w:type="dxa" w:w="6960"/>
            <w:tcBorders>
              <w:top w:val="single" w:color="DDE3EF" w:sz="1"/>
              <w:left w:val="single" w:color="DDE3EF" w:sz="1"/>
              <w:bottom w:val="single" w:color="DDE3EF" w:sz="1"/>
              <w:right w:val="single" w:color="DDE3EF" w:sz="1"/>
            </w:tcBorders>
            <w:shd w:fill="EBF0FA" w:val="clear"/>
            <w:tcMar>
              <w:top w:type="dxa" w:w="80"/>
              <w:left w:type="dxa" w:w="120"/>
              <w:bottom w:type="dxa" w:w="240"/>
              <w:right w:type="dxa" w:w="80"/>
            </w:tcMar>
          </w:tcPr>
          <w:p>
            <w:r>
              <w:rPr>
                <w:rFonts w:ascii="Arial" w:cs="Arial" w:eastAsia="Arial" w:hAnsi="Arial"/>
                <w:i w:val="false"/>
                <w:iCs w:val="false"/>
                <w:color w:val="5A6A8A"/>
                <w:sz w:val="20"/>
                <w:szCs w:val="20"/>
              </w:rPr>
              <w:t xml:space="preserve"/>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Requested End Date (if temporary)</w:t>
            </w:r>
          </w:p>
        </w:tc>
        <w:tc>
          <w:tcPr>
            <w:tcW w:type="dxa" w:w="6960"/>
            <w:tcBorders>
              <w:top w:val="single" w:color="DDE3EF" w:sz="1"/>
              <w:left w:val="single" w:color="DDE3EF" w:sz="1"/>
              <w:bottom w:val="single" w:color="DDE3EF" w:sz="1"/>
              <w:right w:val="single" w:color="DDE3EF" w:sz="1"/>
            </w:tcBorders>
            <w:shd w:fill="FFFFFF" w:val="clear"/>
            <w:tcMar>
              <w:top w:type="dxa" w:w="80"/>
              <w:left w:type="dxa" w:w="120"/>
              <w:bottom w:type="dxa" w:w="240"/>
              <w:right w:type="dxa" w:w="80"/>
            </w:tcMar>
          </w:tcPr>
          <w:p>
            <w:r>
              <w:rPr>
                <w:rFonts w:ascii="Arial" w:cs="Arial" w:eastAsia="Arial" w:hAnsi="Arial"/>
                <w:i w:val="false"/>
                <w:iCs w:val="false"/>
                <w:color w:val="5A6A8A"/>
                <w:sz w:val="20"/>
                <w:szCs w:val="20"/>
              </w:rPr>
              <w:t xml:space="preserve"/>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Manager Approval</w:t>
            </w:r>
          </w:p>
        </w:tc>
        <w:tc>
          <w:tcPr>
            <w:tcW w:type="dxa" w:w="6960"/>
            <w:tcBorders>
              <w:top w:val="single" w:color="DDE3EF" w:sz="1"/>
              <w:left w:val="single" w:color="DDE3EF" w:sz="1"/>
              <w:bottom w:val="single" w:color="DDE3EF" w:sz="1"/>
              <w:right w:val="single" w:color="DDE3EF" w:sz="1"/>
            </w:tcBorders>
            <w:shd w:fill="EBF0FA" w:val="clear"/>
            <w:tcMar>
              <w:top w:type="dxa" w:w="80"/>
              <w:left w:type="dxa" w:w="120"/>
              <w:bottom w:type="dxa" w:w="240"/>
              <w:right w:type="dxa" w:w="80"/>
            </w:tcMar>
          </w:tcPr>
          <w:p>
            <w:r>
              <w:rPr>
                <w:rFonts w:ascii="Arial" w:cs="Arial" w:eastAsia="Arial" w:hAnsi="Arial"/>
                <w:i/>
                <w:iCs/>
                <w:color w:val="5A6A8A"/>
                <w:sz w:val="20"/>
                <w:szCs w:val="20"/>
              </w:rPr>
              <w:t xml:space="preserve">Signature &amp; Date:</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IT Acknowledgement</w:t>
            </w:r>
          </w:p>
        </w:tc>
        <w:tc>
          <w:tcPr>
            <w:tcW w:type="dxa" w:w="6960"/>
            <w:tcBorders>
              <w:top w:val="single" w:color="DDE3EF" w:sz="1"/>
              <w:left w:val="single" w:color="DDE3EF" w:sz="1"/>
              <w:bottom w:val="single" w:color="DDE3EF" w:sz="1"/>
              <w:right w:val="single" w:color="DDE3EF" w:sz="1"/>
            </w:tcBorders>
            <w:shd w:fill="FFFFFF" w:val="clear"/>
            <w:tcMar>
              <w:top w:type="dxa" w:w="80"/>
              <w:left w:type="dxa" w:w="120"/>
              <w:bottom w:type="dxa" w:w="240"/>
              <w:right w:type="dxa" w:w="80"/>
            </w:tcMar>
          </w:tcPr>
          <w:p>
            <w:r>
              <w:rPr>
                <w:rFonts w:ascii="Arial" w:cs="Arial" w:eastAsia="Arial" w:hAnsi="Arial"/>
                <w:i w:val="false"/>
                <w:iCs w:val="false"/>
                <w:color w:val="5A6A8A"/>
                <w:sz w:val="20"/>
                <w:szCs w:val="20"/>
              </w:rPr>
              <w:t xml:space="preserve"/>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CISO/vCISO Approval (if privileged)</w:t>
            </w:r>
          </w:p>
        </w:tc>
        <w:tc>
          <w:tcPr>
            <w:tcW w:type="dxa" w:w="6960"/>
            <w:tcBorders>
              <w:top w:val="single" w:color="DDE3EF" w:sz="1"/>
              <w:left w:val="single" w:color="DDE3EF" w:sz="1"/>
              <w:bottom w:val="single" w:color="DDE3EF" w:sz="1"/>
              <w:right w:val="single" w:color="DDE3EF" w:sz="1"/>
            </w:tcBorders>
            <w:shd w:fill="EBF0FA" w:val="clear"/>
            <w:tcMar>
              <w:top w:type="dxa" w:w="80"/>
              <w:left w:type="dxa" w:w="120"/>
              <w:bottom w:type="dxa" w:w="240"/>
              <w:right w:type="dxa" w:w="80"/>
            </w:tcMar>
          </w:tcPr>
          <w:p>
            <w:r>
              <w:rPr>
                <w:rFonts w:ascii="Arial" w:cs="Arial" w:eastAsia="Arial" w:hAnsi="Arial"/>
                <w:i/>
                <w:iCs/>
                <w:color w:val="5A6A8A"/>
                <w:sz w:val="20"/>
                <w:szCs w:val="20"/>
              </w:rPr>
              <w:t xml:space="preserve">Signature &amp; Date:</w:t>
            </w:r>
          </w:p>
        </w:tc>
      </w:tr>
    </w:tbl>
    <w:p>
      <w:pPr>
        <w:spacing w:after="160"/>
      </w:pPr>
    </w:p>
    <w:p>
      <w:r>
        <w:br w:type="page"/>
      </w:r>
    </w:p>
    <w:p>
      <w:pPr>
        <w:pStyle w:val="Heading1"/>
        <w:spacing w:after="120" w:before="320"/>
      </w:pPr>
      <w:r>
        <w:rPr>
          <w:rFonts w:ascii="Arial" w:cs="Arial" w:eastAsia="Arial" w:hAnsi="Arial"/>
          <w:b/>
          <w:bCs/>
          <w:color w:val="152168"/>
          <w:sz w:val="28"/>
          <w:szCs w:val="28"/>
        </w:rPr>
        <w:t xml:space="preserve">Appendix B:  Termination / De-provisioning Checklist</w:t>
      </w:r>
    </w:p>
    <w:p>
      <w:pPr>
        <w:spacing w:after="80"/>
      </w:pPr>
      <w:r>
        <w:rPr>
          <w:rFonts w:ascii="Arial" w:cs="Arial" w:eastAsia="Arial" w:hAnsi="Arial"/>
          <w:b/>
          <w:bCs/>
          <w:color w:val="1A2340"/>
          <w:sz w:val="22"/>
          <w:szCs w:val="22"/>
        </w:rPr>
        <w:t xml:space="preserve">Employee Name: </w:t>
      </w:r>
      <w:r>
        <w:rPr>
          <w:rFonts w:ascii="Arial" w:cs="Arial" w:eastAsia="Arial" w:hAnsi="Arial"/>
          <w:color w:val="1A2340"/>
          <w:sz w:val="22"/>
          <w:szCs w:val="22"/>
        </w:rPr>
        <w:t xml:space="preserve"/>
      </w:r>
    </w:p>
    <w:p>
      <w:pPr>
        <w:spacing w:after="80"/>
      </w:pPr>
      <w:r>
        <w:rPr>
          <w:rFonts w:ascii="Arial" w:cs="Arial" w:eastAsia="Arial" w:hAnsi="Arial"/>
          <w:b/>
          <w:bCs/>
          <w:color w:val="1A2340"/>
          <w:sz w:val="22"/>
          <w:szCs w:val="22"/>
        </w:rPr>
        <w:t xml:space="preserve">Termination Date: </w:t>
      </w:r>
      <w:r>
        <w:rPr>
          <w:rFonts w:ascii="Arial" w:cs="Arial" w:eastAsia="Arial" w:hAnsi="Arial"/>
          <w:color w:val="1A2340"/>
          <w:sz w:val="22"/>
          <w:szCs w:val="22"/>
        </w:rPr>
        <w:t xml:space="preserve"/>
      </w:r>
    </w:p>
    <w:p>
      <w:pPr>
        <w:spacing w:after="80"/>
      </w:pPr>
      <w:r>
        <w:rPr>
          <w:rFonts w:ascii="Arial" w:cs="Arial" w:eastAsia="Arial" w:hAnsi="Arial"/>
          <w:b/>
          <w:bCs/>
          <w:color w:val="1A2340"/>
          <w:sz w:val="22"/>
          <w:szCs w:val="22"/>
        </w:rPr>
        <w:t xml:space="preserve">Last Working Day: </w:t>
      </w:r>
      <w:r>
        <w:rPr>
          <w:rFonts w:ascii="Arial" w:cs="Arial" w:eastAsia="Arial" w:hAnsi="Arial"/>
          <w:color w:val="1A2340"/>
          <w:sz w:val="22"/>
          <w:szCs w:val="22"/>
        </w:rPr>
        <w:t xml:space="preserve"/>
      </w:r>
    </w:p>
    <w:p>
      <w:pPr>
        <w:spacing w:after="80"/>
      </w:pPr>
      <w:r>
        <w:rPr>
          <w:rFonts w:ascii="Arial" w:cs="Arial" w:eastAsia="Arial" w:hAnsi="Arial"/>
          <w:b/>
          <w:bCs/>
          <w:color w:val="1A2340"/>
          <w:sz w:val="22"/>
          <w:szCs w:val="22"/>
        </w:rPr>
        <w:t xml:space="preserve">Completed by (IT): </w:t>
      </w:r>
      <w:r>
        <w:rPr>
          <w:rFonts w:ascii="Arial" w:cs="Arial" w:eastAsia="Arial" w:hAnsi="Arial"/>
          <w:color w:val="1A2340"/>
          <w:sz w:val="22"/>
          <w:szCs w:val="22"/>
        </w:rPr>
        <w:t xml:space="preserve"/>
      </w:r>
    </w:p>
    <w:p>
      <w:pPr>
        <w:spacing w:after="80"/>
      </w:pPr>
      <w:r>
        <w:rPr>
          <w:rFonts w:ascii="Arial" w:cs="Arial" w:eastAsia="Arial" w:hAnsi="Arial"/>
          <w:b/>
          <w:bCs/>
          <w:color w:val="1A2340"/>
          <w:sz w:val="22"/>
          <w:szCs w:val="22"/>
        </w:rPr>
        <w:t xml:space="preserve">Verified by (Manager): </w:t>
      </w:r>
      <w:r>
        <w:rPr>
          <w:rFonts w:ascii="Arial" w:cs="Arial" w:eastAsia="Arial" w:hAnsi="Arial"/>
          <w:color w:val="1A2340"/>
          <w:sz w:val="22"/>
          <w:szCs w:val="22"/>
        </w:rPr>
        <w:t xml:space="preserv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000"/>
        <w:gridCol w:w="2400"/>
        <w:gridCol w:w="1000"/>
      </w:tblGrid>
      <w:tr>
        <w:trPr>
          <w:tblHeader/>
        </w:trPr>
        <w:tc>
          <w:tcPr>
            <w:tcW w:type="dxa" w:w="39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Action Item</w:t>
            </w:r>
          </w:p>
        </w:tc>
        <w:tc>
          <w:tcPr>
            <w:tcW w:type="dxa" w:w="2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Responsible Party</w:t>
            </w:r>
          </w:p>
        </w:tc>
        <w:tc>
          <w:tcPr>
            <w:tcW w:type="dxa" w:w="24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Timeline</w:t>
            </w:r>
          </w:p>
        </w:tc>
        <w:tc>
          <w:tcPr>
            <w:tcW w:type="dxa" w:w="1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Done</w:t>
            </w:r>
          </w:p>
        </w:tc>
      </w:tr>
      <w:tr>
        <w:tc>
          <w:tcPr>
            <w:tcW w:type="dxa" w:w="39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Disable all Active Directory / SSO accounts</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IT Administrator</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Within 1 hour of termination</w:t>
            </w:r>
          </w:p>
        </w:tc>
        <w:tc>
          <w:tcPr>
            <w:tcW w:type="dxa" w:w="1000"/>
            <w:tcBorders>
              <w:top w:val="single" w:color="DDE3EF" w:sz="1"/>
              <w:left w:val="single" w:color="DDE3EF" w:sz="1"/>
              <w:bottom w:val="single" w:color="DDE3EF" w:sz="1"/>
              <w:right w:val="single" w:color="DDE3EF" w:sz="1"/>
            </w:tcBorders>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Revoke VPN and remote access certificates</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IT Administrator</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Within 1 hour</w:t>
            </w:r>
          </w:p>
        </w:tc>
        <w:tc>
          <w:tcPr>
            <w:tcW w:type="dxa" w:w="1000"/>
            <w:tcBorders>
              <w:top w:val="single" w:color="DDE3EF" w:sz="1"/>
              <w:left w:val="single" w:color="DDE3EF" w:sz="1"/>
              <w:bottom w:val="single" w:color="DDE3EF" w:sz="1"/>
              <w:right w:val="single" w:color="DDE3EF" w:sz="1"/>
            </w:tcBorders>
            <w:shd w:fill="EBF0FA"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Remove from all cloud service accounts (Microsoft 365, Google Workspace, etc.)</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IT Administrator</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Within 4 hours</w:t>
            </w:r>
          </w:p>
        </w:tc>
        <w:tc>
          <w:tcPr>
            <w:tcW w:type="dxa" w:w="1000"/>
            <w:tcBorders>
              <w:top w:val="single" w:color="DDE3EF" w:sz="1"/>
              <w:left w:val="single" w:color="DDE3EF" w:sz="1"/>
              <w:bottom w:val="single" w:color="DDE3EF" w:sz="1"/>
              <w:right w:val="single" w:color="DDE3EF" w:sz="1"/>
            </w:tcBorders>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Revoke access to financial systems</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IT Administrator</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Within 4 hours</w:t>
            </w:r>
          </w:p>
        </w:tc>
        <w:tc>
          <w:tcPr>
            <w:tcW w:type="dxa" w:w="1000"/>
            <w:tcBorders>
              <w:top w:val="single" w:color="DDE3EF" w:sz="1"/>
              <w:left w:val="single" w:color="DDE3EF" w:sz="1"/>
              <w:bottom w:val="single" w:color="DDE3EF" w:sz="1"/>
              <w:right w:val="single" w:color="DDE3EF" w:sz="1"/>
            </w:tcBorders>
            <w:shd w:fill="EBF0FA"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Revoke physical access badges and PIN codes</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Facilities / IT</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Within 1 hour</w:t>
            </w:r>
          </w:p>
        </w:tc>
        <w:tc>
          <w:tcPr>
            <w:tcW w:type="dxa" w:w="1000"/>
            <w:tcBorders>
              <w:top w:val="single" w:color="DDE3EF" w:sz="1"/>
              <w:left w:val="single" w:color="DDE3EF" w:sz="1"/>
              <w:bottom w:val="single" w:color="DDE3EF" w:sz="1"/>
              <w:right w:val="single" w:color="DDE3EF" w:sz="1"/>
            </w:tcBorders>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Transfer ownership of files and data</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Manager / IT</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Within 24 hours</w:t>
            </w:r>
          </w:p>
        </w:tc>
        <w:tc>
          <w:tcPr>
            <w:tcW w:type="dxa" w:w="1000"/>
            <w:tcBorders>
              <w:top w:val="single" w:color="DDE3EF" w:sz="1"/>
              <w:left w:val="single" w:color="DDE3EF" w:sz="1"/>
              <w:bottom w:val="single" w:color="DDE3EF" w:sz="1"/>
              <w:right w:val="single" w:color="DDE3EF" w:sz="1"/>
            </w:tcBorders>
            <w:shd w:fill="EBF0FA"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Recover all organization-owned devices</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HR / IT</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On termination date</w:t>
            </w:r>
          </w:p>
        </w:tc>
        <w:tc>
          <w:tcPr>
            <w:tcW w:type="dxa" w:w="1000"/>
            <w:tcBorders>
              <w:top w:val="single" w:color="DDE3EF" w:sz="1"/>
              <w:left w:val="single" w:color="DDE3EF" w:sz="1"/>
              <w:bottom w:val="single" w:color="DDE3EF" w:sz="1"/>
              <w:right w:val="single" w:color="DDE3EF" w:sz="1"/>
            </w:tcBorders>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Disable / decommission personal certificates or keys</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IT Administrator</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Within 24 hours</w:t>
            </w:r>
          </w:p>
        </w:tc>
        <w:tc>
          <w:tcPr>
            <w:tcW w:type="dxa" w:w="1000"/>
            <w:tcBorders>
              <w:top w:val="single" w:color="DDE3EF" w:sz="1"/>
              <w:left w:val="single" w:color="DDE3EF" w:sz="1"/>
              <w:bottom w:val="single" w:color="DDE3EF" w:sz="1"/>
              <w:right w:val="single" w:color="DDE3EF" w:sz="1"/>
            </w:tcBorders>
            <w:shd w:fill="EBF0FA"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Remove from email distribution lists and shared mailboxes</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IT Administrator</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Within 24 hours</w:t>
            </w:r>
          </w:p>
        </w:tc>
        <w:tc>
          <w:tcPr>
            <w:tcW w:type="dxa" w:w="1000"/>
            <w:tcBorders>
              <w:top w:val="single" w:color="DDE3EF" w:sz="1"/>
              <w:left w:val="single" w:color="DDE3EF" w:sz="1"/>
              <w:bottom w:val="single" w:color="DDE3EF" w:sz="1"/>
              <w:right w:val="single" w:color="DDE3EF" w:sz="1"/>
            </w:tcBorders>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Notify relevant vendors of personnel change (if external access granted)</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Manager / CISO</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Within 3 business days</w:t>
            </w:r>
          </w:p>
        </w:tc>
        <w:tc>
          <w:tcPr>
            <w:tcW w:type="dxa" w:w="1000"/>
            <w:tcBorders>
              <w:top w:val="single" w:color="DDE3EF" w:sz="1"/>
              <w:left w:val="single" w:color="DDE3EF" w:sz="1"/>
              <w:bottom w:val="single" w:color="DDE3EF" w:sz="1"/>
              <w:right w:val="single" w:color="DDE3EF" w:sz="1"/>
            </w:tcBorders>
            <w:shd w:fill="EBF0FA"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Archive mailbox and set out-of-office if required</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IT Administrator</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Within 24 hours</w:t>
            </w:r>
          </w:p>
        </w:tc>
        <w:tc>
          <w:tcPr>
            <w:tcW w:type="dxa" w:w="1000"/>
            <w:tcBorders>
              <w:top w:val="single" w:color="DDE3EF" w:sz="1"/>
              <w:left w:val="single" w:color="DDE3EF" w:sz="1"/>
              <w:bottom w:val="single" w:color="DDE3EF" w:sz="1"/>
              <w:right w:val="single" w:color="DDE3EF" w:sz="1"/>
            </w:tcBorders>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39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Document completion in access management system</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IT Administrator</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Within 24 hours</w:t>
            </w:r>
          </w:p>
        </w:tc>
        <w:tc>
          <w:tcPr>
            <w:tcW w:type="dxa" w:w="1000"/>
            <w:tcBorders>
              <w:top w:val="single" w:color="DDE3EF" w:sz="1"/>
              <w:left w:val="single" w:color="DDE3EF" w:sz="1"/>
              <w:bottom w:val="single" w:color="DDE3EF" w:sz="1"/>
              <w:right w:val="single" w:color="DDE3EF" w:sz="1"/>
            </w:tcBorders>
            <w:shd w:fill="EBF0FA" w:val="clear"/>
            <w:tcMar>
              <w:top w:type="dxa" w:w="60"/>
              <w:left w:type="dxa" w:w="80"/>
              <w:bottom w:type="dxa" w:w="60"/>
              <w:right w:type="dxa" w:w="80"/>
            </w:tcMar>
          </w:tcPr>
          <w:p>
            <w:r>
              <w:rPr>
                <w:rFonts w:ascii="Arial" w:cs="Arial" w:eastAsia="Arial" w:hAnsi="Arial"/>
                <w:sz w:val="20"/>
                <w:szCs w:val="20"/>
              </w:rPr>
              <w:t xml:space="preserve">[ ]</w:t>
            </w:r>
          </w:p>
        </w:tc>
      </w:tr>
    </w:tbl>
    <w:p>
      <w:pPr>
        <w:spacing w:after="80"/>
      </w:pPr>
    </w:p>
    <w:p>
      <w:pPr>
        <w:spacing w:after="160"/>
      </w:pPr>
      <w:r>
        <w:rPr>
          <w:rFonts w:ascii="Arial" w:cs="Arial" w:eastAsia="Arial" w:hAnsi="Arial"/>
          <w:i/>
          <w:iCs/>
          <w:color w:val="1A2340"/>
          <w:sz w:val="22"/>
          <w:szCs w:val="22"/>
        </w:rPr>
        <w:t xml:space="preserve">This checklist must be retained for a minimum of three (3) years and filed in the employee's off-boarding record.</w:t>
      </w:r>
    </w:p>
    <w:p>
      <w:pPr>
        <w:spacing w:after="160"/>
      </w:pPr>
    </w:p>
    <w:p>
      <w:r>
        <w:br w:type="page"/>
      </w:r>
    </w:p>
    <w:p>
      <w:pPr>
        <w:pStyle w:val="Heading1"/>
        <w:spacing w:after="120" w:before="320"/>
      </w:pPr>
      <w:r>
        <w:rPr>
          <w:rFonts w:ascii="Arial" w:cs="Arial" w:eastAsia="Arial" w:hAnsi="Arial"/>
          <w:b/>
          <w:bCs/>
          <w:color w:val="152168"/>
          <w:sz w:val="28"/>
          <w:szCs w:val="28"/>
        </w:rPr>
        <w:t xml:space="preserve">Appendix C:  Semi-Annual Access Review Checklist</w:t>
      </w:r>
    </w:p>
    <w:p>
      <w:pPr>
        <w:spacing w:after="80"/>
      </w:pPr>
      <w:r>
        <w:rPr>
          <w:rFonts w:ascii="Arial" w:cs="Arial" w:eastAsia="Arial" w:hAnsi="Arial"/>
          <w:b/>
          <w:bCs/>
          <w:color w:val="1A2340"/>
          <w:sz w:val="22"/>
          <w:szCs w:val="22"/>
        </w:rPr>
        <w:t xml:space="preserve">Review Period: </w:t>
      </w:r>
      <w:r>
        <w:rPr>
          <w:rFonts w:ascii="Arial" w:cs="Arial" w:eastAsia="Arial" w:hAnsi="Arial"/>
          <w:color w:val="1A2340"/>
          <w:sz w:val="22"/>
          <w:szCs w:val="22"/>
        </w:rPr>
        <w:t xml:space="preserve"/>
      </w:r>
    </w:p>
    <w:p>
      <w:pPr>
        <w:spacing w:after="80"/>
      </w:pPr>
      <w:r>
        <w:rPr>
          <w:rFonts w:ascii="Arial" w:cs="Arial" w:eastAsia="Arial" w:hAnsi="Arial"/>
          <w:b/>
          <w:bCs/>
          <w:color w:val="1A2340"/>
          <w:sz w:val="22"/>
          <w:szCs w:val="22"/>
        </w:rPr>
        <w:t xml:space="preserve">Reviewed by (Manager): </w:t>
      </w:r>
      <w:r>
        <w:rPr>
          <w:rFonts w:ascii="Arial" w:cs="Arial" w:eastAsia="Arial" w:hAnsi="Arial"/>
          <w:color w:val="1A2340"/>
          <w:sz w:val="22"/>
          <w:szCs w:val="22"/>
        </w:rPr>
        <w:t xml:space="preserve"/>
      </w:r>
    </w:p>
    <w:p>
      <w:pPr>
        <w:spacing w:after="80"/>
      </w:pPr>
      <w:r>
        <w:rPr>
          <w:rFonts w:ascii="Arial" w:cs="Arial" w:eastAsia="Arial" w:hAnsi="Arial"/>
          <w:b/>
          <w:bCs/>
          <w:color w:val="1A2340"/>
          <w:sz w:val="22"/>
          <w:szCs w:val="22"/>
        </w:rPr>
        <w:t xml:space="preserve">Departments Covered: </w:t>
      </w:r>
      <w:r>
        <w:rPr>
          <w:rFonts w:ascii="Arial" w:cs="Arial" w:eastAsia="Arial" w:hAnsi="Arial"/>
          <w:color w:val="1A2340"/>
          <w:sz w:val="22"/>
          <w:szCs w:val="22"/>
        </w:rPr>
        <w:t xml:space="preserve"/>
      </w:r>
    </w:p>
    <w:p>
      <w:pPr>
        <w:spacing w:after="80"/>
      </w:pPr>
      <w:r>
        <w:rPr>
          <w:rFonts w:ascii="Arial" w:cs="Arial" w:eastAsia="Arial" w:hAnsi="Arial"/>
          <w:b/>
          <w:bCs/>
          <w:color w:val="1A2340"/>
          <w:sz w:val="22"/>
          <w:szCs w:val="22"/>
        </w:rPr>
        <w:t xml:space="preserve">Date Completed: </w:t>
      </w:r>
      <w:r>
        <w:rPr>
          <w:rFonts w:ascii="Arial" w:cs="Arial" w:eastAsia="Arial" w:hAnsi="Arial"/>
          <w:color w:val="1A2340"/>
          <w:sz w:val="22"/>
          <w:szCs w:val="22"/>
        </w:rPr>
        <w:t xml:space="preserve"/>
      </w:r>
    </w:p>
    <w:p>
      <w:pPr>
        <w:spacing w:after="80"/>
      </w:pPr>
      <w:r>
        <w:rPr>
          <w:rFonts w:ascii="Arial" w:cs="Arial" w:eastAsia="Arial" w:hAnsi="Arial"/>
          <w:b/>
          <w:bCs/>
          <w:color w:val="1A2340"/>
          <w:sz w:val="22"/>
          <w:szCs w:val="22"/>
        </w:rPr>
        <w:t xml:space="preserve">Submitted to (CISO/vCISO): </w:t>
      </w:r>
      <w:r>
        <w:rPr>
          <w:rFonts w:ascii="Arial" w:cs="Arial" w:eastAsia="Arial" w:hAnsi="Arial"/>
          <w:color w:val="1A2340"/>
          <w:sz w:val="22"/>
          <w:szCs w:val="22"/>
        </w:rPr>
        <w:t xml:space="preserve"/>
      </w:r>
    </w:p>
    <w:p>
      <w:pPr>
        <w:spacing w:after="80"/>
      </w:pPr>
    </w:p>
    <w:p>
      <w:pPr>
        <w:spacing w:after="80"/>
      </w:pPr>
      <w:r>
        <w:rPr>
          <w:rFonts w:ascii="Arial" w:cs="Arial" w:eastAsia="Arial" w:hAnsi="Arial"/>
          <w:color w:val="1A2340"/>
          <w:sz w:val="20"/>
          <w:szCs w:val="20"/>
        </w:rPr>
        <w:t xml:space="preserve">1.  [ ]  Obtain current user access list for all systems from IT</w:t>
      </w:r>
    </w:p>
    <w:p>
      <w:pPr>
        <w:spacing w:after="80"/>
      </w:pPr>
      <w:r>
        <w:rPr>
          <w:rFonts w:ascii="Arial" w:cs="Arial" w:eastAsia="Arial" w:hAnsi="Arial"/>
          <w:color w:val="1A2340"/>
          <w:sz w:val="20"/>
          <w:szCs w:val="20"/>
        </w:rPr>
        <w:t xml:space="preserve">2.  [ ]  Confirm each user still requires access (role change check with HR)</w:t>
      </w:r>
    </w:p>
    <w:p>
      <w:pPr>
        <w:spacing w:after="80"/>
      </w:pPr>
      <w:r>
        <w:rPr>
          <w:rFonts w:ascii="Arial" w:cs="Arial" w:eastAsia="Arial" w:hAnsi="Arial"/>
          <w:color w:val="1A2340"/>
          <w:sz w:val="20"/>
          <w:szCs w:val="20"/>
        </w:rPr>
        <w:t xml:space="preserve">3.  [ ]  Confirm access level is appropriate and not over-provisioned</w:t>
      </w:r>
    </w:p>
    <w:p>
      <w:pPr>
        <w:spacing w:after="80"/>
      </w:pPr>
      <w:r>
        <w:rPr>
          <w:rFonts w:ascii="Arial" w:cs="Arial" w:eastAsia="Arial" w:hAnsi="Arial"/>
          <w:color w:val="1A2340"/>
          <w:sz w:val="20"/>
          <w:szCs w:val="20"/>
        </w:rPr>
        <w:t xml:space="preserve">4.  [ ]  Flag any accounts that have not been used in 90+ days</w:t>
      </w:r>
    </w:p>
    <w:p>
      <w:pPr>
        <w:spacing w:after="80"/>
      </w:pPr>
      <w:r>
        <w:rPr>
          <w:rFonts w:ascii="Arial" w:cs="Arial" w:eastAsia="Arial" w:hAnsi="Arial"/>
          <w:color w:val="1A2340"/>
          <w:sz w:val="20"/>
          <w:szCs w:val="20"/>
        </w:rPr>
        <w:t xml:space="preserve">5.  [ ]  Identify any former employees with residual access</w:t>
      </w:r>
    </w:p>
    <w:p>
      <w:pPr>
        <w:spacing w:after="80"/>
      </w:pPr>
      <w:r>
        <w:rPr>
          <w:rFonts w:ascii="Arial" w:cs="Arial" w:eastAsia="Arial" w:hAnsi="Arial"/>
          <w:color w:val="1A2340"/>
          <w:sz w:val="20"/>
          <w:szCs w:val="20"/>
        </w:rPr>
        <w:t xml:space="preserve">6.  [ ]  Verify all privileged accounts have named owners</w:t>
      </w:r>
    </w:p>
    <w:p>
      <w:pPr>
        <w:spacing w:after="80"/>
      </w:pPr>
      <w:r>
        <w:rPr>
          <w:rFonts w:ascii="Arial" w:cs="Arial" w:eastAsia="Arial" w:hAnsi="Arial"/>
          <w:color w:val="1A2340"/>
          <w:sz w:val="20"/>
          <w:szCs w:val="20"/>
        </w:rPr>
        <w:t xml:space="preserve">7.  [ ]  Confirm MFA is enabled on all required accounts</w:t>
      </w:r>
    </w:p>
    <w:p>
      <w:pPr>
        <w:spacing w:after="80"/>
      </w:pPr>
      <w:r>
        <w:rPr>
          <w:rFonts w:ascii="Arial" w:cs="Arial" w:eastAsia="Arial" w:hAnsi="Arial"/>
          <w:color w:val="1A2340"/>
          <w:sz w:val="20"/>
          <w:szCs w:val="20"/>
        </w:rPr>
        <w:t xml:space="preserve">8.  [ ]  Confirm service accounts are documented and owned</w:t>
      </w:r>
    </w:p>
    <w:p>
      <w:pPr>
        <w:spacing w:after="80"/>
      </w:pPr>
      <w:r>
        <w:rPr>
          <w:rFonts w:ascii="Arial" w:cs="Arial" w:eastAsia="Arial" w:hAnsi="Arial"/>
          <w:color w:val="1A2340"/>
          <w:sz w:val="20"/>
          <w:szCs w:val="20"/>
        </w:rPr>
        <w:t xml:space="preserve">9.  [ ]  Remove or adjust any access that is no longer appropriate</w:t>
      </w:r>
    </w:p>
    <w:p>
      <w:pPr>
        <w:spacing w:after="80"/>
      </w:pPr>
      <w:r>
        <w:rPr>
          <w:rFonts w:ascii="Arial" w:cs="Arial" w:eastAsia="Arial" w:hAnsi="Arial"/>
          <w:color w:val="1A2340"/>
          <w:sz w:val="20"/>
          <w:szCs w:val="20"/>
        </w:rPr>
        <w:t xml:space="preserve">10.  [ ]  Document all changes made as a result of this review</w:t>
      </w:r>
    </w:p>
    <w:p>
      <w:pPr>
        <w:spacing w:after="80"/>
      </w:pPr>
      <w:r>
        <w:rPr>
          <w:rFonts w:ascii="Arial" w:cs="Arial" w:eastAsia="Arial" w:hAnsi="Arial"/>
          <w:color w:val="1A2340"/>
          <w:sz w:val="20"/>
          <w:szCs w:val="20"/>
        </w:rPr>
        <w:t xml:space="preserve">11.  [ ]  Submit signed review record to CISO / vCISO</w:t>
      </w:r>
    </w:p>
    <w:p>
      <w:pPr>
        <w:spacing w:after="80"/>
      </w:pPr>
      <w:r>
        <w:rPr>
          <w:rFonts w:ascii="Arial" w:cs="Arial" w:eastAsia="Arial" w:hAnsi="Arial"/>
          <w:color w:val="1A2340"/>
          <w:sz w:val="20"/>
          <w:szCs w:val="20"/>
        </w:rPr>
        <w:t xml:space="preserve">12.  [ ]  Record completion date and next review date</w:t>
      </w:r>
    </w:p>
    <w:p>
      <w:pPr>
        <w:spacing w:after="80"/>
      </w:pPr>
    </w:p>
    <w:p>
      <w:pPr>
        <w:spacing w:after="160"/>
      </w:pPr>
      <w:r>
        <w:rPr>
          <w:rFonts w:ascii="Arial" w:cs="Arial" w:eastAsia="Arial" w:hAnsi="Arial"/>
          <w:i/>
          <w:iCs/>
          <w:color w:val="1A2340"/>
          <w:sz w:val="22"/>
          <w:szCs w:val="22"/>
        </w:rPr>
        <w:t xml:space="preserve">Attach signed copy to access review record and file with IT.</w:t>
      </w:r>
    </w:p>
    <w:p>
      <w:r>
        <w:br w:type="page"/>
      </w:r>
    </w:p>
    <w:p>
      <w:pPr>
        <w:pStyle w:val="Heading1"/>
        <w:spacing w:after="120" w:before="320"/>
      </w:pPr>
      <w:r>
        <w:rPr>
          <w:rFonts w:ascii="Arial" w:cs="Arial" w:eastAsia="Arial" w:hAnsi="Arial"/>
          <w:b/>
          <w:bCs/>
          <w:color w:val="152168"/>
          <w:sz w:val="28"/>
          <w:szCs w:val="28"/>
        </w:rPr>
        <w:t xml:space="preserve">Appendix D:  Password / Passphrase Quick Reference Card</w:t>
      </w:r>
    </w:p>
    <w:p>
      <w:pPr>
        <w:spacing w:after="160"/>
      </w:pPr>
      <w:r>
        <w:rPr>
          <w:rFonts w:ascii="Arial" w:cs="Arial" w:eastAsia="Arial" w:hAnsi="Arial"/>
          <w:color w:val="1A2340"/>
          <w:sz w:val="22"/>
          <w:szCs w:val="22"/>
        </w:rPr>
        <w:t xml:space="preserve">This reference card may be printed and distributed to staff. It summarizes the password rules from Section 6.4 in plain language.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Rule</w:t>
            </w:r>
          </w:p>
        </w:tc>
        <w:tc>
          <w:tcPr>
            <w:tcW w:type="dxa" w:w="63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Requirement</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Minimum length</w:t>
            </w:r>
          </w:p>
        </w:tc>
        <w:tc>
          <w:tcPr>
            <w:tcW w:type="dxa" w:w="63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14 characters (20+ recommended for passphrases)</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Complexity</w:t>
            </w:r>
          </w:p>
        </w:tc>
        <w:tc>
          <w:tcPr>
            <w:tcW w:type="dxa" w:w="63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Mix of upper, lower, numbers, symbols - OR a passphrase of 4+ random words</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Reuse</w:t>
            </w:r>
          </w:p>
        </w:tc>
        <w:tc>
          <w:tcPr>
            <w:tcW w:type="dxa" w:w="63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Never reuse a password across systems; never reuse your last 12 passwords</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Sharing</w:t>
            </w:r>
          </w:p>
        </w:tc>
        <w:tc>
          <w:tcPr>
            <w:tcW w:type="dxa" w:w="63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Never share your password with anyone, including IT or management</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Storage</w:t>
            </w:r>
          </w:p>
        </w:tc>
        <w:tc>
          <w:tcPr>
            <w:tcW w:type="dxa" w:w="63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Use only an approved password manager - never write passwords down or store in plain text</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Account lockout</w:t>
            </w:r>
          </w:p>
        </w:tc>
        <w:tc>
          <w:tcPr>
            <w:tcW w:type="dxa" w:w="63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Account locks after 5 incorrect attempts - contact IT to unlock</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Expiry</w:t>
            </w:r>
          </w:p>
        </w:tc>
        <w:tc>
          <w:tcPr>
            <w:tcW w:type="dxa" w:w="63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Standard passwords: 90-day maximum. Passphrases 20+ characters: no mandatory expiry</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80"/>
            </w:tcMar>
          </w:tcPr>
          <w:p>
            <w:r>
              <w:rPr>
                <w:rFonts w:ascii="Arial" w:cs="Arial" w:eastAsia="Arial" w:hAnsi="Arial"/>
                <w:b/>
                <w:bCs/>
                <w:color w:val="152168"/>
                <w:sz w:val="20"/>
                <w:szCs w:val="20"/>
              </w:rPr>
              <w:t xml:space="preserve">Compromised password</w:t>
            </w:r>
          </w:p>
        </w:tc>
        <w:tc>
          <w:tcPr>
            <w:tcW w:type="dxa" w:w="63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Change immediately and report to IT if you suspect your credentials have been compromised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4"/>
              <w:bottom w:val="single" w:color="DDE3EF" w:sz="1"/>
              <w:right w:val="single" w:color="DDE3EF" w:sz="1"/>
            </w:tcBorders>
            <w:shd w:fill="EBF0FA" w:val="clear"/>
            <w:tcMar>
              <w:top w:type="dxa" w:w="120"/>
              <w:left w:type="dxa" w:w="180"/>
              <w:bottom w:type="dxa" w:w="120"/>
              <w:right w:type="dxa" w:w="180"/>
            </w:tcMar>
          </w:tcPr>
          <w:p>
            <w:pPr>
              <w:spacing w:after="60"/>
            </w:pPr>
            <w:r>
              <w:rPr>
                <w:rFonts w:ascii="Arial" w:cs="Arial" w:eastAsia="Arial" w:hAnsi="Arial"/>
                <w:color w:val="1A2340"/>
                <w:sz w:val="20"/>
                <w:szCs w:val="20"/>
              </w:rPr>
              <w:t xml:space="preserve">APPROVED PASSWORD MANAGERS (confirm current list with your IT team):</w:t>
            </w:r>
          </w:p>
          <w:p>
            <w:pPr>
              <w:spacing w:after="60"/>
            </w:pPr>
            <w:r>
              <w:rPr>
                <w:rFonts w:ascii="Arial" w:cs="Arial" w:eastAsia="Arial" w:hAnsi="Arial"/>
                <w:color w:val="1A2340"/>
                <w:sz w:val="20"/>
                <w:szCs w:val="20"/>
              </w:rPr>
              <w:t xml:space="preserve">  1Password  |  Bitwarden  |  Keeper  |  Dashlane  |  KeePass (self-hosted)</w:t>
            </w:r>
          </w:p>
          <w:p>
            <w:pPr>
              <w:spacing w:after="60"/>
            </w:pPr>
            <w:r>
              <w:rPr>
                <w:rFonts w:ascii="Arial" w:cs="Arial" w:eastAsia="Arial" w:hAnsi="Arial"/>
                <w:color w:val="1A2340"/>
                <w:sz w:val="20"/>
                <w:szCs w:val="20"/>
              </w:rPr>
              <w:t xml:space="preserve"/>
            </w:r>
          </w:p>
          <w:p>
            <w:pPr>
              <w:spacing w:after="60"/>
            </w:pPr>
            <w:r>
              <w:rPr>
                <w:rFonts w:ascii="Arial" w:cs="Arial" w:eastAsia="Arial" w:hAnsi="Arial"/>
                <w:color w:val="1A2340"/>
                <w:sz w:val="20"/>
                <w:szCs w:val="20"/>
              </w:rPr>
              <w:t xml:space="preserve">Never store passwords in: browser autofill alone, spreadsheets, plain-text files, sticky notes, or email.</w:t>
            </w:r>
          </w:p>
        </w:tc>
      </w:tr>
    </w:tbl>
    <w:p>
      <w:pPr>
        <w:spacing w:after="160"/>
      </w:pPr>
    </w:p>
    <w:p>
      <w:r>
        <w:br w:type="page"/>
      </w:r>
    </w:p>
    <w:p>
      <w:pPr>
        <w:pStyle w:val="Heading1"/>
        <w:spacing w:after="120" w:before="320"/>
      </w:pPr>
      <w:r>
        <w:rPr>
          <w:rFonts w:ascii="Arial" w:cs="Arial" w:eastAsia="Arial" w:hAnsi="Arial"/>
          <w:b/>
          <w:bCs/>
          <w:color w:val="152168"/>
          <w:sz w:val="28"/>
          <w:szCs w:val="28"/>
        </w:rPr>
        <w:t xml:space="preserve">Appendix E:  Framework Mapping</w:t>
      </w:r>
    </w:p>
    <w:p>
      <w:pPr>
        <w:spacing w:after="160"/>
      </w:pPr>
      <w:r>
        <w:rPr>
          <w:rFonts w:ascii="Arial" w:cs="Arial" w:eastAsia="Arial" w:hAnsi="Arial"/>
          <w:color w:val="1A2340"/>
          <w:sz w:val="22"/>
          <w:szCs w:val="22"/>
        </w:rPr>
        <w:t xml:space="preserve">The table below maps each section of this policy to corresponding controls in NIST CSF 2.0, ISO/IEC 27001:2022, and NIST SP 800-53 Rev 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160"/>
        <w:gridCol w:w="2400"/>
      </w:tblGrid>
      <w:tr>
        <w:trPr>
          <w:tblHeader/>
        </w:trPr>
        <w:tc>
          <w:tcPr>
            <w:tcW w:type="dxa" w:w="2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Policy Section</w:t>
            </w:r>
          </w:p>
        </w:tc>
        <w:tc>
          <w:tcPr>
            <w:tcW w:type="dxa" w:w="2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NIST CSF 2.0</w:t>
            </w:r>
          </w:p>
        </w:tc>
        <w:tc>
          <w:tcPr>
            <w:tcW w:type="dxa" w:w="21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ISO/IEC 27001:2022</w:t>
            </w:r>
          </w:p>
        </w:tc>
        <w:tc>
          <w:tcPr>
            <w:tcW w:type="dxa" w:w="24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NIST SP 800-53 Rev 5</w:t>
            </w:r>
          </w:p>
        </w:tc>
      </w:tr>
      <w:tr>
        <w:tc>
          <w:tcPr>
            <w:tcW w:type="dxa" w:w="28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6.1 Identity Lifecycle Management</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PR.AA-01, PR.AA-05</w:t>
            </w:r>
          </w:p>
        </w:tc>
        <w:tc>
          <w:tcPr>
            <w:tcW w:type="dxa" w:w="21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A.5.16, A.5.18</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AC-2, AC-3</w:t>
            </w:r>
          </w:p>
        </w:tc>
      </w:tr>
      <w:tr>
        <w:tc>
          <w:tcPr>
            <w:tcW w:type="dxa" w:w="28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6.2 Least Privilege</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PR.AA-05</w:t>
            </w:r>
          </w:p>
        </w:tc>
        <w:tc>
          <w:tcPr>
            <w:tcW w:type="dxa" w:w="21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A.5.15</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AC-6</w:t>
            </w:r>
          </w:p>
        </w:tc>
      </w:tr>
      <w:tr>
        <w:tc>
          <w:tcPr>
            <w:tcW w:type="dxa" w:w="28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6.3 Authentication Requirements</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PR.AA-01, PR.AA-02</w:t>
            </w:r>
          </w:p>
        </w:tc>
        <w:tc>
          <w:tcPr>
            <w:tcW w:type="dxa" w:w="21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A.8.5</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IA-2, IA-5</w:t>
            </w:r>
          </w:p>
        </w:tc>
      </w:tr>
      <w:tr>
        <w:tc>
          <w:tcPr>
            <w:tcW w:type="dxa" w:w="28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6.4 Password Standards</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PR.AA-01</w:t>
            </w:r>
          </w:p>
        </w:tc>
        <w:tc>
          <w:tcPr>
            <w:tcW w:type="dxa" w:w="21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A.5.17</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IA-5</w:t>
            </w:r>
          </w:p>
        </w:tc>
      </w:tr>
      <w:tr>
        <w:tc>
          <w:tcPr>
            <w:tcW w:type="dxa" w:w="28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6.5 Privileged Access Management</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PR.AA-05, PR.AA-06</w:t>
            </w:r>
          </w:p>
        </w:tc>
        <w:tc>
          <w:tcPr>
            <w:tcW w:type="dxa" w:w="21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A.8.2, A.8.18</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AC-2, AC-6, AC-17</w:t>
            </w:r>
          </w:p>
        </w:tc>
      </w:tr>
      <w:tr>
        <w:tc>
          <w:tcPr>
            <w:tcW w:type="dxa" w:w="28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6.6 Remote Access</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PR.AA-05</w:t>
            </w:r>
          </w:p>
        </w:tc>
        <w:tc>
          <w:tcPr>
            <w:tcW w:type="dxa" w:w="21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A.8.20</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AC-17</w:t>
            </w:r>
          </w:p>
        </w:tc>
      </w:tr>
      <w:tr>
        <w:tc>
          <w:tcPr>
            <w:tcW w:type="dxa" w:w="28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6.7 Access Reviews</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PR.AA-05</w:t>
            </w:r>
          </w:p>
        </w:tc>
        <w:tc>
          <w:tcPr>
            <w:tcW w:type="dxa" w:w="21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A.5.18</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AC-2</w:t>
            </w:r>
          </w:p>
        </w:tc>
      </w:tr>
      <w:tr>
        <w:tc>
          <w:tcPr>
            <w:tcW w:type="dxa" w:w="28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6.8 Shared / Service Accounts</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PR.AA-01, PR.AA-05</w:t>
            </w:r>
          </w:p>
        </w:tc>
        <w:tc>
          <w:tcPr>
            <w:tcW w:type="dxa" w:w="21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A.5.16, A.8.5</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AC-2, IA-5</w:t>
            </w:r>
          </w:p>
        </w:tc>
      </w:tr>
      <w:tr>
        <w:tc>
          <w:tcPr>
            <w:tcW w:type="dxa" w:w="28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6.9 Physical Access Controls</w:t>
            </w:r>
          </w:p>
        </w:tc>
        <w:tc>
          <w:tcPr>
            <w:tcW w:type="dxa" w:w="20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PR.AA-03</w:t>
            </w:r>
          </w:p>
        </w:tc>
        <w:tc>
          <w:tcPr>
            <w:tcW w:type="dxa" w:w="216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A.7.2, A.7.3</w:t>
            </w:r>
          </w:p>
        </w:tc>
        <w:tc>
          <w:tcPr>
            <w:tcW w:type="dxa" w:w="2400"/>
            <w:tcBorders>
              <w:top w:val="single" w:color="DDE3EF" w:sz="1"/>
              <w:left w:val="single" w:color="DDE3EF" w:sz="1"/>
              <w:bottom w:val="single" w:color="DDE3EF" w:sz="1"/>
              <w:right w:val="single" w:color="DDE3EF" w:sz="1"/>
            </w:tcBorders>
            <w:shd w:fill="FFFFFF" w:val="clear"/>
            <w:tcMar>
              <w:top w:type="dxa" w:w="60"/>
              <w:left w:type="dxa" w:w="120"/>
              <w:bottom w:type="dxa" w:w="60"/>
              <w:right w:type="dxa" w:w="80"/>
            </w:tcMar>
          </w:tcPr>
          <w:p>
            <w:r>
              <w:rPr>
                <w:rFonts w:ascii="Arial" w:cs="Arial" w:eastAsia="Arial" w:hAnsi="Arial"/>
                <w:color w:val="1A2340"/>
                <w:sz w:val="20"/>
                <w:szCs w:val="20"/>
              </w:rPr>
              <w:t xml:space="preserve">PE-2, PE-3</w:t>
            </w:r>
          </w:p>
        </w:tc>
      </w:tr>
      <w:tr>
        <w:tc>
          <w:tcPr>
            <w:tcW w:type="dxa" w:w="28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6.10 Exception Process</w:t>
            </w:r>
          </w:p>
        </w:tc>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GV.RM</w:t>
            </w:r>
          </w:p>
        </w:tc>
        <w:tc>
          <w:tcPr>
            <w:tcW w:type="dxa" w:w="216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A.5.22</w:t>
            </w:r>
          </w:p>
        </w:tc>
        <w:tc>
          <w:tcPr>
            <w:tcW w:type="dxa" w:w="24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color w:val="1A2340"/>
                <w:sz w:val="20"/>
                <w:szCs w:val="20"/>
              </w:rPr>
              <w:t xml:space="preserve">AC-6(9)</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1"/>
      </w:pBdr>
      <w:spacing w:before="80"/>
      <w:jc w:val="cente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2168" w:sz="4" w:space="1"/>
      </w:pBdr>
      <w:tabs>
        <w:tab w:val="right" w:pos="9026"/>
      </w:tabs>
      <w:spacing w:after="80"/>
    </w:pPr>
    <w:r>
      <w:rPr>
        <w:rFonts w:ascii="Arial" w:cs="Arial" w:eastAsia="Arial" w:hAnsi="Arial"/>
        <w:color w:val="5A6A8A"/>
        <w:sz w:val="18"/>
        <w:szCs w:val="18"/>
      </w:rPr>
      <w:t xml:space="preserve">ENT-Draft-POL-Access Control-Comprehensive-6.26  |  Access Control Policy</w:t>
    </w:r>
    <w:r>
      <w:rPr>
        <w:rFonts w:ascii="Arial" w:cs="Arial" w:eastAsia="Arial" w:hAnsi="Arial"/>
        <w:sz w:val="18"/>
        <w:szCs w:val="18"/>
      </w:rPr>
      <w:t xml:space="preserve">	</w:t>
    </w:r>
    <w:r>
      <w:rPr>
        <w:rFonts w:ascii="Arial" w:cs="Arial" w:eastAsia="Arial" w:hAnsi="Arial"/>
        <w:color w:val="5A6A8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5216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2026-06-19T04:23:00.888Z</dcterms:created>
  <dcterms:modified xsi:type="dcterms:W3CDTF">2026-06-19T04:23:00.889Z</dcterms:modified>
</cp:coreProperties>
</file>

<file path=docProps/custom.xml><?xml version="1.0" encoding="utf-8"?>
<Properties xmlns="http://schemas.openxmlformats.org/officeDocument/2006/custom-properties" xmlns:vt="http://schemas.openxmlformats.org/officeDocument/2006/docPropsVTypes"/>
</file>