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80" w:before="0"/>
        <w:jc w:val="left"/>
      </w:pPr>
      <w:r>
        <w:rPr>
          <w:rFonts w:ascii="Arial" w:cs="Arial" w:eastAsia="Arial" w:hAnsi="Arial"/>
          <w:b/>
          <w:bCs/>
          <w:color w:val="152168"/>
          <w:sz w:val="52"/>
          <w:szCs w:val="52"/>
        </w:rPr>
        <w:t xml:space="preserve">Information Asset Management Policy</w:t>
      </w:r>
    </w:p>
    <w:p>
      <w:pPr>
        <w:spacing w:after="80" w:before="0"/>
      </w:pPr>
      <w:r>
        <w:rPr>
          <w:rFonts w:ascii="Arial" w:cs="Arial" w:eastAsia="Arial" w:hAnsi="Arial"/>
          <w:b/>
          <w:bCs/>
          <w:color w:val="07B4D9"/>
          <w:sz w:val="28"/>
          <w:szCs w:val="28"/>
        </w:rPr>
        <w:t xml:space="preserve">Plain Language Guide — For All Staff</w:t>
      </w:r>
    </w:p>
    <w:p>
      <w:pPr>
        <w:pBdr>
          <w:bottom w:val="single" w:color="07B4D9" w:sz="12" w:space="4"/>
        </w:pBdr>
        <w:spacing w:after="200" w:before="0"/>
      </w:pPr>
      <w:r>
        <w:rPr>
          <w:rFonts w:ascii="Arial" w:cs="Arial" w:eastAsia="Arial" w:hAnsi="Arial"/>
          <w:i/>
          <w:iCs/>
          <w:color w:val="5A6A8A"/>
          <w:sz w:val="20"/>
          <w:szCs w:val="20"/>
        </w:rPr>
        <w:t xml:space="preserve">ENT-Draft-POL-Asset Management-SMB-6.26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400"/>
        <w:gridCol w:w="2280"/>
      </w:tblGrid>
      <w:tr>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Owner</w:t>
            </w:r>
          </w:p>
        </w:tc>
        <w:tc>
          <w:tcPr>
            <w:tcW w:type="dxa" w:w="22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CISO / vCISO</w:t>
            </w:r>
          </w:p>
        </w:tc>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Version</w:t>
            </w:r>
          </w:p>
        </w:tc>
        <w:tc>
          <w:tcPr>
            <w:tcW w:type="dxa" w:w="22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1.0</w:t>
            </w:r>
          </w:p>
        </w:tc>
      </w:tr>
      <w:tr>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Effective Date</w:t>
            </w:r>
          </w:p>
        </w:tc>
        <w:tc>
          <w:tcPr>
            <w:tcW w:type="dxa" w:w="22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[DATE]</w:t>
            </w:r>
          </w:p>
        </w:tc>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Next Review</w:t>
            </w:r>
          </w:p>
        </w:tc>
        <w:tc>
          <w:tcPr>
            <w:tcW w:type="dxa" w:w="22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[DATE + 1 YEAR]</w:t>
            </w:r>
          </w:p>
        </w:tc>
      </w:tr>
    </w:tbl>
    <w:p>
      <w:pPr>
        <w:spacing w:after="200" w:before="0"/>
      </w:pPr>
      <w:r>
        <w:t xml:space="preserve"/>
      </w:r>
    </w:p>
    <w:p>
      <w:pPr>
        <w:pStyle w:val="Heading1"/>
        <w:pBdr>
          <w:bottom w:val="single" w:color="07B4D9" w:sz="8" w:space="4"/>
        </w:pBdr>
        <w:spacing w:after="120" w:before="400"/>
      </w:pPr>
      <w:bookmarkStart w:name="s1" w:id="1"/>
      <w:r>
        <w:rPr>
          <w:rFonts w:ascii="Arial" w:cs="Arial" w:eastAsia="Arial" w:hAnsi="Arial"/>
          <w:b/>
          <w:bCs/>
          <w:color w:val="152168"/>
          <w:sz w:val="30"/>
          <w:szCs w:val="30"/>
        </w:rPr>
        <w:t xml:space="preserve">1. Why This Matters</w:t>
      </w:r>
      <w:bookmarkEnd w:id="2"/>
    </w:p>
    <w:p>
      <w:pPr>
        <w:spacing w:after="80" w:before="60"/>
        <w:jc w:val="both"/>
      </w:pPr>
      <w:r>
        <w:rPr>
          <w:rFonts w:ascii="Arial" w:cs="Arial" w:eastAsia="Arial" w:hAnsi="Arial"/>
          <w:color w:val="1A2340"/>
          <w:sz w:val="22"/>
          <w:szCs w:val="22"/>
        </w:rPr>
        <w:t xml:space="preserve">You cannot protect something you do not know about. That is the single most important idea behind this policy.</w:t>
      </w:r>
    </w:p>
    <w:p>
      <w:pPr>
        <w:spacing w:after="80" w:before="60"/>
        <w:jc w:val="both"/>
      </w:pPr>
      <w:r>
        <w:rPr>
          <w:rFonts w:ascii="Arial" w:cs="Arial" w:eastAsia="Arial" w:hAnsi="Arial"/>
          <w:color w:val="1A2340"/>
          <w:sz w:val="22"/>
          <w:szCs w:val="22"/>
        </w:rPr>
        <w:t xml:space="preserve">Every year, businesses are compromised through devices and software that nobody knew were there: an old laptop still connected to the network, a cloud app someone signed up for without telling IT, a USB drive picked up at a conference. These unmanaged assets are among the most common entry points for attackers - precisely because no one is watching them.</w:t>
      </w:r>
    </w:p>
    <w:p>
      <w:pPr>
        <w:spacing w:after="80" w:before="60"/>
        <w:jc w:val="both"/>
      </w:pPr>
      <w:r>
        <w:rPr>
          <w:rFonts w:ascii="Arial" w:cs="Arial" w:eastAsia="Arial" w:hAnsi="Arial"/>
          <w:color w:val="1A2340"/>
          <w:sz w:val="22"/>
          <w:szCs w:val="22"/>
        </w:rPr>
        <w:t xml:space="preserve">This policy exists to make sure we know what we have, who is responsible for it, and that it is being looked after properly. That knowledge is the foundation of every other security measure we take.</w:t>
      </w:r>
    </w:p>
    <w:p>
      <w:pPr>
        <w:spacing w:after="80" w:before="0"/>
      </w:pPr>
      <w:r>
        <w:t xml:space="preserve"/>
      </w:r>
    </w:p>
    <w:p>
      <w:pPr>
        <w:pStyle w:val="Heading1"/>
        <w:pBdr>
          <w:bottom w:val="single" w:color="07B4D9" w:sz="8" w:space="4"/>
        </w:pBdr>
        <w:spacing w:after="120" w:before="400"/>
      </w:pPr>
      <w:bookmarkStart w:name="s2" w:id="3"/>
      <w:r>
        <w:rPr>
          <w:rFonts w:ascii="Arial" w:cs="Arial" w:eastAsia="Arial" w:hAnsi="Arial"/>
          <w:b/>
          <w:bCs/>
          <w:color w:val="152168"/>
          <w:sz w:val="30"/>
          <w:szCs w:val="30"/>
        </w:rPr>
        <w:t xml:space="preserve">2. What We Track</w:t>
      </w:r>
      <w:bookmarkEnd w:id="4"/>
    </w:p>
    <w:p>
      <w:pPr>
        <w:spacing w:after="80" w:before="60"/>
        <w:jc w:val="both"/>
      </w:pPr>
      <w:r>
        <w:rPr>
          <w:rFonts w:ascii="Arial" w:cs="Arial" w:eastAsia="Arial" w:hAnsi="Arial"/>
          <w:color w:val="1A2340"/>
          <w:sz w:val="22"/>
          <w:szCs w:val="22"/>
        </w:rPr>
        <w:t xml:space="preserve">We maintain a record of all assets used to conduct our business. This includes: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Category</w:t>
            </w:r>
          </w:p>
        </w:tc>
        <w:tc>
          <w:tcPr>
            <w:tcW w:type="dxa" w:w="69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Examples</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Computers and Servers</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Desktop computers, laptops, servers in the office or hosted with a provider, network equipment (routers, firewalls, switches).</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Software and Licenses</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Every software program installed on our computers, including operating systems, applications, and security tools. Also includes software licenses we have paid for.</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Cloud Services</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Online tools and services we subscribe to: email, cloud storage, accounting platforms, booking and property management systems, HR software, communication tools.</w:t>
            </w:r>
          </w:p>
        </w:tc>
      </w:tr>
      <w:tr>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Phones and Tablets</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Smartphones and tablets provided by the organization, and personal devices that are used to access work email or systems.</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Data We Store</w:t>
            </w:r>
          </w:p>
        </w:tc>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Databases, file storage systems, and backup copies of our data - especially where that data includes customer information, financial records, or staff information.</w:t>
            </w:r>
          </w:p>
        </w:tc>
      </w:tr>
    </w:tbl>
    <w:p>
      <w:pPr>
        <w:spacing w:after="80" w:before="0"/>
      </w:pPr>
      <w:r>
        <w:t xml:space="preserve"/>
      </w:r>
    </w:p>
    <w:p>
      <w:pPr>
        <w:pStyle w:val="Heading1"/>
        <w:pBdr>
          <w:bottom w:val="single" w:color="07B4D9" w:sz="8" w:space="4"/>
        </w:pBdr>
        <w:spacing w:after="120" w:before="400"/>
      </w:pPr>
      <w:bookmarkStart w:name="s3" w:id="5"/>
      <w:r>
        <w:rPr>
          <w:rFonts w:ascii="Arial" w:cs="Arial" w:eastAsia="Arial" w:hAnsi="Arial"/>
          <w:b/>
          <w:bCs/>
          <w:color w:val="152168"/>
          <w:sz w:val="30"/>
          <w:szCs w:val="30"/>
        </w:rPr>
        <w:t xml:space="preserve">3. The Golden Rule</w:t>
      </w:r>
      <w:bookmarkEnd w:id="6"/>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2168" w:sz="8"/>
              <w:left w:val="single" w:color="152168" w:sz="16"/>
              <w:bottom w:val="single" w:color="152168" w:sz="8"/>
              <w:right w:val="single" w:color="152168" w:sz="4"/>
            </w:tcBorders>
            <w:shd w:fill="EBF0FA" w:val="clear"/>
            <w:tcMar>
              <w:top w:type="dxa" w:w="120"/>
              <w:left w:type="dxa" w:w="200"/>
              <w:bottom w:type="dxa" w:w="120"/>
              <w:right w:type="dxa" w:w="160"/>
            </w:tcMar>
          </w:tcPr>
          <w:p>
            <w:pPr>
              <w:spacing w:after="0" w:before="0"/>
              <w:jc w:val="both"/>
            </w:pPr>
            <w:r>
              <w:rPr>
                <w:rFonts w:ascii="Arial" w:cs="Arial" w:eastAsia="Arial" w:hAnsi="Arial"/>
                <w:b/>
                <w:bCs/>
                <w:color w:val="1A2340"/>
                <w:sz w:val="22"/>
                <w:szCs w:val="22"/>
              </w:rPr>
              <w:t xml:space="preserve">IT must know about it before you use it for work — whether it's software you downloaded, a tool you signed up for, or a device you want to use.</w:t>
            </w:r>
          </w:p>
        </w:tc>
      </w:tr>
    </w:tbl>
    <w:p>
      <w:pPr>
        <w:spacing w:after="80" w:before="0"/>
      </w:pPr>
      <w:r>
        <w:t xml:space="preserve"/>
      </w:r>
    </w:p>
    <w:p>
      <w:pPr>
        <w:spacing w:after="80" w:before="60"/>
        <w:jc w:val="both"/>
      </w:pPr>
      <w:r>
        <w:rPr>
          <w:rFonts w:ascii="Arial" w:cs="Arial" w:eastAsia="Arial" w:hAnsi="Arial"/>
          <w:color w:val="1A2340"/>
          <w:sz w:val="22"/>
          <w:szCs w:val="22"/>
        </w:rPr>
        <w:t xml:space="preserve">This rule is not about bureaucracy. It is about keeping the organization safe. When IT knows about an asset, they can:</w:t>
      </w:r>
    </w:p>
    <w:p>
      <w:pPr>
        <w:pStyle w:val="ListParagraph"/>
        <w:numPr>
          <w:ilvl w:val="0"/>
          <w:numId w:val="2"/>
        </w:numPr>
        <w:spacing w:after="40" w:before="40"/>
      </w:pPr>
      <w:r>
        <w:rPr>
          <w:rFonts w:ascii="Arial" w:cs="Arial" w:eastAsia="Arial" w:hAnsi="Arial"/>
          <w:color w:val="1A2340"/>
          <w:sz w:val="22"/>
          <w:szCs w:val="22"/>
        </w:rPr>
        <w:t xml:space="preserve">Make sure it is configured securely.</w:t>
      </w:r>
    </w:p>
    <w:p>
      <w:pPr>
        <w:pStyle w:val="ListParagraph"/>
        <w:numPr>
          <w:ilvl w:val="0"/>
          <w:numId w:val="2"/>
        </w:numPr>
        <w:spacing w:after="40" w:before="40"/>
      </w:pPr>
      <w:r>
        <w:rPr>
          <w:rFonts w:ascii="Arial" w:cs="Arial" w:eastAsia="Arial" w:hAnsi="Arial"/>
          <w:color w:val="1A2340"/>
          <w:sz w:val="22"/>
          <w:szCs w:val="22"/>
        </w:rPr>
        <w:t xml:space="preserve">Keep it patched and up to date.</w:t>
      </w:r>
    </w:p>
    <w:p>
      <w:pPr>
        <w:pStyle w:val="ListParagraph"/>
        <w:numPr>
          <w:ilvl w:val="0"/>
          <w:numId w:val="2"/>
        </w:numPr>
        <w:spacing w:after="40" w:before="40"/>
      </w:pPr>
      <w:r>
        <w:rPr>
          <w:rFonts w:ascii="Arial" w:cs="Arial" w:eastAsia="Arial" w:hAnsi="Arial"/>
          <w:color w:val="1A2340"/>
          <w:sz w:val="22"/>
          <w:szCs w:val="22"/>
        </w:rPr>
        <w:t xml:space="preserve">Include it in backups and recovery plans.</w:t>
      </w:r>
    </w:p>
    <w:p>
      <w:pPr>
        <w:pStyle w:val="ListParagraph"/>
        <w:numPr>
          <w:ilvl w:val="0"/>
          <w:numId w:val="2"/>
        </w:numPr>
        <w:spacing w:after="40" w:before="40"/>
      </w:pPr>
      <w:r>
        <w:rPr>
          <w:rFonts w:ascii="Arial" w:cs="Arial" w:eastAsia="Arial" w:hAnsi="Arial"/>
          <w:color w:val="1A2340"/>
          <w:sz w:val="22"/>
          <w:szCs w:val="22"/>
        </w:rPr>
        <w:t xml:space="preserve">Know where to look when something goes wrong.</w:t>
      </w:r>
    </w:p>
    <w:p>
      <w:pPr>
        <w:spacing w:after="60" w:before="0"/>
      </w:pPr>
      <w:r>
        <w:t xml:space="preserve"/>
      </w:r>
    </w:p>
    <w:p>
      <w:pPr>
        <w:spacing w:after="80" w:before="60"/>
        <w:jc w:val="both"/>
      </w:pPr>
      <w:r>
        <w:rPr>
          <w:rFonts w:ascii="Arial" w:cs="Arial" w:eastAsia="Arial" w:hAnsi="Arial"/>
          <w:color w:val="1A2340"/>
          <w:sz w:val="22"/>
          <w:szCs w:val="22"/>
        </w:rPr>
        <w:t xml:space="preserve">Using software, cloud tools, or devices that IT does not know about is sometimes called Shadow IT. It is not permitted, even if you are using the tool for a legitimate work purpose. The right approach is to ask IT first - we will help you find an approved solution or assess and approve the one you want.</w:t>
      </w:r>
    </w:p>
    <w:p>
      <w:pPr>
        <w:spacing w:after="80" w:before="0"/>
      </w:pPr>
      <w:r>
        <w:t xml:space="preserve"/>
      </w:r>
    </w:p>
    <w:p>
      <w:pPr>
        <w:pStyle w:val="Heading1"/>
        <w:pBdr>
          <w:bottom w:val="single" w:color="07B4D9" w:sz="8" w:space="4"/>
        </w:pBdr>
        <w:spacing w:after="120" w:before="400"/>
      </w:pPr>
      <w:bookmarkStart w:name="s4" w:id="7"/>
      <w:r>
        <w:rPr>
          <w:rFonts w:ascii="Arial" w:cs="Arial" w:eastAsia="Arial" w:hAnsi="Arial"/>
          <w:b/>
          <w:bCs/>
          <w:color w:val="152168"/>
          <w:sz w:val="30"/>
          <w:szCs w:val="30"/>
        </w:rPr>
        <w:t xml:space="preserve">4. Who Owns What</w:t>
      </w:r>
      <w:bookmarkEnd w:id="8"/>
    </w:p>
    <w:p>
      <w:pPr>
        <w:spacing w:after="80" w:before="60"/>
        <w:jc w:val="both"/>
      </w:pPr>
      <w:r>
        <w:rPr>
          <w:rFonts w:ascii="Arial" w:cs="Arial" w:eastAsia="Arial" w:hAnsi="Arial"/>
          <w:color w:val="1A2340"/>
          <w:sz w:val="22"/>
          <w:szCs w:val="22"/>
        </w:rPr>
        <w:t xml:space="preserve">Every asset in our inventory has a named owner. This is the person responsible for that asset - not necessarily the person who uses it, but the person accountable for it.</w:t>
      </w:r>
    </w:p>
    <w:p>
      <w:pPr>
        <w:spacing w:after="80" w:before="60"/>
        <w:jc w:val="both"/>
      </w:pPr>
      <w:r>
        <w:rPr>
          <w:rFonts w:ascii="Arial" w:cs="Arial" w:eastAsia="Arial" w:hAnsi="Arial"/>
          <w:color w:val="1A2340"/>
          <w:sz w:val="22"/>
          <w:szCs w:val="22"/>
        </w:rPr>
        <w:t xml:space="preserve">What does ownership mean in practice? If you are assigned a laptop, a system, or a software tool:</w:t>
      </w:r>
    </w:p>
    <w:p>
      <w:pPr>
        <w:pStyle w:val="ListParagraph"/>
        <w:numPr>
          <w:ilvl w:val="0"/>
          <w:numId w:val="2"/>
        </w:numPr>
        <w:spacing w:after="40" w:before="40"/>
      </w:pPr>
      <w:r>
        <w:rPr>
          <w:rFonts w:ascii="Arial" w:cs="Arial" w:eastAsia="Arial" w:hAnsi="Arial"/>
          <w:color w:val="1A2340"/>
          <w:sz w:val="22"/>
          <w:szCs w:val="22"/>
        </w:rPr>
        <w:t xml:space="preserve">You are responsible for using it appropriately and within the rules of this policy.</w:t>
      </w:r>
    </w:p>
    <w:p>
      <w:pPr>
        <w:pStyle w:val="ListParagraph"/>
        <w:numPr>
          <w:ilvl w:val="0"/>
          <w:numId w:val="2"/>
        </w:numPr>
        <w:spacing w:after="40" w:before="40"/>
      </w:pPr>
      <w:r>
        <w:rPr>
          <w:rFonts w:ascii="Arial" w:cs="Arial" w:eastAsia="Arial" w:hAnsi="Arial"/>
          <w:color w:val="1A2340"/>
          <w:sz w:val="22"/>
          <w:szCs w:val="22"/>
        </w:rPr>
        <w:t xml:space="preserve">You must let IT know about any changes - new software installed, location changed, damage, or loss.</w:t>
      </w:r>
    </w:p>
    <w:p>
      <w:pPr>
        <w:pStyle w:val="ListParagraph"/>
        <w:numPr>
          <w:ilvl w:val="0"/>
          <w:numId w:val="2"/>
        </w:numPr>
        <w:spacing w:after="40" w:before="40"/>
      </w:pPr>
      <w:r>
        <w:rPr>
          <w:rFonts w:ascii="Arial" w:cs="Arial" w:eastAsia="Arial" w:hAnsi="Arial"/>
          <w:color w:val="1A2340"/>
          <w:sz w:val="22"/>
          <w:szCs w:val="22"/>
        </w:rPr>
        <w:t xml:space="preserve">You must return it when you leave the organization or change roles.</w:t>
      </w:r>
    </w:p>
    <w:p>
      <w:pPr>
        <w:pStyle w:val="ListParagraph"/>
        <w:numPr>
          <w:ilvl w:val="0"/>
          <w:numId w:val="2"/>
        </w:numPr>
        <w:spacing w:after="40" w:before="40"/>
      </w:pPr>
      <w:r>
        <w:rPr>
          <w:rFonts w:ascii="Arial" w:cs="Arial" w:eastAsia="Arial" w:hAnsi="Arial"/>
          <w:color w:val="1A2340"/>
          <w:sz w:val="22"/>
          <w:szCs w:val="22"/>
        </w:rPr>
        <w:t xml:space="preserve">You must confirm it is still assigned to you during our annual asset check.</w:t>
      </w:r>
    </w:p>
    <w:p>
      <w:pPr>
        <w:spacing w:after="60" w:before="0"/>
      </w:pPr>
      <w:r>
        <w:t xml:space="preserve"/>
      </w:r>
    </w:p>
    <w:p>
      <w:pPr>
        <w:spacing w:after="80" w:before="60"/>
        <w:jc w:val="both"/>
      </w:pPr>
      <w:r>
        <w:rPr>
          <w:rFonts w:ascii="Arial" w:cs="Arial" w:eastAsia="Arial" w:hAnsi="Arial"/>
          <w:color w:val="1A2340"/>
          <w:sz w:val="22"/>
          <w:szCs w:val="22"/>
        </w:rPr>
        <w:t xml:space="preserve">Managers are responsible for approving asset requests from their teams and reporting any unauthorized equipment or software they observe in use.</w:t>
      </w:r>
    </w:p>
    <w:p>
      <w:pPr>
        <w:spacing w:after="80" w:before="0"/>
      </w:pPr>
      <w:r>
        <w:t xml:space="preserve"/>
      </w:r>
    </w:p>
    <w:p>
      <w:pPr>
        <w:pStyle w:val="Heading1"/>
        <w:pBdr>
          <w:bottom w:val="single" w:color="07B4D9" w:sz="8" w:space="4"/>
        </w:pBdr>
        <w:spacing w:after="120" w:before="400"/>
      </w:pPr>
      <w:bookmarkStart w:name="s5" w:id="9"/>
      <w:r>
        <w:rPr>
          <w:rFonts w:ascii="Arial" w:cs="Arial" w:eastAsia="Arial" w:hAnsi="Arial"/>
          <w:b/>
          <w:bCs/>
          <w:color w:val="152168"/>
          <w:sz w:val="30"/>
          <w:szCs w:val="30"/>
        </w:rPr>
        <w:t xml:space="preserve">5. Our Asset Inventory</w:t>
      </w:r>
      <w:bookmarkEnd w:id="10"/>
    </w:p>
    <w:p>
      <w:pPr>
        <w:spacing w:after="80" w:before="60"/>
        <w:jc w:val="both"/>
      </w:pPr>
      <w:r>
        <w:rPr>
          <w:rFonts w:ascii="Arial" w:cs="Arial" w:eastAsia="Arial" w:hAnsi="Arial"/>
          <w:color w:val="1A2340"/>
          <w:sz w:val="22"/>
          <w:szCs w:val="22"/>
        </w:rPr>
        <w:t xml:space="preserve">We maintain a central record of all organizational assets. This inventory is managed by IT and reviewed at least once a year. Every asset in our environment should appear in this record.</w:t>
      </w:r>
    </w:p>
    <w:p>
      <w:pPr>
        <w:spacing w:after="80" w:before="60"/>
        <w:jc w:val="both"/>
      </w:pPr>
      <w:r>
        <w:rPr>
          <w:rFonts w:ascii="Arial" w:cs="Arial" w:eastAsia="Arial" w:hAnsi="Arial"/>
          <w:color w:val="1A2340"/>
          <w:sz w:val="22"/>
          <w:szCs w:val="22"/>
        </w:rPr>
        <w:t xml:space="preserve">At a minimum, each record in the inventory includes: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1960"/>
        <w:gridCol w:w="1800"/>
      </w:tblGrid>
      <w:tr>
        <w:tc>
          <w:tcPr>
            <w:tcW w:type="dxa" w:w="16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Asset ID</w:t>
            </w:r>
          </w:p>
        </w:tc>
        <w:tc>
          <w:tcPr>
            <w:tcW w:type="dxa" w:w="20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Asset Name</w:t>
            </w:r>
          </w:p>
        </w:tc>
        <w:tc>
          <w:tcPr>
            <w:tcW w:type="dxa" w:w="20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19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Owner</w:t>
            </w:r>
          </w:p>
        </w:tc>
        <w:tc>
          <w:tcPr>
            <w:tcW w:type="dxa" w:w="18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Status</w:t>
            </w:r>
          </w:p>
        </w:tc>
      </w:tr>
      <w:tr>
        <w:tc>
          <w:tcPr>
            <w:tcW w:type="dxa" w:w="1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[e.g., HW-001]</w:t>
            </w:r>
          </w:p>
        </w:tc>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[e.g., Reception Laptop]</w:t>
            </w:r>
          </w:p>
        </w:tc>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[Hardware]</w:t>
            </w:r>
          </w:p>
        </w:tc>
        <w:tc>
          <w:tcPr>
            <w:tcW w:type="dxa" w:w="1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[Name]</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[Active]</w:t>
            </w:r>
          </w:p>
        </w:tc>
      </w:tr>
      <w:tr>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[e.g., SW-014]</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[e.g., Adobe Acrobat]</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[Software]</w:t>
            </w:r>
          </w:p>
        </w:tc>
        <w:tc>
          <w:tcPr>
            <w:tcW w:type="dxa" w:w="1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[Name]</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[Active]</w:t>
            </w:r>
          </w:p>
        </w:tc>
      </w:tr>
      <w:tr>
        <w:tc>
          <w:tcPr>
            <w:tcW w:type="dxa" w:w="1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[e.g., CLD-003]</w:t>
            </w:r>
          </w:p>
        </w:tc>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[e.g., Microsoft 365]</w:t>
            </w:r>
          </w:p>
        </w:tc>
        <w:tc>
          <w:tcPr>
            <w:tcW w:type="dxa" w:w="2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[Cloud Service]</w:t>
            </w:r>
          </w:p>
        </w:tc>
        <w:tc>
          <w:tcPr>
            <w:tcW w:type="dxa" w:w="1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[IT Team]</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[Active]</w:t>
            </w:r>
          </w:p>
        </w:tc>
      </w:tr>
    </w:tbl>
    <w:p>
      <w:pPr>
        <w:spacing w:after="60" w:before="0"/>
      </w:pPr>
      <w:r>
        <w:t xml:space="preserve"/>
      </w:r>
    </w:p>
    <w:p>
      <w:pPr>
        <w:spacing w:after="80" w:before="60"/>
        <w:jc w:val="both"/>
      </w:pPr>
      <w:r>
        <w:rPr>
          <w:rFonts w:ascii="Arial" w:cs="Arial" w:eastAsia="Arial" w:hAnsi="Arial"/>
          <w:color w:val="1A2340"/>
          <w:sz w:val="22"/>
          <w:szCs w:val="22"/>
        </w:rPr>
        <w:t xml:space="preserve">The full inventory template - with all required fields including vendor, version, acquisition date, location, classification, and criticality - is maintained by IT. Ask your manager or IT if you need to see the record for an asset assigned to you.</w:t>
      </w:r>
    </w:p>
    <w:p>
      <w:pPr>
        <w:spacing w:after="80" w:before="0"/>
      </w:pPr>
      <w:r>
        <w:t xml:space="preserve"/>
      </w:r>
    </w:p>
    <w:p>
      <w:pPr>
        <w:pStyle w:val="Heading1"/>
        <w:pBdr>
          <w:bottom w:val="single" w:color="07B4D9" w:sz="8" w:space="4"/>
        </w:pBdr>
        <w:spacing w:after="120" w:before="400"/>
      </w:pPr>
      <w:bookmarkStart w:name="s6" w:id="11"/>
      <w:r>
        <w:rPr>
          <w:rFonts w:ascii="Arial" w:cs="Arial" w:eastAsia="Arial" w:hAnsi="Arial"/>
          <w:b/>
          <w:bCs/>
          <w:color w:val="152168"/>
          <w:sz w:val="30"/>
          <w:szCs w:val="30"/>
        </w:rPr>
        <w:t xml:space="preserve">6. Approved Software and Services</w:t>
      </w:r>
      <w:bookmarkEnd w:id="12"/>
    </w:p>
    <w:p>
      <w:pPr>
        <w:spacing w:after="80" w:before="60"/>
        <w:jc w:val="both"/>
      </w:pPr>
      <w:r>
        <w:rPr>
          <w:rFonts w:ascii="Arial" w:cs="Arial" w:eastAsia="Arial" w:hAnsi="Arial"/>
          <w:color w:val="1A2340"/>
          <w:sz w:val="22"/>
          <w:szCs w:val="22"/>
        </w:rPr>
        <w:t xml:space="preserve">IT maintains an Approved Software List. This is the list of software and cloud services that have been reviewed, approved, and are safe to use on our systems and for our work.</w:t>
      </w:r>
    </w:p>
    <w:p>
      <w:pPr>
        <w:spacing w:after="60" w:before="0"/>
      </w:pPr>
      <w:r>
        <w:t xml:space="preserve"/>
      </w:r>
    </w:p>
    <w:p>
      <w:pPr>
        <w:pStyle w:val="Heading2"/>
        <w:spacing w:after="80" w:before="280"/>
      </w:pPr>
      <w:r>
        <w:rPr>
          <w:rFonts w:ascii="Arial" w:cs="Arial" w:eastAsia="Arial" w:hAnsi="Arial"/>
          <w:b/>
          <w:bCs/>
          <w:color w:val="152168"/>
          <w:sz w:val="26"/>
          <w:szCs w:val="26"/>
        </w:rPr>
        <w:t xml:space="preserve">How to Request a New Tool</w:t>
      </w:r>
    </w:p>
    <w:p>
      <w:pPr>
        <w:spacing w:after="80" w:before="60"/>
        <w:jc w:val="both"/>
      </w:pPr>
      <w:r>
        <w:rPr>
          <w:rFonts w:ascii="Arial" w:cs="Arial" w:eastAsia="Arial" w:hAnsi="Arial"/>
          <w:color w:val="1A2340"/>
          <w:sz w:val="22"/>
          <w:szCs w:val="22"/>
        </w:rPr>
        <w:t xml:space="preserve">If you want to use a software tool or cloud service that is not already on the approved list:</w:t>
      </w:r>
    </w:p>
    <w:p>
      <w:pPr>
        <w:pStyle w:val="ListParagraph"/>
        <w:numPr>
          <w:ilvl w:val="0"/>
          <w:numId w:val="3"/>
        </w:numPr>
        <w:spacing w:after="40" w:before="40"/>
      </w:pPr>
      <w:r>
        <w:rPr>
          <w:rFonts w:ascii="Arial" w:cs="Arial" w:eastAsia="Arial" w:hAnsi="Arial"/>
          <w:color w:val="1A2340"/>
          <w:sz w:val="22"/>
          <w:szCs w:val="22"/>
        </w:rPr>
        <w:t xml:space="preserve">Contact IT or your manager with the name of the tool and what you want to use it for.</w:t>
      </w:r>
    </w:p>
    <w:p>
      <w:pPr>
        <w:pStyle w:val="ListParagraph"/>
        <w:numPr>
          <w:ilvl w:val="0"/>
          <w:numId w:val="3"/>
        </w:numPr>
        <w:spacing w:after="40" w:before="40"/>
      </w:pPr>
      <w:r>
        <w:rPr>
          <w:rFonts w:ascii="Arial" w:cs="Arial" w:eastAsia="Arial" w:hAnsi="Arial"/>
          <w:color w:val="1A2340"/>
          <w:sz w:val="22"/>
          <w:szCs w:val="22"/>
        </w:rPr>
        <w:t xml:space="preserve">IT will review it (this typically takes a few business days).</w:t>
      </w:r>
    </w:p>
    <w:p>
      <w:pPr>
        <w:pStyle w:val="ListParagraph"/>
        <w:numPr>
          <w:ilvl w:val="0"/>
          <w:numId w:val="3"/>
        </w:numPr>
        <w:spacing w:after="40" w:before="40"/>
      </w:pPr>
      <w:r>
        <w:rPr>
          <w:rFonts w:ascii="Arial" w:cs="Arial" w:eastAsia="Arial" w:hAnsi="Arial"/>
          <w:color w:val="1A2340"/>
          <w:sz w:val="22"/>
          <w:szCs w:val="22"/>
        </w:rPr>
        <w:t xml:space="preserve">If approved, IT will add it to the list and help you set it up securely.</w:t>
      </w:r>
    </w:p>
    <w:p>
      <w:pPr>
        <w:pStyle w:val="ListParagraph"/>
        <w:numPr>
          <w:ilvl w:val="0"/>
          <w:numId w:val="3"/>
        </w:numPr>
        <w:spacing w:after="40" w:before="40"/>
      </w:pPr>
      <w:r>
        <w:rPr>
          <w:rFonts w:ascii="Arial" w:cs="Arial" w:eastAsia="Arial" w:hAnsi="Arial"/>
          <w:color w:val="1A2340"/>
          <w:sz w:val="22"/>
          <w:szCs w:val="22"/>
        </w:rPr>
        <w:t xml:space="preserve">If not approved, IT will suggest an alternative or explain the concerns.</w:t>
      </w:r>
    </w:p>
    <w:p>
      <w:pPr>
        <w:spacing w:after="60" w:before="0"/>
      </w:pPr>
      <w:r>
        <w:t xml:space="preserve"/>
      </w:r>
    </w:p>
    <w:p>
      <w:pPr>
        <w:pStyle w:val="Heading2"/>
        <w:spacing w:after="80" w:before="280"/>
      </w:pPr>
      <w:r>
        <w:rPr>
          <w:rFonts w:ascii="Arial" w:cs="Arial" w:eastAsia="Arial" w:hAnsi="Arial"/>
          <w:b/>
          <w:bCs/>
          <w:color w:val="152168"/>
          <w:sz w:val="26"/>
          <w:szCs w:val="26"/>
        </w:rPr>
        <w:t xml:space="preserve">What Happens If You Use Something Not on the List</w:t>
      </w:r>
    </w:p>
    <w:p>
      <w:pPr>
        <w:spacing w:after="80" w:before="60"/>
        <w:jc w:val="both"/>
      </w:pPr>
      <w:r>
        <w:rPr>
          <w:rFonts w:ascii="Arial" w:cs="Arial" w:eastAsia="Arial" w:hAnsi="Arial"/>
          <w:color w:val="1A2340"/>
          <w:sz w:val="22"/>
          <w:szCs w:val="22"/>
        </w:rPr>
        <w:t xml:space="preserve">Using unapproved software or services is a policy violation. If IT discovers you are using an unauthorized tool:</w:t>
      </w:r>
    </w:p>
    <w:p>
      <w:pPr>
        <w:pStyle w:val="ListParagraph"/>
        <w:numPr>
          <w:ilvl w:val="0"/>
          <w:numId w:val="2"/>
        </w:numPr>
        <w:spacing w:after="40" w:before="40"/>
      </w:pPr>
      <w:r>
        <w:rPr>
          <w:rFonts w:ascii="Arial" w:cs="Arial" w:eastAsia="Arial" w:hAnsi="Arial"/>
          <w:color w:val="1A2340"/>
          <w:sz w:val="22"/>
          <w:szCs w:val="22"/>
        </w:rPr>
        <w:t xml:space="preserve">You will be asked to stop using it immediately.</w:t>
      </w:r>
    </w:p>
    <w:p>
      <w:pPr>
        <w:pStyle w:val="ListParagraph"/>
        <w:numPr>
          <w:ilvl w:val="0"/>
          <w:numId w:val="2"/>
        </w:numPr>
        <w:spacing w:after="40" w:before="40"/>
      </w:pPr>
      <w:r>
        <w:rPr>
          <w:rFonts w:ascii="Arial" w:cs="Arial" w:eastAsia="Arial" w:hAnsi="Arial"/>
          <w:color w:val="1A2340"/>
          <w:sz w:val="22"/>
          <w:szCs w:val="22"/>
        </w:rPr>
        <w:t xml:space="preserve">IT will assess the risk, including whether any organizational data was shared with the tool.</w:t>
      </w:r>
    </w:p>
    <w:p>
      <w:pPr>
        <w:pStyle w:val="ListParagraph"/>
        <w:numPr>
          <w:ilvl w:val="0"/>
          <w:numId w:val="2"/>
        </w:numPr>
        <w:spacing w:after="40" w:before="40"/>
      </w:pPr>
      <w:r>
        <w:rPr>
          <w:rFonts w:ascii="Arial" w:cs="Arial" w:eastAsia="Arial" w:hAnsi="Arial"/>
          <w:color w:val="1A2340"/>
          <w:sz w:val="22"/>
          <w:szCs w:val="22"/>
        </w:rPr>
        <w:t xml:space="preserve">The tool may be retroactively approved if it is safe and has a legitimate business use.</w:t>
      </w:r>
    </w:p>
    <w:p>
      <w:pPr>
        <w:pStyle w:val="ListParagraph"/>
        <w:numPr>
          <w:ilvl w:val="0"/>
          <w:numId w:val="2"/>
        </w:numPr>
        <w:spacing w:after="40" w:before="40"/>
      </w:pPr>
      <w:r>
        <w:rPr>
          <w:rFonts w:ascii="Arial" w:cs="Arial" w:eastAsia="Arial" w:hAnsi="Arial"/>
          <w:color w:val="1A2340"/>
          <w:sz w:val="22"/>
          <w:szCs w:val="22"/>
        </w:rPr>
        <w:t xml:space="preserve">Repeated violations may result in disciplinary action.</w:t>
      </w:r>
    </w:p>
    <w:p>
      <w:pPr>
        <w:spacing w:after="80" w:before="0"/>
      </w:pPr>
      <w:r>
        <w:t xml:space="preserve"/>
      </w:r>
    </w:p>
    <w:p>
      <w:pPr>
        <w:pStyle w:val="Heading1"/>
        <w:pBdr>
          <w:bottom w:val="single" w:color="07B4D9" w:sz="8" w:space="4"/>
        </w:pBdr>
        <w:spacing w:after="120" w:before="400"/>
      </w:pPr>
      <w:bookmarkStart w:name="s7" w:id="13"/>
      <w:r>
        <w:rPr>
          <w:rFonts w:ascii="Arial" w:cs="Arial" w:eastAsia="Arial" w:hAnsi="Arial"/>
          <w:b/>
          <w:bCs/>
          <w:color w:val="152168"/>
          <w:sz w:val="30"/>
          <w:szCs w:val="30"/>
        </w:rPr>
        <w:t xml:space="preserve">7. When You Get a New Device or Software</w:t>
      </w:r>
      <w:bookmarkEnd w:id="14"/>
    </w:p>
    <w:p>
      <w:pPr>
        <w:spacing w:after="80" w:before="60"/>
        <w:jc w:val="both"/>
      </w:pPr>
      <w:r>
        <w:rPr>
          <w:rFonts w:ascii="Arial" w:cs="Arial" w:eastAsia="Arial" w:hAnsi="Arial"/>
          <w:color w:val="1A2340"/>
          <w:sz w:val="22"/>
          <w:szCs w:val="22"/>
        </w:rPr>
        <w:t xml:space="preserve">Whether you are getting a new company laptop, a piece of software, or signing up for a new cloud service, the process is the same: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Step</w:t>
            </w:r>
          </w:p>
        </w:tc>
        <w:tc>
          <w:tcPr>
            <w:tcW w:type="dxa" w:w="8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Happens</w:t>
            </w:r>
          </w:p>
        </w:tc>
      </w:tr>
      <w:tr>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1</w:t>
            </w:r>
          </w:p>
        </w:tc>
        <w:tc>
          <w:tcPr>
            <w:tcW w:type="dxa" w:w="8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Notify IT before the asset is purchased, deployed, or first used. If you are ordering hardware, loop in IT before placing the order.</w:t>
            </w:r>
          </w:p>
        </w:tc>
      </w:tr>
      <w:tr>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2</w:t>
            </w:r>
          </w:p>
        </w:tc>
        <w:tc>
          <w:tcPr>
            <w:tcW w:type="dxa" w:w="8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IT registers the asset in the inventory, assigns an asset ID, records the owner, and documents the classification.</w:t>
            </w:r>
          </w:p>
        </w:tc>
      </w:tr>
      <w:tr>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3</w:t>
            </w:r>
          </w:p>
        </w:tc>
        <w:tc>
          <w:tcPr>
            <w:tcW w:type="dxa" w:w="8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IT sets up the security baseline - configuring it properly, applying any required security settings, and enrolling it in management tools if applicable.</w:t>
            </w:r>
          </w:p>
        </w:tc>
      </w:tr>
      <w:tr>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4</w:t>
            </w:r>
          </w:p>
        </w:tc>
        <w:tc>
          <w:tcPr>
            <w:tcW w:type="dxa" w:w="8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You use it. You are now the assigned owner or user and are responsible for it under this policy.</w:t>
            </w:r>
          </w:p>
        </w:tc>
      </w:tr>
    </w:tbl>
    <w:p>
      <w:pPr>
        <w:spacing w:after="80" w:before="0"/>
      </w:pPr>
      <w:r>
        <w:t xml:space="preserve"/>
      </w:r>
    </w:p>
    <w:p>
      <w:pPr>
        <w:pStyle w:val="Heading1"/>
        <w:pBdr>
          <w:bottom w:val="single" w:color="07B4D9" w:sz="8" w:space="4"/>
        </w:pBdr>
        <w:spacing w:after="120" w:before="400"/>
      </w:pPr>
      <w:bookmarkStart w:name="s8" w:id="15"/>
      <w:r>
        <w:rPr>
          <w:rFonts w:ascii="Arial" w:cs="Arial" w:eastAsia="Arial" w:hAnsi="Arial"/>
          <w:b/>
          <w:bCs/>
          <w:color w:val="152168"/>
          <w:sz w:val="30"/>
          <w:szCs w:val="30"/>
        </w:rPr>
        <w:t xml:space="preserve">8. When Something Is No Longer Needed</w:t>
      </w:r>
      <w:bookmarkEnd w:id="16"/>
    </w:p>
    <w:p>
      <w:pPr>
        <w:spacing w:after="80" w:before="60"/>
        <w:jc w:val="both"/>
      </w:pPr>
      <w:r>
        <w:rPr>
          <w:rFonts w:ascii="Arial" w:cs="Arial" w:eastAsia="Arial" w:hAnsi="Arial"/>
          <w:color w:val="1A2340"/>
          <w:sz w:val="22"/>
          <w:szCs w:val="22"/>
        </w:rPr>
        <w:t xml:space="preserve">When a device or service reaches end of life - whether it is broken, replaced, or no longer needed - it must be properly retired. This is not just about tidying up the inventory. It is about making sure that organizational data does not fall into the wrong hands.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Step</w:t>
            </w:r>
          </w:p>
        </w:tc>
        <w:tc>
          <w:tcPr>
            <w:tcW w:type="dxa" w:w="8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Happens</w:t>
            </w:r>
          </w:p>
        </w:tc>
      </w:tr>
      <w:tr>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1</w:t>
            </w:r>
          </w:p>
        </w:tc>
        <w:tc>
          <w:tcPr>
            <w:tcW w:type="dxa" w:w="8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Return the device to IT. Do not donate, sell, or dispose of organizational equipment yourself.</w:t>
            </w:r>
          </w:p>
        </w:tc>
      </w:tr>
      <w:tr>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2</w:t>
            </w:r>
          </w:p>
        </w:tc>
        <w:tc>
          <w:tcPr>
            <w:tcW w:type="dxa" w:w="8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IT securely wipes the device. The method depends on what data was on it - in all cases, data is removed in a way that cannot be recovered.</w:t>
            </w:r>
          </w:p>
        </w:tc>
      </w:tr>
      <w:tr>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3</w:t>
            </w:r>
          </w:p>
        </w:tc>
        <w:tc>
          <w:tcPr>
            <w:tcW w:type="dxa" w:w="8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IT removes the asset from the active inventory and updates its status to Retired. A disposal record is kept for audit purposes.</w:t>
            </w:r>
          </w:p>
        </w:tc>
      </w:tr>
    </w:tbl>
    <w:p>
      <w:pPr>
        <w:spacing w:after="60" w:before="0"/>
      </w:pPr>
      <w:r>
        <w:t xml:space="preserve"/>
      </w:r>
    </w:p>
    <w:p>
      <w:pPr>
        <w:spacing w:after="80" w:before="60"/>
        <w:jc w:val="both"/>
      </w:pPr>
      <w:r>
        <w:rPr>
          <w:rFonts w:ascii="Arial" w:cs="Arial" w:eastAsia="Arial" w:hAnsi="Arial"/>
          <w:color w:val="1A2340"/>
          <w:sz w:val="22"/>
          <w:szCs w:val="22"/>
        </w:rPr>
        <w:t xml:space="preserve">The same principle applies to cloud services: when a subscription is cancelled, IT must ensure organizational data has been exported or deleted before the account is closed.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8"/>
              <w:left w:val="single" w:color="4F46E5" w:sz="16"/>
              <w:bottom w:val="single" w:color="4F46E5" w:sz="8"/>
              <w:right w:val="single" w:color="4F46E5" w:sz="4"/>
            </w:tcBorders>
            <w:shd w:fill="EBF0FA" w:val="clear"/>
            <w:tcMar>
              <w:top w:type="dxa" w:w="120"/>
              <w:left w:type="dxa" w:w="200"/>
              <w:bottom w:type="dxa" w:w="120"/>
              <w:right w:type="dxa" w:w="160"/>
            </w:tcMar>
          </w:tcPr>
          <w:p>
            <w:pPr>
              <w:spacing w:after="0" w:before="0"/>
              <w:jc w:val="both"/>
            </w:pPr>
            <w:r>
              <w:rPr>
                <w:rFonts w:ascii="Arial" w:cs="Arial" w:eastAsia="Arial" w:hAnsi="Arial"/>
                <w:b/>
                <w:bCs/>
                <w:color w:val="1A2340"/>
                <w:sz w:val="22"/>
                <w:szCs w:val="22"/>
              </w:rPr>
              <w:t xml:space="preserve">Why proper disposal matters: A laptop sold, donated, or thrown out without secure wiping can expose confidential data even if you think you deleted the files. Deleted files are recoverable without proper sanitization. IT uses industry-standard methods to ensure data cannot be retrieved.</w:t>
            </w:r>
          </w:p>
        </w:tc>
      </w:tr>
    </w:tbl>
    <w:p>
      <w:pPr>
        <w:spacing w:after="80" w:before="0"/>
      </w:pPr>
      <w:r>
        <w:t xml:space="preserve"/>
      </w:r>
    </w:p>
    <w:p>
      <w:pPr>
        <w:pStyle w:val="Heading1"/>
        <w:pBdr>
          <w:bottom w:val="single" w:color="07B4D9" w:sz="8" w:space="4"/>
        </w:pBdr>
        <w:spacing w:after="120" w:before="400"/>
      </w:pPr>
      <w:bookmarkStart w:name="s9" w:id="17"/>
      <w:r>
        <w:rPr>
          <w:rFonts w:ascii="Arial" w:cs="Arial" w:eastAsia="Arial" w:hAnsi="Arial"/>
          <w:b/>
          <w:bCs/>
          <w:color w:val="152168"/>
          <w:sz w:val="30"/>
          <w:szCs w:val="30"/>
        </w:rPr>
        <w:t xml:space="preserve">9. Annual Asset Check</w:t>
      </w:r>
      <w:bookmarkEnd w:id="18"/>
    </w:p>
    <w:p>
      <w:pPr>
        <w:spacing w:after="80" w:before="60"/>
        <w:jc w:val="both"/>
      </w:pPr>
      <w:r>
        <w:rPr>
          <w:rFonts w:ascii="Arial" w:cs="Arial" w:eastAsia="Arial" w:hAnsi="Arial"/>
          <w:color w:val="1A2340"/>
          <w:sz w:val="22"/>
          <w:szCs w:val="22"/>
        </w:rPr>
        <w:t xml:space="preserve">Once a year, we verify that all assets in our inventory are accounted for and that the records are accurate. This is called an asset audit.</w:t>
      </w:r>
    </w:p>
    <w:p>
      <w:pPr>
        <w:spacing w:after="80" w:before="60"/>
        <w:jc w:val="both"/>
      </w:pPr>
      <w:r>
        <w:rPr>
          <w:rFonts w:ascii="Arial" w:cs="Arial" w:eastAsia="Arial" w:hAnsi="Arial"/>
          <w:color w:val="1A2340"/>
          <w:sz w:val="22"/>
          <w:szCs w:val="22"/>
        </w:rPr>
        <w:t xml:space="preserve">What this means for you:</w:t>
      </w:r>
    </w:p>
    <w:p>
      <w:pPr>
        <w:pStyle w:val="ListParagraph"/>
        <w:numPr>
          <w:ilvl w:val="0"/>
          <w:numId w:val="2"/>
        </w:numPr>
        <w:spacing w:after="40" w:before="40"/>
      </w:pPr>
      <w:r>
        <w:rPr>
          <w:rFonts w:ascii="Arial" w:cs="Arial" w:eastAsia="Arial" w:hAnsi="Arial"/>
          <w:color w:val="1A2340"/>
          <w:sz w:val="22"/>
          <w:szCs w:val="22"/>
        </w:rPr>
        <w:t xml:space="preserve">Your manager will contact you to confirm the equipment and systems assigned to you.</w:t>
      </w:r>
    </w:p>
    <w:p>
      <w:pPr>
        <w:pStyle w:val="ListParagraph"/>
        <w:numPr>
          <w:ilvl w:val="0"/>
          <w:numId w:val="2"/>
        </w:numPr>
        <w:spacing w:after="40" w:before="40"/>
      </w:pPr>
      <w:r>
        <w:rPr>
          <w:rFonts w:ascii="Arial" w:cs="Arial" w:eastAsia="Arial" w:hAnsi="Arial"/>
          <w:color w:val="1A2340"/>
          <w:sz w:val="22"/>
          <w:szCs w:val="22"/>
        </w:rPr>
        <w:t xml:space="preserve">You will be asked to confirm that each item is still in your possession and in active use.</w:t>
      </w:r>
    </w:p>
    <w:p>
      <w:pPr>
        <w:pStyle w:val="ListParagraph"/>
        <w:numPr>
          <w:ilvl w:val="0"/>
          <w:numId w:val="2"/>
        </w:numPr>
        <w:spacing w:after="40" w:before="40"/>
      </w:pPr>
      <w:r>
        <w:rPr>
          <w:rFonts w:ascii="Arial" w:cs="Arial" w:eastAsia="Arial" w:hAnsi="Arial"/>
          <w:color w:val="1A2340"/>
          <w:sz w:val="22"/>
          <w:szCs w:val="22"/>
        </w:rPr>
        <w:t xml:space="preserve">If you have any equipment at home or off-site, you will be asked to confirm its location.</w:t>
      </w:r>
    </w:p>
    <w:p>
      <w:pPr>
        <w:pStyle w:val="ListParagraph"/>
        <w:numPr>
          <w:ilvl w:val="0"/>
          <w:numId w:val="2"/>
        </w:numPr>
        <w:spacing w:after="40" w:before="40"/>
      </w:pPr>
      <w:r>
        <w:rPr>
          <w:rFonts w:ascii="Arial" w:cs="Arial" w:eastAsia="Arial" w:hAnsi="Arial"/>
          <w:color w:val="1A2340"/>
          <w:sz w:val="22"/>
          <w:szCs w:val="22"/>
        </w:rPr>
        <w:t xml:space="preserve">Any items you cannot account for must be reported immediately.</w:t>
      </w:r>
    </w:p>
    <w:p>
      <w:pPr>
        <w:spacing w:after="60" w:before="0"/>
      </w:pPr>
      <w:r>
        <w:t xml:space="preserve"/>
      </w:r>
    </w:p>
    <w:p>
      <w:pPr>
        <w:spacing w:after="80" w:before="60"/>
        <w:jc w:val="both"/>
      </w:pPr>
      <w:r>
        <w:rPr>
          <w:rFonts w:ascii="Arial" w:cs="Arial" w:eastAsia="Arial" w:hAnsi="Arial"/>
          <w:color w:val="1A2340"/>
          <w:sz w:val="22"/>
          <w:szCs w:val="22"/>
        </w:rPr>
        <w:t xml:space="preserve">The audit also includes a broader check by IT using scanning tools that detect devices and software on the network. This helps us catch anything that may have been missed or added without going through the proper process.</w:t>
      </w:r>
    </w:p>
    <w:p>
      <w:pPr>
        <w:spacing w:after="80" w:before="0"/>
      </w:pPr>
      <w:r>
        <w:t xml:space="preserve"/>
      </w:r>
    </w:p>
    <w:p>
      <w:pPr>
        <w:pStyle w:val="Heading1"/>
        <w:pBdr>
          <w:bottom w:val="single" w:color="07B4D9" w:sz="8" w:space="4"/>
        </w:pBdr>
        <w:spacing w:after="120" w:before="400"/>
      </w:pPr>
      <w:bookmarkStart w:name="s10" w:id="19"/>
      <w:r>
        <w:rPr>
          <w:rFonts w:ascii="Arial" w:cs="Arial" w:eastAsia="Arial" w:hAnsi="Arial"/>
          <w:b/>
          <w:bCs/>
          <w:color w:val="152168"/>
          <w:sz w:val="30"/>
          <w:szCs w:val="30"/>
        </w:rPr>
        <w:t xml:space="preserve">10. Document Control and Acknowledgement</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60"/>
        <w:gridCol w:w="2200"/>
        <w:gridCol w:w="2200"/>
        <w:gridCol w:w="800"/>
      </w:tblGrid>
      <w:tr>
        <w:tc>
          <w:tcPr>
            <w:tcW w:type="dxa" w:w="18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Version</w:t>
            </w:r>
          </w:p>
        </w:tc>
        <w:tc>
          <w:tcPr>
            <w:tcW w:type="dxa" w:w="23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Date</w:t>
            </w:r>
          </w:p>
        </w:tc>
        <w:tc>
          <w:tcPr>
            <w:tcW w:type="dxa" w:w="2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Author</w:t>
            </w:r>
          </w:p>
        </w:tc>
        <w:tc>
          <w:tcPr>
            <w:tcW w:type="dxa" w:w="2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Changes</w:t>
            </w:r>
          </w:p>
        </w:tc>
        <w:tc>
          <w:tcPr>
            <w:tcW w:type="dxa" w:w="8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
            </w:r>
          </w:p>
        </w:tc>
      </w:tr>
      <w:tr>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1.0</w:t>
            </w:r>
          </w:p>
        </w:tc>
        <w:tc>
          <w:tcPr>
            <w:tcW w:type="dxa" w:w="23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[DATE]</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CISO / vCISO</w:t>
            </w:r>
          </w:p>
        </w:tc>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Initial release.</w:t>
            </w:r>
          </w:p>
        </w:tc>
        <w:tc>
          <w:tcPr>
            <w:tcW w:type="dxa" w:w="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r>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bl>
    <w:p>
      <w:pPr>
        <w:spacing w:after="80" w:before="0"/>
      </w:pPr>
      <w:r>
        <w:t xml:space="preserve"/>
      </w:r>
    </w:p>
    <w:p>
      <w:pPr>
        <w:spacing w:after="80" w:before="60"/>
        <w:jc w:val="both"/>
      </w:pPr>
      <w:r>
        <w:rPr>
          <w:rFonts w:ascii="Arial" w:cs="Arial" w:eastAsia="Arial" w:hAnsi="Arial"/>
          <w:color w:val="1A2340"/>
          <w:sz w:val="22"/>
          <w:szCs w:val="22"/>
        </w:rPr>
        <w:t xml:space="preserve">This policy is reviewed annually. All staff are required to read and acknowledge this policy.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Full Name</w:t>
            </w:r>
          </w:p>
        </w:tc>
        <w:tc>
          <w:tcPr>
            <w:tcW w:type="dxa" w:w="312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Signature</w:t>
            </w:r>
          </w:p>
        </w:tc>
        <w:tc>
          <w:tcPr>
            <w:tcW w:type="dxa" w:w="312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Date</w:t>
            </w:r>
          </w:p>
        </w:tc>
      </w:tr>
      <w:tr>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bl>
    <w:p>
      <w:pPr>
        <w:spacing w:after="160" w:before="0"/>
      </w:pPr>
      <w:r>
        <w:t xml:space="preserve"/>
      </w:r>
    </w:p>
    <w:p>
      <w:pPr>
        <w:jc w:val="center"/>
      </w:pPr>
      <w:r>
        <w:rPr>
          <w:rFonts w:ascii="Arial" w:cs="Arial" w:eastAsia="Arial" w:hAnsi="Arial"/>
          <w:b/>
          <w:bCs/>
          <w:color w:val="152168"/>
          <w:sz w:val="20"/>
          <w:szCs w:val="20"/>
        </w:rPr>
        <w:t xml:space="preserve">END OF DOCUMENT</w:t>
      </w:r>
    </w:p>
    <w:p>
      <w:pPr>
        <w:jc w:val="center"/>
      </w:pPr>
      <w:r>
        <w:rPr>
          <w:rFonts w:ascii="Arial" w:cs="Arial" w:eastAsia="Arial" w:hAnsi="Arial"/>
          <w:color w:val="5A6A8A"/>
          <w:sz w:val="18"/>
          <w:szCs w:val="18"/>
        </w:rPr>
        <w:t xml:space="preserve">ENT-Draft-POL-Asset Management-SMB-6.26  |  Version 1.0  |  © [ORGANIZATION NAME]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space="4"/>
      </w:pBdr>
      <w:spacing w:before="0"/>
      <w:jc w:val="center"/>
    </w:pPr>
    <w:r>
      <w:rPr>
        <w:rFonts w:ascii="Arial" w:cs="Arial" w:eastAsia="Arial" w:hAnsi="Arial"/>
        <w:color w:val="5A6A8A"/>
        <w:sz w:val="18"/>
        <w:szCs w:val="18"/>
      </w:rPr>
      <w:t xml:space="preserve">INTERNAL — CONFIDENTIAL  |  © [ORGANIZATION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F" w:sz="4" w:space="4"/>
      </w:pBdr>
      <w:tabs>
        <w:tab w:val="right" w:pos="9026"/>
      </w:tabs>
      <w:spacing w:after="0"/>
    </w:pPr>
    <w:r>
      <w:rPr>
        <w:rFonts w:ascii="Arial" w:cs="Arial" w:eastAsia="Arial" w:hAnsi="Arial"/>
        <w:color w:val="5A6A8A"/>
        <w:sz w:val="18"/>
        <w:szCs w:val="18"/>
      </w:rPr>
      <w:t xml:space="preserve">ENT-Draft-POL-Asset Management-SMB-6.26  |  Information Asset Management Policy</w:t>
    </w:r>
    <w:r>
      <w:rPr>
        <w:rFonts w:ascii="Arial" w:cs="Arial" w:eastAsia="Arial" w:hAnsi="Arial"/>
        <w:color w:val="5A6A8A"/>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52168"/>
      <w:sz w:val="30"/>
      <w:szCs w:val="30"/>
    </w:rPr>
  </w:style>
  <w:style w:type="paragraph" w:styleId="Heading2">
    <w:name w:val="Heading 2"/>
    <w:basedOn w:val="Normal"/>
    <w:next w:val="Normal"/>
    <w:qFormat/>
    <w:pPr>
      <w:spacing w:after="80" w:before="280"/>
      <w:outlineLvl w:val="1"/>
    </w:pPr>
    <w:rPr>
      <w:rFonts w:ascii="Arial" w:cs="Arial" w:eastAsia="Arial" w:hAnsi="Arial"/>
      <w:b/>
      <w:bCs/>
      <w:color w:val="15216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Asset Management Policy</dc:title>
  <dc:creator>Abbott Cyber Consulting</dc:creator>
  <dc:description>ENT-Draft-POL-Asset Management-SMB-6.26</dc:description>
  <cp:lastModifiedBy>Un-named</cp:lastModifiedBy>
  <cp:revision>1</cp:revision>
  <dcterms:created xsi:type="dcterms:W3CDTF">2026-06-19T04:24:57.552Z</dcterms:created>
  <dcterms:modified xsi:type="dcterms:W3CDTF">2026-06-19T04:24:57.552Z</dcterms:modified>
</cp:coreProperties>
</file>

<file path=docProps/custom.xml><?xml version="1.0" encoding="utf-8"?>
<Properties xmlns="http://schemas.openxmlformats.org/officeDocument/2006/custom-properties" xmlns:vt="http://schemas.openxmlformats.org/officeDocument/2006/docPropsVTypes"/>
</file>