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52168"/>
          <w:sz w:val="52"/>
          <w:szCs w:val="52"/>
        </w:rPr>
        <w:t xml:space="preserve">Data Classification and Handling Policy</w:t>
      </w:r>
    </w:p>
    <w:p>
      <w:pPr>
        <w:spacing w:after="80" w:before="0"/>
      </w:pPr>
      <w:r>
        <w:rPr>
          <w:rFonts w:ascii="Arial" w:cs="Arial" w:eastAsia="Arial" w:hAnsi="Arial"/>
          <w:color w:val="5A6A8A"/>
          <w:sz w:val="20"/>
          <w:szCs w:val="20"/>
        </w:rPr>
        <w:t xml:space="preserve">ENT-Draft-POL-Data Classification and Handling-Comprehensive-6.26</w:t>
      </w:r>
    </w:p>
    <w:p>
      <w:pPr>
        <w:spacing w:after="60" w:before="0"/>
      </w:pPr>
      <w:r>
        <w:rPr>
          <w:rFonts w:ascii="Arial" w:cs="Arial" w:eastAsia="Arial" w:hAnsi="Arial"/>
          <w:b/>
          <w:bCs/>
          <w:color w:val="1A2340"/>
          <w:sz w:val="20"/>
          <w:szCs w:val="20"/>
        </w:rPr>
        <w:t xml:space="preserve">Framework References: </w:t>
      </w:r>
      <w:r>
        <w:rPr>
          <w:rFonts w:ascii="Arial" w:cs="Arial" w:eastAsia="Arial" w:hAnsi="Arial"/>
          <w:color w:val="5A6A8A"/>
          <w:sz w:val="20"/>
          <w:szCs w:val="20"/>
        </w:rPr>
        <w:t xml:space="preserve">NIST CSF 2.0 (PR.DS) | ISO/IEC 27001:2022 Annex A 5.10-5.14 | NIST SP 800-53 Rev 5 (SC family)</w:t>
      </w:r>
    </w:p>
    <w:p>
      <w:pPr>
        <w:spacing w:after="240" w:before="0"/>
      </w:pPr>
      <w:r>
        <w:rPr>
          <w:rFonts w:ascii="Arial" w:cs="Arial" w:eastAsia="Arial" w:hAnsi="Arial"/>
          <w:color w:val="5A6A8A"/>
          <w:sz w:val="20"/>
          <w:szCs w:val="20"/>
        </w:rPr>
        <w:t xml:space="preserve">Effective: June 2026   |   Classification: CONFIDENTIAL   |   Review: Annual</w:t>
      </w:r>
    </w:p>
    <w:p>
      <w:pPr>
        <w:pBdr>
          <w:bottom w:val="single" w:color="152168" w:sz="12"/>
        </w:pBdr>
        <w:spacing w:after="480" w:before="0"/>
      </w:pPr>
    </w:p>
    <w:p>
      <w:pPr>
        <w:pBdr>
          <w:bottom w:val="single" w:color="07B4D9" w:sz="4"/>
        </w:pBdr>
        <w:spacing w:after="120" w:before="240"/>
      </w:pPr>
      <w:r>
        <w:rPr>
          <w:rFonts w:ascii="Arial" w:cs="Arial" w:eastAsia="Arial" w:hAnsi="Arial"/>
          <w:b/>
          <w:bCs/>
          <w:color w:val="152168"/>
          <w:sz w:val="28"/>
          <w:szCs w:val="28"/>
        </w:rPr>
        <w:t xml:space="preserve">1. Purpose</w:t>
      </w:r>
    </w:p>
    <w:p>
      <w:pPr>
        <w:spacing w:after="60" w:before="60"/>
      </w:pPr>
      <w:r>
        <w:rPr>
          <w:rFonts w:ascii="Arial" w:cs="Arial" w:eastAsia="Arial" w:hAnsi="Arial"/>
          <w:color w:val="1A2340"/>
          <w:sz w:val="22"/>
          <w:szCs w:val="22"/>
        </w:rPr>
        <w:t xml:space="preserve">This policy defines how organizational data is classified by sensitivity and establishes handling, storage, transmission, and disposal requirements that are proportionate to the classification level. By applying consistent classifications across the data lifecycle, the organization ensures that protective controls are applied where they are most needed, reducing the risk of unauthorized disclosure, regulatory non-compliance, and reputational harm.</w:t>
      </w:r>
    </w:p>
    <w:p>
      <w:pPr>
        <w:pageBreakBefore/>
        <w:pBdr>
          <w:bottom w:val="single" w:color="07B4D9" w:sz="4"/>
        </w:pBdr>
        <w:spacing w:after="120" w:before="240"/>
      </w:pPr>
      <w:r>
        <w:rPr>
          <w:rFonts w:ascii="Arial" w:cs="Arial" w:eastAsia="Arial" w:hAnsi="Arial"/>
          <w:b/>
          <w:bCs/>
          <w:color w:val="152168"/>
          <w:sz w:val="28"/>
          <w:szCs w:val="28"/>
        </w:rPr>
        <w:t xml:space="preserve">2. Scope</w:t>
      </w:r>
    </w:p>
    <w:p>
      <w:pPr>
        <w:spacing w:after="60" w:before="60"/>
      </w:pPr>
      <w:r>
        <w:rPr>
          <w:rFonts w:ascii="Arial" w:cs="Arial" w:eastAsia="Arial" w:hAnsi="Arial"/>
          <w:color w:val="1A2340"/>
          <w:sz w:val="22"/>
          <w:szCs w:val="22"/>
        </w:rPr>
        <w:t xml:space="preserve">This policy applies to:</w:t>
      </w:r>
    </w:p>
    <w:p>
      <w:pPr>
        <w:pStyle w:val="ListParagraph"/>
        <w:numPr>
          <w:ilvl w:val="0"/>
          <w:numId w:val="2"/>
        </w:numPr>
        <w:spacing w:after="40" w:before="40"/>
      </w:pPr>
      <w:r>
        <w:rPr>
          <w:rFonts w:ascii="Arial" w:cs="Arial" w:eastAsia="Arial" w:hAnsi="Arial"/>
          <w:color w:val="1A2340"/>
          <w:sz w:val="22"/>
          <w:szCs w:val="22"/>
        </w:rPr>
        <w:t xml:space="preserve">All data created, received, stored, transmitted, or processed by the organization, regardless of format or medium (digital, paper, verbal).</w:t>
      </w:r>
    </w:p>
    <w:p>
      <w:pPr>
        <w:pStyle w:val="ListParagraph"/>
        <w:numPr>
          <w:ilvl w:val="0"/>
          <w:numId w:val="2"/>
        </w:numPr>
        <w:spacing w:after="40" w:before="40"/>
      </w:pPr>
      <w:r>
        <w:rPr>
          <w:rFonts w:ascii="Arial" w:cs="Arial" w:eastAsia="Arial" w:hAnsi="Arial"/>
          <w:color w:val="1A2340"/>
          <w:sz w:val="22"/>
          <w:szCs w:val="22"/>
        </w:rPr>
        <w:t xml:space="preserve">All employees, contractors, consultants, temporary workers, and third parties who have access to organizational data.</w:t>
      </w:r>
    </w:p>
    <w:p>
      <w:pPr>
        <w:pStyle w:val="ListParagraph"/>
        <w:numPr>
          <w:ilvl w:val="0"/>
          <w:numId w:val="2"/>
        </w:numPr>
        <w:spacing w:after="40" w:before="40"/>
      </w:pPr>
      <w:r>
        <w:rPr>
          <w:rFonts w:ascii="Arial" w:cs="Arial" w:eastAsia="Arial" w:hAnsi="Arial"/>
          <w:color w:val="1A2340"/>
          <w:sz w:val="22"/>
          <w:szCs w:val="22"/>
        </w:rPr>
        <w:t xml:space="preserve">All systems, devices, applications, and services used to store, process, or transmit organizational data, including cloud services, personal devices used for work, and third-party platforms.</w:t>
      </w:r>
    </w:p>
    <w:p>
      <w:pPr>
        <w:pageBreakBefore/>
        <w:pBdr>
          <w:bottom w:val="single" w:color="07B4D9" w:sz="4"/>
        </w:pBdr>
        <w:spacing w:after="120" w:before="240"/>
      </w:pPr>
      <w:r>
        <w:rPr>
          <w:rFonts w:ascii="Arial" w:cs="Arial" w:eastAsia="Arial" w:hAnsi="Arial"/>
          <w:b/>
          <w:bCs/>
          <w:color w:val="152168"/>
          <w:sz w:val="28"/>
          <w:szCs w:val="28"/>
        </w:rPr>
        <w:t xml:space="preserve">3. Policy Statement</w:t>
      </w:r>
    </w:p>
    <w:p>
      <w:pPr>
        <w:spacing w:after="60" w:before="60"/>
      </w:pPr>
      <w:r>
        <w:rPr>
          <w:rFonts w:ascii="Arial" w:cs="Arial" w:eastAsia="Arial" w:hAnsi="Arial"/>
          <w:color w:val="1A2340"/>
          <w:sz w:val="22"/>
          <w:szCs w:val="22"/>
        </w:rPr>
        <w:t xml:space="preserve">The organization is committed to protecting its information assets in a manner that is proportionate to their value and the risk associated with their loss, misuse, or unauthorized disclosure. This commitment is guided by five core principles:</w:t>
      </w:r>
    </w:p>
    <w:p>
      <w:pPr>
        <w:spacing w:after="0" w:before="0"/>
      </w:pPr>
      <w:r>
        <w:rPr>
          <w:sz w:val="20"/>
          <w:szCs w:val="20"/>
        </w:rPr>
        <w:t xml:space="preserve"/>
      </w:r>
    </w:p>
    <w:p>
      <w:pPr>
        <w:pStyle w:val="ListParagraph"/>
        <w:numPr>
          <w:ilvl w:val="0"/>
          <w:numId w:val="3"/>
        </w:numPr>
        <w:spacing w:after="40" w:before="80"/>
      </w:pPr>
      <w:r>
        <w:rPr>
          <w:rFonts w:ascii="Arial" w:cs="Arial" w:eastAsia="Arial" w:hAnsi="Arial"/>
          <w:b/>
          <w:bCs/>
          <w:color w:val="152168"/>
          <w:sz w:val="22"/>
          <w:szCs w:val="22"/>
        </w:rPr>
        <w:t xml:space="preserve">Classification by Sensitivity: </w:t>
      </w:r>
      <w:r>
        <w:rPr>
          <w:rFonts w:ascii="Arial" w:cs="Arial" w:eastAsia="Arial" w:hAnsi="Arial"/>
          <w:color w:val="1A2340"/>
          <w:sz w:val="22"/>
          <w:szCs w:val="22"/>
        </w:rPr>
        <w:t xml:space="preserve">All data must be classified according to its sensitivity and the potential harm that could result from its unauthorized disclosure or misuse.</w:t>
      </w:r>
    </w:p>
    <w:p>
      <w:pPr>
        <w:pStyle w:val="ListParagraph"/>
        <w:numPr>
          <w:ilvl w:val="0"/>
          <w:numId w:val="3"/>
        </w:numPr>
        <w:spacing w:after="40" w:before="80"/>
      </w:pPr>
      <w:r>
        <w:rPr>
          <w:rFonts w:ascii="Arial" w:cs="Arial" w:eastAsia="Arial" w:hAnsi="Arial"/>
          <w:b/>
          <w:bCs/>
          <w:color w:val="152168"/>
          <w:sz w:val="22"/>
          <w:szCs w:val="22"/>
        </w:rPr>
        <w:t xml:space="preserve">Controls Proportionate to Risk: </w:t>
      </w:r>
      <w:r>
        <w:rPr>
          <w:rFonts w:ascii="Arial" w:cs="Arial" w:eastAsia="Arial" w:hAnsi="Arial"/>
          <w:color w:val="1A2340"/>
          <w:sz w:val="22"/>
          <w:szCs w:val="22"/>
        </w:rPr>
        <w:t xml:space="preserve">Security controls applied to data must be proportionate to its classification level. Over-controlling low-risk data wastes resources; under-controlling high-risk data creates unacceptable exposure.</w:t>
      </w:r>
    </w:p>
    <w:p>
      <w:pPr>
        <w:pStyle w:val="ListParagraph"/>
        <w:numPr>
          <w:ilvl w:val="0"/>
          <w:numId w:val="3"/>
        </w:numPr>
        <w:spacing w:after="40" w:before="80"/>
      </w:pPr>
      <w:r>
        <w:rPr>
          <w:rFonts w:ascii="Arial" w:cs="Arial" w:eastAsia="Arial" w:hAnsi="Arial"/>
          <w:b/>
          <w:bCs/>
          <w:color w:val="152168"/>
          <w:sz w:val="22"/>
          <w:szCs w:val="22"/>
        </w:rPr>
        <w:t xml:space="preserve">Owner Accountability: </w:t>
      </w:r>
      <w:r>
        <w:rPr>
          <w:rFonts w:ascii="Arial" w:cs="Arial" w:eastAsia="Arial" w:hAnsi="Arial"/>
          <w:color w:val="1A2340"/>
          <w:sz w:val="22"/>
          <w:szCs w:val="22"/>
        </w:rPr>
        <w:t xml:space="preserve">Every data asset must have an identified owner who is accountable for appropriate classification and access decisions.</w:t>
      </w:r>
    </w:p>
    <w:p>
      <w:pPr>
        <w:pStyle w:val="ListParagraph"/>
        <w:numPr>
          <w:ilvl w:val="0"/>
          <w:numId w:val="3"/>
        </w:numPr>
        <w:spacing w:after="40" w:before="80"/>
      </w:pPr>
      <w:r>
        <w:rPr>
          <w:rFonts w:ascii="Arial" w:cs="Arial" w:eastAsia="Arial" w:hAnsi="Arial"/>
          <w:b/>
          <w:bCs/>
          <w:color w:val="152168"/>
          <w:sz w:val="22"/>
          <w:szCs w:val="22"/>
        </w:rPr>
        <w:t xml:space="preserve">Lifecycle Governance: </w:t>
      </w:r>
      <w:r>
        <w:rPr>
          <w:rFonts w:ascii="Arial" w:cs="Arial" w:eastAsia="Arial" w:hAnsi="Arial"/>
          <w:color w:val="1A2340"/>
          <w:sz w:val="22"/>
          <w:szCs w:val="22"/>
        </w:rPr>
        <w:t xml:space="preserve">Data protection requirements apply across the full data lifecycle — from creation or collection through use, storage, transfer, and final disposal.</w:t>
      </w:r>
    </w:p>
    <w:p>
      <w:pPr>
        <w:pStyle w:val="ListParagraph"/>
        <w:numPr>
          <w:ilvl w:val="0"/>
          <w:numId w:val="3"/>
        </w:numPr>
        <w:spacing w:after="40" w:before="80"/>
      </w:pPr>
      <w:r>
        <w:rPr>
          <w:rFonts w:ascii="Arial" w:cs="Arial" w:eastAsia="Arial" w:hAnsi="Arial"/>
          <w:b/>
          <w:bCs/>
          <w:color w:val="152168"/>
          <w:sz w:val="22"/>
          <w:szCs w:val="22"/>
        </w:rPr>
        <w:t xml:space="preserve">Regulatory Alignment: </w:t>
      </w:r>
      <w:r>
        <w:rPr>
          <w:rFonts w:ascii="Arial" w:cs="Arial" w:eastAsia="Arial" w:hAnsi="Arial"/>
          <w:color w:val="1A2340"/>
          <w:sz w:val="22"/>
          <w:szCs w:val="22"/>
        </w:rPr>
        <w:t xml:space="preserve">Classification and handling requirements must satisfy applicable regulatory, legal, and contractual obligations including PIPEDA, GDPR, PCI DSS, and provincial health legislation.</w:t>
      </w:r>
    </w:p>
    <w:p>
      <w:pPr>
        <w:pageBreakBefore/>
        <w:pBdr>
          <w:bottom w:val="single" w:color="07B4D9" w:sz="4"/>
        </w:pBdr>
        <w:spacing w:after="120" w:before="240"/>
      </w:pPr>
      <w:r>
        <w:rPr>
          <w:rFonts w:ascii="Arial" w:cs="Arial" w:eastAsia="Arial" w:hAnsi="Arial"/>
          <w:b/>
          <w:bCs/>
          <w:color w:val="152168"/>
          <w:sz w:val="28"/>
          <w:szCs w:val="28"/>
        </w:rPr>
        <w:t xml:space="preserve">4. Definitions</w:t>
      </w:r>
    </w:p>
    <w:p>
      <w:pPr>
        <w:spacing w:after="20" w:before="80"/>
      </w:pPr>
      <w:r>
        <w:rPr>
          <w:rFonts w:ascii="Arial" w:cs="Arial" w:eastAsia="Arial" w:hAnsi="Arial"/>
          <w:b/>
          <w:bCs/>
          <w:color w:val="152168"/>
          <w:sz w:val="22"/>
          <w:szCs w:val="22"/>
        </w:rPr>
        <w:t xml:space="preserve">Data Classification</w:t>
      </w:r>
    </w:p>
    <w:p>
      <w:pPr>
        <w:spacing w:after="80" w:before="0"/>
        <w:ind w:left="360"/>
      </w:pPr>
      <w:r>
        <w:rPr>
          <w:rFonts w:ascii="Arial" w:cs="Arial" w:eastAsia="Arial" w:hAnsi="Arial"/>
          <w:color w:val="1A2340"/>
          <w:sz w:val="22"/>
          <w:szCs w:val="22"/>
        </w:rPr>
        <w:t xml:space="preserve">The process of organizing data into categories based on its sensitivity, value, and the potential impact of unauthorized disclosure.</w:t>
      </w:r>
    </w:p>
    <w:p>
      <w:pPr>
        <w:spacing w:after="20" w:before="80"/>
      </w:pPr>
      <w:r>
        <w:rPr>
          <w:rFonts w:ascii="Arial" w:cs="Arial" w:eastAsia="Arial" w:hAnsi="Arial"/>
          <w:b/>
          <w:bCs/>
          <w:color w:val="152168"/>
          <w:sz w:val="22"/>
          <w:szCs w:val="22"/>
        </w:rPr>
        <w:t xml:space="preserve">Data Owner</w:t>
      </w:r>
    </w:p>
    <w:p>
      <w:pPr>
        <w:spacing w:after="80" w:before="0"/>
        <w:ind w:left="360"/>
      </w:pPr>
      <w:r>
        <w:rPr>
          <w:rFonts w:ascii="Arial" w:cs="Arial" w:eastAsia="Arial" w:hAnsi="Arial"/>
          <w:color w:val="1A2340"/>
          <w:sz w:val="22"/>
          <w:szCs w:val="22"/>
        </w:rPr>
        <w:t xml:space="preserve">A senior individual (typically a department head) accountable for a data set, including its classification, access authorization, and compliance with this policy.</w:t>
      </w:r>
    </w:p>
    <w:p>
      <w:pPr>
        <w:spacing w:after="20" w:before="80"/>
      </w:pPr>
      <w:r>
        <w:rPr>
          <w:rFonts w:ascii="Arial" w:cs="Arial" w:eastAsia="Arial" w:hAnsi="Arial"/>
          <w:b/>
          <w:bCs/>
          <w:color w:val="152168"/>
          <w:sz w:val="22"/>
          <w:szCs w:val="22"/>
        </w:rPr>
        <w:t xml:space="preserve">Data Custodian</w:t>
      </w:r>
    </w:p>
    <w:p>
      <w:pPr>
        <w:spacing w:after="80" w:before="0"/>
        <w:ind w:left="360"/>
      </w:pPr>
      <w:r>
        <w:rPr>
          <w:rFonts w:ascii="Arial" w:cs="Arial" w:eastAsia="Arial" w:hAnsi="Arial"/>
          <w:color w:val="1A2340"/>
          <w:sz w:val="22"/>
          <w:szCs w:val="22"/>
        </w:rPr>
        <w:t xml:space="preserve">An individual or team (typically IT) responsible for implementing and maintaining the technical controls required to protect data according to its classification.</w:t>
      </w:r>
    </w:p>
    <w:p>
      <w:pPr>
        <w:spacing w:after="20" w:before="80"/>
      </w:pPr>
      <w:r>
        <w:rPr>
          <w:rFonts w:ascii="Arial" w:cs="Arial" w:eastAsia="Arial" w:hAnsi="Arial"/>
          <w:b/>
          <w:bCs/>
          <w:color w:val="152168"/>
          <w:sz w:val="22"/>
          <w:szCs w:val="22"/>
        </w:rPr>
        <w:t xml:space="preserve">Data Subject</w:t>
      </w:r>
    </w:p>
    <w:p>
      <w:pPr>
        <w:spacing w:after="80" w:before="0"/>
        <w:ind w:left="360"/>
      </w:pPr>
      <w:r>
        <w:rPr>
          <w:rFonts w:ascii="Arial" w:cs="Arial" w:eastAsia="Arial" w:hAnsi="Arial"/>
          <w:color w:val="1A2340"/>
          <w:sz w:val="22"/>
          <w:szCs w:val="22"/>
        </w:rPr>
        <w:t xml:space="preserve">An individual whose personal data is collected, stored, or processed by the organization.</w:t>
      </w:r>
    </w:p>
    <w:p>
      <w:pPr>
        <w:spacing w:after="20" w:before="80"/>
      </w:pPr>
      <w:r>
        <w:rPr>
          <w:rFonts w:ascii="Arial" w:cs="Arial" w:eastAsia="Arial" w:hAnsi="Arial"/>
          <w:b/>
          <w:bCs/>
          <w:color w:val="152168"/>
          <w:sz w:val="22"/>
          <w:szCs w:val="22"/>
        </w:rPr>
        <w:t xml:space="preserve">Personally Identifiable Information (PII)</w:t>
      </w:r>
    </w:p>
    <w:p>
      <w:pPr>
        <w:spacing w:after="80" w:before="0"/>
        <w:ind w:left="360"/>
      </w:pPr>
      <w:r>
        <w:rPr>
          <w:rFonts w:ascii="Arial" w:cs="Arial" w:eastAsia="Arial" w:hAnsi="Arial"/>
          <w:color w:val="1A2340"/>
          <w:sz w:val="22"/>
          <w:szCs w:val="22"/>
        </w:rPr>
        <w:t xml:space="preserve">Any information that can be used, alone or in combination, to identify a specific individual, including name, address, date of birth, government ID numbers, or email address.</w:t>
      </w:r>
    </w:p>
    <w:p>
      <w:pPr>
        <w:spacing w:after="20" w:before="80"/>
      </w:pPr>
      <w:r>
        <w:rPr>
          <w:rFonts w:ascii="Arial" w:cs="Arial" w:eastAsia="Arial" w:hAnsi="Arial"/>
          <w:b/>
          <w:bCs/>
          <w:color w:val="152168"/>
          <w:sz w:val="22"/>
          <w:szCs w:val="22"/>
        </w:rPr>
        <w:t xml:space="preserve">Sensitive Personal Information (SPI)</w:t>
      </w:r>
    </w:p>
    <w:p>
      <w:pPr>
        <w:spacing w:after="80" w:before="0"/>
        <w:ind w:left="360"/>
      </w:pPr>
      <w:r>
        <w:rPr>
          <w:rFonts w:ascii="Arial" w:cs="Arial" w:eastAsia="Arial" w:hAnsi="Arial"/>
          <w:color w:val="1A2340"/>
          <w:sz w:val="22"/>
          <w:szCs w:val="22"/>
        </w:rPr>
        <w:t xml:space="preserve">A subset of PII that warrants heightened protection due to its potential for harm if disclosed, including financial account details, health information, sexual orientation, religious beliefs, or biometric data.</w:t>
      </w:r>
    </w:p>
    <w:p>
      <w:pPr>
        <w:spacing w:after="20" w:before="80"/>
      </w:pPr>
      <w:r>
        <w:rPr>
          <w:rFonts w:ascii="Arial" w:cs="Arial" w:eastAsia="Arial" w:hAnsi="Arial"/>
          <w:b/>
          <w:bCs/>
          <w:color w:val="152168"/>
          <w:sz w:val="22"/>
          <w:szCs w:val="22"/>
        </w:rPr>
        <w:t xml:space="preserve">Payment Card Data</w:t>
      </w:r>
    </w:p>
    <w:p>
      <w:pPr>
        <w:spacing w:after="80" w:before="0"/>
        <w:ind w:left="360"/>
      </w:pPr>
      <w:r>
        <w:rPr>
          <w:rFonts w:ascii="Arial" w:cs="Arial" w:eastAsia="Arial" w:hAnsi="Arial"/>
          <w:color w:val="1A2340"/>
          <w:sz w:val="22"/>
          <w:szCs w:val="22"/>
        </w:rPr>
        <w:t xml:space="preserve">Card account numbers (PAN), card verification values (CVV/CVC), expiry dates, cardholder names, and service codes as defined under PCI DSS.</w:t>
      </w:r>
    </w:p>
    <w:p>
      <w:pPr>
        <w:spacing w:after="20" w:before="80"/>
      </w:pPr>
      <w:r>
        <w:rPr>
          <w:rFonts w:ascii="Arial" w:cs="Arial" w:eastAsia="Arial" w:hAnsi="Arial"/>
          <w:b/>
          <w:bCs/>
          <w:color w:val="152168"/>
          <w:sz w:val="22"/>
          <w:szCs w:val="22"/>
        </w:rPr>
        <w:t xml:space="preserve">Protected Health Information (PHI)</w:t>
      </w:r>
    </w:p>
    <w:p>
      <w:pPr>
        <w:spacing w:after="80" w:before="0"/>
        <w:ind w:left="360"/>
      </w:pPr>
      <w:r>
        <w:rPr>
          <w:rFonts w:ascii="Arial" w:cs="Arial" w:eastAsia="Arial" w:hAnsi="Arial"/>
          <w:color w:val="1A2340"/>
          <w:sz w:val="22"/>
          <w:szCs w:val="22"/>
        </w:rPr>
        <w:t xml:space="preserve">Individually identifiable health information in any form, including diagnosis, treatment, prescriptions, or insurance data.</w:t>
      </w:r>
    </w:p>
    <w:p>
      <w:pPr>
        <w:spacing w:after="20" w:before="80"/>
      </w:pPr>
      <w:r>
        <w:rPr>
          <w:rFonts w:ascii="Arial" w:cs="Arial" w:eastAsia="Arial" w:hAnsi="Arial"/>
          <w:b/>
          <w:bCs/>
          <w:color w:val="152168"/>
          <w:sz w:val="22"/>
          <w:szCs w:val="22"/>
        </w:rPr>
        <w:t xml:space="preserve">Confidential Information</w:t>
      </w:r>
    </w:p>
    <w:p>
      <w:pPr>
        <w:spacing w:after="80" w:before="0"/>
        <w:ind w:left="360"/>
      </w:pPr>
      <w:r>
        <w:rPr>
          <w:rFonts w:ascii="Arial" w:cs="Arial" w:eastAsia="Arial" w:hAnsi="Arial"/>
          <w:color w:val="1A2340"/>
          <w:sz w:val="22"/>
          <w:szCs w:val="22"/>
        </w:rPr>
        <w:t xml:space="preserve">Business-sensitive information, including SPI, employee PII, financial data, and strategic plans, whose unauthorized disclosure could cause material harm to the organization or its stakeholders.</w:t>
      </w:r>
    </w:p>
    <w:p>
      <w:pPr>
        <w:spacing w:after="20" w:before="80"/>
      </w:pPr>
      <w:r>
        <w:rPr>
          <w:rFonts w:ascii="Arial" w:cs="Arial" w:eastAsia="Arial" w:hAnsi="Arial"/>
          <w:b/>
          <w:bCs/>
          <w:color w:val="152168"/>
          <w:sz w:val="22"/>
          <w:szCs w:val="22"/>
        </w:rPr>
        <w:t xml:space="preserve">Public Information</w:t>
      </w:r>
    </w:p>
    <w:p>
      <w:pPr>
        <w:spacing w:after="80" w:before="0"/>
        <w:ind w:left="360"/>
      </w:pPr>
      <w:r>
        <w:rPr>
          <w:rFonts w:ascii="Arial" w:cs="Arial" w:eastAsia="Arial" w:hAnsi="Arial"/>
          <w:color w:val="1A2340"/>
          <w:sz w:val="22"/>
          <w:szCs w:val="22"/>
        </w:rPr>
        <w:t xml:space="preserve">Information that has been explicitly approved for public release and poses no confidentiality risk.</w:t>
      </w:r>
    </w:p>
    <w:p>
      <w:pPr>
        <w:spacing w:after="20" w:before="80"/>
      </w:pPr>
      <w:r>
        <w:rPr>
          <w:rFonts w:ascii="Arial" w:cs="Arial" w:eastAsia="Arial" w:hAnsi="Arial"/>
          <w:b/>
          <w:bCs/>
          <w:color w:val="152168"/>
          <w:sz w:val="22"/>
          <w:szCs w:val="22"/>
        </w:rPr>
        <w:t xml:space="preserve">Encryption at Rest</w:t>
      </w:r>
    </w:p>
    <w:p>
      <w:pPr>
        <w:spacing w:after="80" w:before="0"/>
        <w:ind w:left="360"/>
      </w:pPr>
      <w:r>
        <w:rPr>
          <w:rFonts w:ascii="Arial" w:cs="Arial" w:eastAsia="Arial" w:hAnsi="Arial"/>
          <w:color w:val="1A2340"/>
          <w:sz w:val="22"/>
          <w:szCs w:val="22"/>
        </w:rPr>
        <w:t xml:space="preserve">The protection of stored data using cryptographic algorithms so that it cannot be read without the decryption key.</w:t>
      </w:r>
    </w:p>
    <w:p>
      <w:pPr>
        <w:spacing w:after="20" w:before="80"/>
      </w:pPr>
      <w:r>
        <w:rPr>
          <w:rFonts w:ascii="Arial" w:cs="Arial" w:eastAsia="Arial" w:hAnsi="Arial"/>
          <w:b/>
          <w:bCs/>
          <w:color w:val="152168"/>
          <w:sz w:val="22"/>
          <w:szCs w:val="22"/>
        </w:rPr>
        <w:t xml:space="preserve">Encryption in Transit</w:t>
      </w:r>
    </w:p>
    <w:p>
      <w:pPr>
        <w:spacing w:after="80" w:before="0"/>
        <w:ind w:left="360"/>
      </w:pPr>
      <w:r>
        <w:rPr>
          <w:rFonts w:ascii="Arial" w:cs="Arial" w:eastAsia="Arial" w:hAnsi="Arial"/>
          <w:color w:val="1A2340"/>
          <w:sz w:val="22"/>
          <w:szCs w:val="22"/>
        </w:rPr>
        <w:t xml:space="preserve">The protection of data as it moves across networks using protocols such as TLS, so it cannot be intercepted and read.</w:t>
      </w:r>
    </w:p>
    <w:p>
      <w:pPr>
        <w:spacing w:after="20" w:before="80"/>
      </w:pPr>
      <w:r>
        <w:rPr>
          <w:rFonts w:ascii="Arial" w:cs="Arial" w:eastAsia="Arial" w:hAnsi="Arial"/>
          <w:b/>
          <w:bCs/>
          <w:color w:val="152168"/>
          <w:sz w:val="22"/>
          <w:szCs w:val="22"/>
        </w:rPr>
        <w:t xml:space="preserve">Data Retention</w:t>
      </w:r>
    </w:p>
    <w:p>
      <w:pPr>
        <w:spacing w:after="80" w:before="0"/>
        <w:ind w:left="360"/>
      </w:pPr>
      <w:r>
        <w:rPr>
          <w:rFonts w:ascii="Arial" w:cs="Arial" w:eastAsia="Arial" w:hAnsi="Arial"/>
          <w:color w:val="1A2340"/>
          <w:sz w:val="22"/>
          <w:szCs w:val="22"/>
        </w:rPr>
        <w:t xml:space="preserve">The period for which data must be kept to meet business, legal, or regulatory requirements before it may be disposed of.</w:t>
      </w:r>
    </w:p>
    <w:p>
      <w:pPr>
        <w:spacing w:after="20" w:before="80"/>
      </w:pPr>
      <w:r>
        <w:rPr>
          <w:rFonts w:ascii="Arial" w:cs="Arial" w:eastAsia="Arial" w:hAnsi="Arial"/>
          <w:b/>
          <w:bCs/>
          <w:color w:val="152168"/>
          <w:sz w:val="22"/>
          <w:szCs w:val="22"/>
        </w:rPr>
        <w:t xml:space="preserve">Data Disposal</w:t>
      </w:r>
    </w:p>
    <w:p>
      <w:pPr>
        <w:spacing w:after="80" w:before="0"/>
        <w:ind w:left="360"/>
      </w:pPr>
      <w:r>
        <w:rPr>
          <w:rFonts w:ascii="Arial" w:cs="Arial" w:eastAsia="Arial" w:hAnsi="Arial"/>
          <w:color w:val="1A2340"/>
          <w:sz w:val="22"/>
          <w:szCs w:val="22"/>
        </w:rPr>
        <w:t xml:space="preserve">The secure and verifiable destruction or deletion of data such that it cannot be recovered or reconstructed.</w:t>
      </w:r>
    </w:p>
    <w:p>
      <w:pPr>
        <w:spacing w:after="20" w:before="80"/>
      </w:pPr>
      <w:r>
        <w:rPr>
          <w:rFonts w:ascii="Arial" w:cs="Arial" w:eastAsia="Arial" w:hAnsi="Arial"/>
          <w:b/>
          <w:bCs/>
          <w:color w:val="152168"/>
          <w:sz w:val="22"/>
          <w:szCs w:val="22"/>
        </w:rPr>
        <w:t xml:space="preserve">Labelling</w:t>
      </w:r>
    </w:p>
    <w:p>
      <w:pPr>
        <w:spacing w:after="80" w:before="0"/>
        <w:ind w:left="360"/>
      </w:pPr>
      <w:r>
        <w:rPr>
          <w:rFonts w:ascii="Arial" w:cs="Arial" w:eastAsia="Arial" w:hAnsi="Arial"/>
          <w:color w:val="1A2340"/>
          <w:sz w:val="22"/>
          <w:szCs w:val="22"/>
        </w:rPr>
        <w:t xml:space="preserve">The application of visible markers to documents, files, or containers that identify the data classification level.</w:t>
      </w:r>
    </w:p>
    <w:p>
      <w:pPr>
        <w:spacing w:after="20" w:before="80"/>
      </w:pPr>
      <w:r>
        <w:rPr>
          <w:rFonts w:ascii="Arial" w:cs="Arial" w:eastAsia="Arial" w:hAnsi="Arial"/>
          <w:b/>
          <w:bCs/>
          <w:color w:val="152168"/>
          <w:sz w:val="22"/>
          <w:szCs w:val="22"/>
        </w:rPr>
        <w:t xml:space="preserve">Data Inventory</w:t>
      </w:r>
    </w:p>
    <w:p>
      <w:pPr>
        <w:spacing w:after="80" w:before="0"/>
        <w:ind w:left="360"/>
      </w:pPr>
      <w:r>
        <w:rPr>
          <w:rFonts w:ascii="Arial" w:cs="Arial" w:eastAsia="Arial" w:hAnsi="Arial"/>
          <w:color w:val="1A2340"/>
          <w:sz w:val="22"/>
          <w:szCs w:val="22"/>
        </w:rPr>
        <w:t xml:space="preserve">A register of key data assets held by the organization, including their classification, location, owner, and retention requirements.</w:t>
      </w:r>
    </w:p>
    <w:p>
      <w:pPr>
        <w:pageBreakBefore/>
        <w:pBdr>
          <w:bottom w:val="single" w:color="07B4D9" w:sz="4"/>
        </w:pBdr>
        <w:spacing w:after="120" w:before="240"/>
      </w:pPr>
      <w:r>
        <w:rPr>
          <w:rFonts w:ascii="Arial" w:cs="Arial" w:eastAsia="Arial" w:hAnsi="Arial"/>
          <w:b/>
          <w:bCs/>
          <w:color w:val="152168"/>
          <w:sz w:val="28"/>
          <w:szCs w:val="28"/>
        </w:rPr>
        <w:t xml:space="preserve">5. Roles and Responsibilities</w:t>
      </w:r>
    </w:p>
    <w:p>
      <w:pPr>
        <w:spacing w:after="60" w:before="160"/>
      </w:pPr>
      <w:r>
        <w:rPr>
          <w:rFonts w:ascii="Arial" w:cs="Arial" w:eastAsia="Arial" w:hAnsi="Arial"/>
          <w:b/>
          <w:bCs/>
          <w:color w:val="4F46E5"/>
          <w:sz w:val="24"/>
          <w:szCs w:val="24"/>
        </w:rPr>
        <w:t xml:space="preserve">CISO / vCISO</w:t>
      </w:r>
    </w:p>
    <w:p>
      <w:pPr>
        <w:pStyle w:val="ListParagraph"/>
        <w:numPr>
          <w:ilvl w:val="0"/>
          <w:numId w:val="2"/>
        </w:numPr>
        <w:spacing w:after="40" w:before="40"/>
      </w:pPr>
      <w:r>
        <w:rPr>
          <w:rFonts w:ascii="Arial" w:cs="Arial" w:eastAsia="Arial" w:hAnsi="Arial"/>
          <w:color w:val="1A2340"/>
          <w:sz w:val="22"/>
          <w:szCs w:val="22"/>
        </w:rPr>
        <w:t xml:space="preserve">Owns the data classification framework and is responsible for its maintenance, communication, and periodic review.</w:t>
      </w:r>
    </w:p>
    <w:p>
      <w:pPr>
        <w:pStyle w:val="ListParagraph"/>
        <w:numPr>
          <w:ilvl w:val="0"/>
          <w:numId w:val="2"/>
        </w:numPr>
        <w:spacing w:after="40" w:before="40"/>
      </w:pPr>
      <w:r>
        <w:rPr>
          <w:rFonts w:ascii="Arial" w:cs="Arial" w:eastAsia="Arial" w:hAnsi="Arial"/>
          <w:color w:val="1A2340"/>
          <w:sz w:val="22"/>
          <w:szCs w:val="22"/>
        </w:rPr>
        <w:t xml:space="preserve">Defines classification standards, labelling conventions, and minimum handling requirements.</w:t>
      </w:r>
    </w:p>
    <w:p>
      <w:pPr>
        <w:pStyle w:val="ListParagraph"/>
        <w:numPr>
          <w:ilvl w:val="0"/>
          <w:numId w:val="2"/>
        </w:numPr>
        <w:spacing w:after="40" w:before="40"/>
      </w:pPr>
      <w:r>
        <w:rPr>
          <w:rFonts w:ascii="Arial" w:cs="Arial" w:eastAsia="Arial" w:hAnsi="Arial"/>
          <w:color w:val="1A2340"/>
          <w:sz w:val="22"/>
          <w:szCs w:val="22"/>
        </w:rPr>
        <w:t xml:space="preserve">Holds exception authority — may approve documented deviations from handling requirements where a risk-based rationale is provided.</w:t>
      </w:r>
    </w:p>
    <w:p>
      <w:pPr>
        <w:pStyle w:val="ListParagraph"/>
        <w:numPr>
          <w:ilvl w:val="0"/>
          <w:numId w:val="2"/>
        </w:numPr>
        <w:spacing w:after="40" w:before="40"/>
      </w:pPr>
      <w:r>
        <w:rPr>
          <w:rFonts w:ascii="Arial" w:cs="Arial" w:eastAsia="Arial" w:hAnsi="Arial"/>
          <w:color w:val="1A2340"/>
          <w:sz w:val="22"/>
          <w:szCs w:val="22"/>
        </w:rPr>
        <w:t xml:space="preserve">Receives escalations for classification disputes or suspected mishandling incidents.</w:t>
      </w:r>
    </w:p>
    <w:p>
      <w:pPr>
        <w:spacing w:after="0" w:before="0"/>
      </w:pPr>
      <w:r>
        <w:rPr>
          <w:sz w:val="20"/>
          <w:szCs w:val="20"/>
        </w:rPr>
        <w:t xml:space="preserve"/>
      </w:r>
    </w:p>
    <w:p>
      <w:pPr>
        <w:spacing w:after="60" w:before="160"/>
      </w:pPr>
      <w:r>
        <w:rPr>
          <w:rFonts w:ascii="Arial" w:cs="Arial" w:eastAsia="Arial" w:hAnsi="Arial"/>
          <w:b/>
          <w:bCs/>
          <w:color w:val="4F46E5"/>
          <w:sz w:val="24"/>
          <w:szCs w:val="24"/>
        </w:rPr>
        <w:t xml:space="preserve">Data Owners (Department Heads)</w:t>
      </w:r>
    </w:p>
    <w:p>
      <w:pPr>
        <w:pStyle w:val="ListParagraph"/>
        <w:numPr>
          <w:ilvl w:val="0"/>
          <w:numId w:val="2"/>
        </w:numPr>
        <w:spacing w:after="40" w:before="40"/>
      </w:pPr>
      <w:r>
        <w:rPr>
          <w:rFonts w:ascii="Arial" w:cs="Arial" w:eastAsia="Arial" w:hAnsi="Arial"/>
          <w:color w:val="1A2340"/>
          <w:sz w:val="22"/>
          <w:szCs w:val="22"/>
        </w:rPr>
        <w:t xml:space="preserve">Classify data assets within their functional domain according to this policy.</w:t>
      </w:r>
    </w:p>
    <w:p>
      <w:pPr>
        <w:pStyle w:val="ListParagraph"/>
        <w:numPr>
          <w:ilvl w:val="0"/>
          <w:numId w:val="2"/>
        </w:numPr>
        <w:spacing w:after="40" w:before="40"/>
      </w:pPr>
      <w:r>
        <w:rPr>
          <w:rFonts w:ascii="Arial" w:cs="Arial" w:eastAsia="Arial" w:hAnsi="Arial"/>
          <w:color w:val="1A2340"/>
          <w:sz w:val="22"/>
          <w:szCs w:val="22"/>
        </w:rPr>
        <w:t xml:space="preserve">Authorize access to data they own, ensuring access is limited to those with a legitimate business need.</w:t>
      </w:r>
    </w:p>
    <w:p>
      <w:pPr>
        <w:pStyle w:val="ListParagraph"/>
        <w:numPr>
          <w:ilvl w:val="0"/>
          <w:numId w:val="2"/>
        </w:numPr>
        <w:spacing w:after="40" w:before="40"/>
      </w:pPr>
      <w:r>
        <w:rPr>
          <w:rFonts w:ascii="Arial" w:cs="Arial" w:eastAsia="Arial" w:hAnsi="Arial"/>
          <w:color w:val="1A2340"/>
          <w:sz w:val="22"/>
          <w:szCs w:val="22"/>
        </w:rPr>
        <w:t xml:space="preserve">Initiate reclassification when the sensitivity of a data asset changes.</w:t>
      </w:r>
    </w:p>
    <w:p>
      <w:pPr>
        <w:pStyle w:val="ListParagraph"/>
        <w:numPr>
          <w:ilvl w:val="0"/>
          <w:numId w:val="2"/>
        </w:numPr>
        <w:spacing w:after="40" w:before="40"/>
      </w:pPr>
      <w:r>
        <w:rPr>
          <w:rFonts w:ascii="Arial" w:cs="Arial" w:eastAsia="Arial" w:hAnsi="Arial"/>
          <w:color w:val="1A2340"/>
          <w:sz w:val="22"/>
          <w:szCs w:val="22"/>
        </w:rPr>
        <w:t xml:space="preserve">Escalate classification uncertainty to the CISO/vCISO.</w:t>
      </w:r>
    </w:p>
    <w:p>
      <w:pPr>
        <w:spacing w:after="0" w:before="0"/>
      </w:pPr>
      <w:r>
        <w:rPr>
          <w:sz w:val="20"/>
          <w:szCs w:val="20"/>
        </w:rPr>
        <w:t xml:space="preserve"/>
      </w:r>
    </w:p>
    <w:p>
      <w:pPr>
        <w:spacing w:after="60" w:before="160"/>
      </w:pPr>
      <w:r>
        <w:rPr>
          <w:rFonts w:ascii="Arial" w:cs="Arial" w:eastAsia="Arial" w:hAnsi="Arial"/>
          <w:b/>
          <w:bCs/>
          <w:color w:val="4F46E5"/>
          <w:sz w:val="24"/>
          <w:szCs w:val="24"/>
        </w:rPr>
        <w:t xml:space="preserve">Data Custodians (IT / Systems Teams)</w:t>
      </w:r>
    </w:p>
    <w:p>
      <w:pPr>
        <w:pStyle w:val="ListParagraph"/>
        <w:numPr>
          <w:ilvl w:val="0"/>
          <w:numId w:val="2"/>
        </w:numPr>
        <w:spacing w:after="40" w:before="40"/>
      </w:pPr>
      <w:r>
        <w:rPr>
          <w:rFonts w:ascii="Arial" w:cs="Arial" w:eastAsia="Arial" w:hAnsi="Arial"/>
          <w:color w:val="1A2340"/>
          <w:sz w:val="22"/>
          <w:szCs w:val="22"/>
        </w:rPr>
        <w:t xml:space="preserve">Implement and maintain technical controls appropriate to each classification level (encryption, access controls, logging, secure disposal).</w:t>
      </w:r>
    </w:p>
    <w:p>
      <w:pPr>
        <w:pStyle w:val="ListParagraph"/>
        <w:numPr>
          <w:ilvl w:val="0"/>
          <w:numId w:val="2"/>
        </w:numPr>
        <w:spacing w:after="40" w:before="40"/>
      </w:pPr>
      <w:r>
        <w:rPr>
          <w:rFonts w:ascii="Arial" w:cs="Arial" w:eastAsia="Arial" w:hAnsi="Arial"/>
          <w:color w:val="1A2340"/>
          <w:sz w:val="22"/>
          <w:szCs w:val="22"/>
        </w:rPr>
        <w:t xml:space="preserve">Provision and de-provision access in accordance with Data Owner authorizations.</w:t>
      </w:r>
    </w:p>
    <w:p>
      <w:pPr>
        <w:pStyle w:val="ListParagraph"/>
        <w:numPr>
          <w:ilvl w:val="0"/>
          <w:numId w:val="2"/>
        </w:numPr>
        <w:spacing w:after="40" w:before="40"/>
      </w:pPr>
      <w:r>
        <w:rPr>
          <w:rFonts w:ascii="Arial" w:cs="Arial" w:eastAsia="Arial" w:hAnsi="Arial"/>
          <w:color w:val="1A2340"/>
          <w:sz w:val="22"/>
          <w:szCs w:val="22"/>
        </w:rPr>
        <w:t xml:space="preserve">Support Data Owners in completing data inventories and classification reviews.</w:t>
      </w:r>
    </w:p>
    <w:p>
      <w:pPr>
        <w:pStyle w:val="ListParagraph"/>
        <w:numPr>
          <w:ilvl w:val="0"/>
          <w:numId w:val="2"/>
        </w:numPr>
        <w:spacing w:after="40" w:before="40"/>
      </w:pPr>
      <w:r>
        <w:rPr>
          <w:rFonts w:ascii="Arial" w:cs="Arial" w:eastAsia="Arial" w:hAnsi="Arial"/>
          <w:color w:val="1A2340"/>
          <w:sz w:val="22"/>
          <w:szCs w:val="22"/>
        </w:rPr>
        <w:t xml:space="preserve">Maintain records of data disposal activities for Critical and Confidential data.</w:t>
      </w:r>
    </w:p>
    <w:p>
      <w:pPr>
        <w:spacing w:after="0" w:before="0"/>
      </w:pPr>
      <w:r>
        <w:rPr>
          <w:sz w:val="20"/>
          <w:szCs w:val="20"/>
        </w:rPr>
        <w:t xml:space="preserve"/>
      </w:r>
    </w:p>
    <w:p>
      <w:pPr>
        <w:spacing w:after="60" w:before="160"/>
      </w:pPr>
      <w:r>
        <w:rPr>
          <w:rFonts w:ascii="Arial" w:cs="Arial" w:eastAsia="Arial" w:hAnsi="Arial"/>
          <w:b/>
          <w:bCs/>
          <w:color w:val="4F46E5"/>
          <w:sz w:val="24"/>
          <w:szCs w:val="24"/>
        </w:rPr>
        <w:t xml:space="preserve">All Staff</w:t>
      </w:r>
    </w:p>
    <w:p>
      <w:pPr>
        <w:pStyle w:val="ListParagraph"/>
        <w:numPr>
          <w:ilvl w:val="0"/>
          <w:numId w:val="2"/>
        </w:numPr>
        <w:spacing w:after="40" w:before="40"/>
      </w:pPr>
      <w:r>
        <w:rPr>
          <w:rFonts w:ascii="Arial" w:cs="Arial" w:eastAsia="Arial" w:hAnsi="Arial"/>
          <w:color w:val="1A2340"/>
          <w:sz w:val="22"/>
          <w:szCs w:val="22"/>
        </w:rPr>
        <w:t xml:space="preserve">Classify data they create or receive in the course of their duties and apply the appropriate handling requirements.</w:t>
      </w:r>
    </w:p>
    <w:p>
      <w:pPr>
        <w:pStyle w:val="ListParagraph"/>
        <w:numPr>
          <w:ilvl w:val="0"/>
          <w:numId w:val="2"/>
        </w:numPr>
        <w:spacing w:after="40" w:before="40"/>
      </w:pPr>
      <w:r>
        <w:rPr>
          <w:rFonts w:ascii="Arial" w:cs="Arial" w:eastAsia="Arial" w:hAnsi="Arial"/>
          <w:color w:val="1A2340"/>
          <w:sz w:val="22"/>
          <w:szCs w:val="22"/>
        </w:rPr>
        <w:t xml:space="preserve">Apply labelling to documents and files consistent with their classification.</w:t>
      </w:r>
    </w:p>
    <w:p>
      <w:pPr>
        <w:pStyle w:val="ListParagraph"/>
        <w:numPr>
          <w:ilvl w:val="0"/>
          <w:numId w:val="2"/>
        </w:numPr>
        <w:spacing w:after="40" w:before="40"/>
      </w:pPr>
      <w:r>
        <w:rPr>
          <w:rFonts w:ascii="Arial" w:cs="Arial" w:eastAsia="Arial" w:hAnsi="Arial"/>
          <w:color w:val="1A2340"/>
          <w:sz w:val="22"/>
          <w:szCs w:val="22"/>
        </w:rPr>
        <w:t xml:space="preserve">Seek guidance from their manager or the IT team when uncertain about the correct classification.</w:t>
      </w:r>
    </w:p>
    <w:p>
      <w:pPr>
        <w:pStyle w:val="ListParagraph"/>
        <w:numPr>
          <w:ilvl w:val="0"/>
          <w:numId w:val="2"/>
        </w:numPr>
        <w:spacing w:after="40" w:before="40"/>
      </w:pPr>
      <w:r>
        <w:rPr>
          <w:rFonts w:ascii="Arial" w:cs="Arial" w:eastAsia="Arial" w:hAnsi="Arial"/>
          <w:color w:val="1A2340"/>
          <w:sz w:val="22"/>
          <w:szCs w:val="22"/>
        </w:rPr>
        <w:t xml:space="preserve">Report suspected misclassification or improper handling to their manager or the IT team.</w:t>
      </w:r>
    </w:p>
    <w:p>
      <w:pPr>
        <w:spacing w:after="0" w:before="0"/>
      </w:pPr>
      <w:r>
        <w:rPr>
          <w:sz w:val="20"/>
          <w:szCs w:val="20"/>
        </w:rPr>
        <w:t xml:space="preserve"/>
      </w:r>
    </w:p>
    <w:p>
      <w:pPr>
        <w:pageBreakBefore/>
        <w:pBdr>
          <w:bottom w:val="single" w:color="07B4D9" w:sz="4"/>
        </w:pBdr>
        <w:spacing w:after="120" w:before="240"/>
      </w:pPr>
      <w:r>
        <w:rPr>
          <w:rFonts w:ascii="Arial" w:cs="Arial" w:eastAsia="Arial" w:hAnsi="Arial"/>
          <w:b/>
          <w:bCs/>
          <w:color w:val="152168"/>
          <w:sz w:val="28"/>
          <w:szCs w:val="28"/>
        </w:rPr>
        <w:t xml:space="preserve">6. Policy Requirements</w:t>
      </w:r>
    </w:p>
    <w:p>
      <w:pPr>
        <w:spacing w:after="80" w:before="200"/>
      </w:pPr>
      <w:r>
        <w:rPr>
          <w:rFonts w:ascii="Arial" w:cs="Arial" w:eastAsia="Arial" w:hAnsi="Arial"/>
          <w:b/>
          <w:bCs/>
          <w:color w:val="152168"/>
          <w:sz w:val="24"/>
          <w:szCs w:val="24"/>
        </w:rPr>
        <w:t xml:space="preserve">6.1 Classification Framework</w:t>
      </w:r>
    </w:p>
    <w:p>
      <w:pPr>
        <w:spacing w:after="60" w:before="60"/>
      </w:pPr>
      <w:r>
        <w:rPr>
          <w:rFonts w:ascii="Arial" w:cs="Arial" w:eastAsia="Arial" w:hAnsi="Arial"/>
          <w:color w:val="1A2340"/>
          <w:sz w:val="22"/>
          <w:szCs w:val="22"/>
        </w:rPr>
        <w:t xml:space="preserve">The organization uses a four-tier data classification framework. Each tier defines a sensitivity level and associated handling obligations. When a data asset contains elements of multiple classifications, it inherits the highest classification present.</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left w:val="none"/>
              <w:bottom w:val="none"/>
              <w:right w:val="none"/>
            </w:tcBorders>
            <w:shd w:fill="C00000" w:val="clear"/>
            <w:tcMar>
              <w:top w:type="dxa" w:w="100"/>
              <w:left w:type="dxa" w:w="160"/>
              <w:bottom w:type="dxa" w:w="100"/>
              <w:right w:type="dxa" w:w="160"/>
            </w:tcMar>
          </w:tcPr>
          <w:p>
            <w:r>
              <w:rPr>
                <w:rFonts w:ascii="Arial" w:cs="Arial" w:eastAsia="Arial" w:hAnsi="Arial"/>
                <w:b/>
                <w:bCs/>
                <w:color w:val="FFFFFF"/>
                <w:sz w:val="26"/>
                <w:szCs w:val="26"/>
              </w:rPr>
              <w:t xml:space="preserve">CRITICAL (Restricted)</w:t>
            </w:r>
          </w:p>
        </w:tc>
      </w:tr>
      <w:tr>
        <w:tc>
          <w:tcPr>
            <w:tcW w:type="dxa" w:w="1800"/>
            <w:tcBorders>
              <w:top w:val="single" w:color="C00000" w:sz="4"/>
              <w:left w:val="none"/>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Definition</w:t>
            </w:r>
          </w:p>
        </w:tc>
        <w:tc>
          <w:tcPr>
            <w:tcW w:type="dxa" w:w="7560"/>
            <w:tcBorders>
              <w:top w:val="single" w:color="C00000" w:sz="4"/>
              <w:left w:val="single" w:color="DDE3EF" w:sz="1"/>
              <w:bottom w:val="single" w:color="DDE3EF" w:sz="1"/>
              <w:right w:val="none"/>
            </w:tcBorders>
            <w:tcMar>
              <w:top w:type="dxa" w:w="80"/>
              <w:left w:type="dxa" w:w="120"/>
              <w:bottom w:type="dxa" w:w="80"/>
              <w:right w:type="dxa" w:w="120"/>
            </w:tcMar>
          </w:tcPr>
          <w:p>
            <w:r>
              <w:rPr>
                <w:rFonts w:ascii="Arial" w:cs="Arial" w:eastAsia="Arial" w:hAnsi="Arial"/>
                <w:color w:val="1A2340"/>
                <w:sz w:val="20"/>
                <w:szCs w:val="20"/>
              </w:rPr>
              <w:t xml:space="preserve">Data whose unauthorized disclosure would cause severe harm — including regulatory penalties, significant financial loss, legal liability, or irreparable reputational damage.</w:t>
            </w:r>
          </w:p>
        </w:tc>
      </w:tr>
      <w:tr>
        <w:tc>
          <w:tcPr>
            <w:tcW w:type="dxa" w:w="1800"/>
            <w:tcBorders>
              <w:top w:val="single" w:color="DDE3EF" w:sz="1"/>
              <w:left w:val="none"/>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Examples</w:t>
            </w:r>
          </w:p>
        </w:tc>
        <w:tc>
          <w:tcPr>
            <w:tcW w:type="dxa" w:w="7560"/>
            <w:tcBorders>
              <w:top w:val="single" w:color="DDE3EF" w:sz="1"/>
              <w:left w:val="single" w:color="DDE3EF" w:sz="1"/>
              <w:bottom w:val="single" w:color="DDE3EF" w:sz="1"/>
              <w:right w:val="none"/>
            </w:tcBorders>
            <w:tcMar>
              <w:top w:type="dxa" w:w="80"/>
              <w:left w:type="dxa" w:w="120"/>
              <w:bottom w:type="dxa" w:w="80"/>
              <w:right w:type="dxa" w:w="120"/>
            </w:tcMar>
          </w:tcPr>
          <w:p>
            <w:r>
              <w:rPr>
                <w:rFonts w:ascii="Arial" w:cs="Arial" w:eastAsia="Arial" w:hAnsi="Arial"/>
                <w:color w:val="1A2340"/>
                <w:sz w:val="20"/>
                <w:szCs w:val="20"/>
              </w:rPr>
              <w:t xml:space="preserve">Payment card data (PAN, CVV, expiry); government-issued ID numbers (SIN, passport, driver's licence); credentials, passwords, and encryption keys; health records (PHI); legal privilege material; M&amp;A data; biometric data.</w:t>
            </w:r>
          </w:p>
        </w:tc>
      </w:tr>
      <w:tr>
        <w:tc>
          <w:tcPr>
            <w:tcW w:type="dxa" w:w="1800"/>
            <w:tcBorders>
              <w:top w:val="single" w:color="DDE3EF" w:sz="1"/>
              <w:left w:val="none"/>
              <w:bottom w:val="none"/>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Handling</w:t>
            </w:r>
          </w:p>
        </w:tc>
        <w:tc>
          <w:tcPr>
            <w:tcW w:type="dxa" w:w="7560"/>
            <w:tcBorders>
              <w:top w:val="single" w:color="DDE3EF" w:sz="1"/>
              <w:left w:val="single" w:color="DDE3EF" w:sz="1"/>
              <w:bottom w:val="none"/>
              <w:right w:val="none"/>
            </w:tcBorders>
            <w:tcMar>
              <w:top w:type="dxa" w:w="80"/>
              <w:left w:type="dxa" w:w="120"/>
              <w:bottom w:type="dxa" w:w="80"/>
              <w:right w:type="dxa" w:w="120"/>
            </w:tcMar>
          </w:tcPr>
          <w:p>
            <w:pPr>
              <w:pStyle w:val="ListParagraph"/>
              <w:numPr>
                <w:ilvl w:val="0"/>
                <w:numId w:val="4"/>
              </w:numPr>
              <w:spacing w:after="20" w:before="20"/>
            </w:pPr>
            <w:r>
              <w:rPr>
                <w:rFonts w:ascii="Arial" w:cs="Arial" w:eastAsia="Arial" w:hAnsi="Arial"/>
                <w:color w:val="1A2340"/>
                <w:sz w:val="20"/>
                <w:szCs w:val="20"/>
              </w:rPr>
              <w:t xml:space="preserve">Access limited to identified individuals with a documented need-to-know; MFA mandatory for all access.</w:t>
            </w:r>
          </w:p>
          <w:p>
            <w:pPr>
              <w:pStyle w:val="ListParagraph"/>
              <w:numPr>
                <w:ilvl w:val="0"/>
                <w:numId w:val="4"/>
              </w:numPr>
              <w:spacing w:after="20" w:before="20"/>
            </w:pPr>
            <w:r>
              <w:rPr>
                <w:rFonts w:ascii="Arial" w:cs="Arial" w:eastAsia="Arial" w:hAnsi="Arial"/>
                <w:color w:val="1A2340"/>
                <w:sz w:val="20"/>
                <w:szCs w:val="20"/>
              </w:rPr>
              <w:t xml:space="preserve">Encrypted at rest using AES-256 (or equivalent); encrypted in transit using TLS 1.2 or higher.</w:t>
            </w:r>
          </w:p>
          <w:p>
            <w:pPr>
              <w:pStyle w:val="ListParagraph"/>
              <w:numPr>
                <w:ilvl w:val="0"/>
                <w:numId w:val="4"/>
              </w:numPr>
              <w:spacing w:after="20" w:before="20"/>
            </w:pPr>
            <w:r>
              <w:rPr>
                <w:rFonts w:ascii="Arial" w:cs="Arial" w:eastAsia="Arial" w:hAnsi="Arial"/>
                <w:color w:val="1A2340"/>
                <w:sz w:val="20"/>
                <w:szCs w:val="20"/>
              </w:rPr>
              <w:t xml:space="preserve">Must not be stored on personal devices, removable media, or consumer cloud services.</w:t>
            </w:r>
          </w:p>
          <w:p>
            <w:pPr>
              <w:pStyle w:val="ListParagraph"/>
              <w:numPr>
                <w:ilvl w:val="0"/>
                <w:numId w:val="4"/>
              </w:numPr>
              <w:spacing w:after="20" w:before="20"/>
            </w:pPr>
            <w:r>
              <w:rPr>
                <w:rFonts w:ascii="Arial" w:cs="Arial" w:eastAsia="Arial" w:hAnsi="Arial"/>
                <w:color w:val="1A2340"/>
                <w:sz w:val="20"/>
                <w:szCs w:val="20"/>
              </w:rPr>
              <w:t xml:space="preserve">Must not be transmitted via unencrypted email or messaging platforms.</w:t>
            </w:r>
          </w:p>
          <w:p>
            <w:pPr>
              <w:pStyle w:val="ListParagraph"/>
              <w:numPr>
                <w:ilvl w:val="0"/>
                <w:numId w:val="4"/>
              </w:numPr>
              <w:spacing w:after="20" w:before="20"/>
            </w:pPr>
            <w:r>
              <w:rPr>
                <w:rFonts w:ascii="Arial" w:cs="Arial" w:eastAsia="Arial" w:hAnsi="Arial"/>
                <w:color w:val="1A2340"/>
                <w:sz w:val="20"/>
                <w:szCs w:val="20"/>
              </w:rPr>
              <w:t xml:space="preserve">Stored in approved secure systems only; list maintained by IT.</w:t>
            </w:r>
          </w:p>
          <w:p>
            <w:pPr>
              <w:pStyle w:val="ListParagraph"/>
              <w:numPr>
                <w:ilvl w:val="0"/>
                <w:numId w:val="4"/>
              </w:numPr>
              <w:spacing w:after="20" w:before="20"/>
            </w:pPr>
            <w:r>
              <w:rPr>
                <w:rFonts w:ascii="Arial" w:cs="Arial" w:eastAsia="Arial" w:hAnsi="Arial"/>
                <w:color w:val="1A2340"/>
                <w:sz w:val="20"/>
                <w:szCs w:val="20"/>
              </w:rPr>
              <w:t xml:space="preserve">Disposal: cryptographic erasure or DoD 5220.22-M multi-pass wipe; certificate of destruction required.</w:t>
            </w:r>
          </w:p>
          <w:p>
            <w:pPr>
              <w:pStyle w:val="ListParagraph"/>
              <w:numPr>
                <w:ilvl w:val="0"/>
                <w:numId w:val="4"/>
              </w:numPr>
              <w:spacing w:after="20" w:before="20"/>
            </w:pPr>
            <w:r>
              <w:rPr>
                <w:rFonts w:ascii="Arial" w:cs="Arial" w:eastAsia="Arial" w:hAnsi="Arial"/>
                <w:color w:val="1A2340"/>
                <w:sz w:val="20"/>
                <w:szCs w:val="20"/>
              </w:rPr>
              <w:t xml:space="preserve">All access events must be logged and logs retained for a minimum of one year.</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left w:val="none"/>
              <w:bottom w:val="none"/>
              <w:right w:val="none"/>
            </w:tcBorders>
            <w:shd w:fill="E05C00" w:val="clear"/>
            <w:tcMar>
              <w:top w:type="dxa" w:w="100"/>
              <w:left w:type="dxa" w:w="160"/>
              <w:bottom w:type="dxa" w:w="100"/>
              <w:right w:type="dxa" w:w="160"/>
            </w:tcMar>
          </w:tcPr>
          <w:p>
            <w:r>
              <w:rPr>
                <w:rFonts w:ascii="Arial" w:cs="Arial" w:eastAsia="Arial" w:hAnsi="Arial"/>
                <w:b/>
                <w:bCs/>
                <w:color w:val="FFFFFF"/>
                <w:sz w:val="26"/>
                <w:szCs w:val="26"/>
              </w:rPr>
              <w:t xml:space="preserve">CONFIDENTIAL</w:t>
            </w:r>
          </w:p>
        </w:tc>
      </w:tr>
      <w:tr>
        <w:tc>
          <w:tcPr>
            <w:tcW w:type="dxa" w:w="1800"/>
            <w:tcBorders>
              <w:top w:val="single" w:color="E05C00" w:sz="4"/>
              <w:left w:val="none"/>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Definition</w:t>
            </w:r>
          </w:p>
        </w:tc>
        <w:tc>
          <w:tcPr>
            <w:tcW w:type="dxa" w:w="7560"/>
            <w:tcBorders>
              <w:top w:val="single" w:color="E05C00" w:sz="4"/>
              <w:left w:val="single" w:color="DDE3EF" w:sz="1"/>
              <w:bottom w:val="single" w:color="DDE3EF" w:sz="1"/>
              <w:right w:val="none"/>
            </w:tcBorders>
            <w:tcMar>
              <w:top w:type="dxa" w:w="80"/>
              <w:left w:type="dxa" w:w="120"/>
              <w:bottom w:type="dxa" w:w="80"/>
              <w:right w:type="dxa" w:w="120"/>
            </w:tcMar>
          </w:tcPr>
          <w:p>
            <w:r>
              <w:rPr>
                <w:rFonts w:ascii="Arial" w:cs="Arial" w:eastAsia="Arial" w:hAnsi="Arial"/>
                <w:color w:val="1A2340"/>
                <w:sz w:val="20"/>
                <w:szCs w:val="20"/>
              </w:rPr>
              <w:t xml:space="preserve">Business-sensitive information whose unauthorized disclosure could cause material harm to the organization, its employees, customers, or partners.</w:t>
            </w:r>
          </w:p>
        </w:tc>
      </w:tr>
      <w:tr>
        <w:tc>
          <w:tcPr>
            <w:tcW w:type="dxa" w:w="1800"/>
            <w:tcBorders>
              <w:top w:val="single" w:color="DDE3EF" w:sz="1"/>
              <w:left w:val="none"/>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Examples</w:t>
            </w:r>
          </w:p>
        </w:tc>
        <w:tc>
          <w:tcPr>
            <w:tcW w:type="dxa" w:w="7560"/>
            <w:tcBorders>
              <w:top w:val="single" w:color="DDE3EF" w:sz="1"/>
              <w:left w:val="single" w:color="DDE3EF" w:sz="1"/>
              <w:bottom w:val="single" w:color="DDE3EF" w:sz="1"/>
              <w:right w:val="none"/>
            </w:tcBorders>
            <w:tcMar>
              <w:top w:type="dxa" w:w="80"/>
              <w:left w:type="dxa" w:w="120"/>
              <w:bottom w:type="dxa" w:w="80"/>
              <w:right w:type="dxa" w:w="120"/>
            </w:tcMar>
          </w:tcPr>
          <w:p>
            <w:r>
              <w:rPr>
                <w:rFonts w:ascii="Arial" w:cs="Arial" w:eastAsia="Arial" w:hAnsi="Arial"/>
                <w:color w:val="1A2340"/>
                <w:sz w:val="20"/>
                <w:szCs w:val="20"/>
              </w:rPr>
              <w:t xml:space="preserve">Employee PII (name, address, SIN, salary, performance data); customer PII and contact data; vendor contracts and pricing; pre-release financial statements; strategic and business plans; security assessments and incident reports; legal matters.</w:t>
            </w:r>
          </w:p>
        </w:tc>
      </w:tr>
      <w:tr>
        <w:tc>
          <w:tcPr>
            <w:tcW w:type="dxa" w:w="1800"/>
            <w:tcBorders>
              <w:top w:val="single" w:color="DDE3EF" w:sz="1"/>
              <w:left w:val="none"/>
              <w:bottom w:val="none"/>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Handling</w:t>
            </w:r>
          </w:p>
        </w:tc>
        <w:tc>
          <w:tcPr>
            <w:tcW w:type="dxa" w:w="7560"/>
            <w:tcBorders>
              <w:top w:val="single" w:color="DDE3EF" w:sz="1"/>
              <w:left w:val="single" w:color="DDE3EF" w:sz="1"/>
              <w:bottom w:val="none"/>
              <w:right w:val="none"/>
            </w:tcBorders>
            <w:tcMar>
              <w:top w:type="dxa" w:w="80"/>
              <w:left w:type="dxa" w:w="120"/>
              <w:bottom w:type="dxa" w:w="80"/>
              <w:right w:type="dxa" w:w="120"/>
            </w:tcMar>
          </w:tcPr>
          <w:p>
            <w:pPr>
              <w:pStyle w:val="ListParagraph"/>
              <w:numPr>
                <w:ilvl w:val="0"/>
                <w:numId w:val="4"/>
              </w:numPr>
              <w:spacing w:after="20" w:before="20"/>
            </w:pPr>
            <w:r>
              <w:rPr>
                <w:rFonts w:ascii="Arial" w:cs="Arial" w:eastAsia="Arial" w:hAnsi="Arial"/>
                <w:color w:val="1A2340"/>
                <w:sz w:val="20"/>
                <w:szCs w:val="20"/>
              </w:rPr>
              <w:t xml:space="preserve">Role-based access controls; access limited to those with a business need.</w:t>
            </w:r>
          </w:p>
          <w:p>
            <w:pPr>
              <w:pStyle w:val="ListParagraph"/>
              <w:numPr>
                <w:ilvl w:val="0"/>
                <w:numId w:val="4"/>
              </w:numPr>
              <w:spacing w:after="20" w:before="20"/>
            </w:pPr>
            <w:r>
              <w:rPr>
                <w:rFonts w:ascii="Arial" w:cs="Arial" w:eastAsia="Arial" w:hAnsi="Arial"/>
                <w:color w:val="1A2340"/>
                <w:sz w:val="20"/>
                <w:szCs w:val="20"/>
              </w:rPr>
              <w:t xml:space="preserve">Encrypted in transit using TLS 1.2 or higher for all electronic transfers.</w:t>
            </w:r>
          </w:p>
          <w:p>
            <w:pPr>
              <w:pStyle w:val="ListParagraph"/>
              <w:numPr>
                <w:ilvl w:val="0"/>
                <w:numId w:val="4"/>
              </w:numPr>
              <w:spacing w:after="20" w:before="20"/>
            </w:pPr>
            <w:r>
              <w:rPr>
                <w:rFonts w:ascii="Arial" w:cs="Arial" w:eastAsia="Arial" w:hAnsi="Arial"/>
                <w:color w:val="1A2340"/>
                <w:sz w:val="20"/>
                <w:szCs w:val="20"/>
              </w:rPr>
              <w:t xml:space="preserve">Encrypted at rest when stored on portable or removable media.</w:t>
            </w:r>
          </w:p>
          <w:p>
            <w:pPr>
              <w:pStyle w:val="ListParagraph"/>
              <w:numPr>
                <w:ilvl w:val="0"/>
                <w:numId w:val="4"/>
              </w:numPr>
              <w:spacing w:after="20" w:before="20"/>
            </w:pPr>
            <w:r>
              <w:rPr>
                <w:rFonts w:ascii="Arial" w:cs="Arial" w:eastAsia="Arial" w:hAnsi="Arial"/>
                <w:color w:val="1A2340"/>
                <w:sz w:val="20"/>
                <w:szCs w:val="20"/>
              </w:rPr>
              <w:t xml:space="preserve">Must not be stored on unauthorized cloud storage services or personal devices without CISO approval.</w:t>
            </w:r>
          </w:p>
          <w:p>
            <w:pPr>
              <w:pStyle w:val="ListParagraph"/>
              <w:numPr>
                <w:ilvl w:val="0"/>
                <w:numId w:val="4"/>
              </w:numPr>
              <w:spacing w:after="20" w:before="20"/>
            </w:pPr>
            <w:r>
              <w:rPr>
                <w:rFonts w:ascii="Arial" w:cs="Arial" w:eastAsia="Arial" w:hAnsi="Arial"/>
                <w:color w:val="1A2340"/>
                <w:sz w:val="20"/>
                <w:szCs w:val="20"/>
              </w:rPr>
              <w:t xml:space="preserve">Email: internal distribution or approved encrypted delivery only.</w:t>
            </w:r>
          </w:p>
          <w:p>
            <w:pPr>
              <w:pStyle w:val="ListParagraph"/>
              <w:numPr>
                <w:ilvl w:val="0"/>
                <w:numId w:val="4"/>
              </w:numPr>
              <w:spacing w:after="20" w:before="20"/>
            </w:pPr>
            <w:r>
              <w:rPr>
                <w:rFonts w:ascii="Arial" w:cs="Arial" w:eastAsia="Arial" w:hAnsi="Arial"/>
                <w:color w:val="1A2340"/>
                <w:sz w:val="20"/>
                <w:szCs w:val="20"/>
              </w:rPr>
              <w:t xml:space="preserve">Disposal: secure wipe of digital media; cross-cut shred of physical documents.</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left w:val="none"/>
              <w:bottom w:val="none"/>
              <w:right w:val="none"/>
            </w:tcBorders>
            <w:shd w:fill="8B6914" w:val="clear"/>
            <w:tcMar>
              <w:top w:type="dxa" w:w="100"/>
              <w:left w:type="dxa" w:w="160"/>
              <w:bottom w:type="dxa" w:w="100"/>
              <w:right w:type="dxa" w:w="160"/>
            </w:tcMar>
          </w:tcPr>
          <w:p>
            <w:r>
              <w:rPr>
                <w:rFonts w:ascii="Arial" w:cs="Arial" w:eastAsia="Arial" w:hAnsi="Arial"/>
                <w:b/>
                <w:bCs/>
                <w:color w:val="FFFFFF"/>
                <w:sz w:val="26"/>
                <w:szCs w:val="26"/>
              </w:rPr>
              <w:t xml:space="preserve">INTERNAL</w:t>
            </w:r>
          </w:p>
        </w:tc>
      </w:tr>
      <w:tr>
        <w:tc>
          <w:tcPr>
            <w:tcW w:type="dxa" w:w="1800"/>
            <w:tcBorders>
              <w:top w:val="single" w:color="8B6914" w:sz="4"/>
              <w:left w:val="none"/>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Definition</w:t>
            </w:r>
          </w:p>
        </w:tc>
        <w:tc>
          <w:tcPr>
            <w:tcW w:type="dxa" w:w="7560"/>
            <w:tcBorders>
              <w:top w:val="single" w:color="8B6914" w:sz="4"/>
              <w:left w:val="single" w:color="DDE3EF" w:sz="1"/>
              <w:bottom w:val="single" w:color="DDE3EF" w:sz="1"/>
              <w:right w:val="none"/>
            </w:tcBorders>
            <w:tcMar>
              <w:top w:type="dxa" w:w="80"/>
              <w:left w:type="dxa" w:w="120"/>
              <w:bottom w:type="dxa" w:w="80"/>
              <w:right w:type="dxa" w:w="120"/>
            </w:tcMar>
          </w:tcPr>
          <w:p>
            <w:r>
              <w:rPr>
                <w:rFonts w:ascii="Arial" w:cs="Arial" w:eastAsia="Arial" w:hAnsi="Arial"/>
                <w:color w:val="1A2340"/>
                <w:sz w:val="20"/>
                <w:szCs w:val="20"/>
              </w:rPr>
              <w:t xml:space="preserve">Information intended for internal use within the organization. Not sensitive in isolation but not authorized for public release.</w:t>
            </w:r>
          </w:p>
        </w:tc>
      </w:tr>
      <w:tr>
        <w:tc>
          <w:tcPr>
            <w:tcW w:type="dxa" w:w="1800"/>
            <w:tcBorders>
              <w:top w:val="single" w:color="DDE3EF" w:sz="1"/>
              <w:left w:val="none"/>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Examples</w:t>
            </w:r>
          </w:p>
        </w:tc>
        <w:tc>
          <w:tcPr>
            <w:tcW w:type="dxa" w:w="7560"/>
            <w:tcBorders>
              <w:top w:val="single" w:color="DDE3EF" w:sz="1"/>
              <w:left w:val="single" w:color="DDE3EF" w:sz="1"/>
              <w:bottom w:val="single" w:color="DDE3EF" w:sz="1"/>
              <w:right w:val="none"/>
            </w:tcBorders>
            <w:tcMar>
              <w:top w:type="dxa" w:w="80"/>
              <w:left w:type="dxa" w:w="120"/>
              <w:bottom w:type="dxa" w:w="80"/>
              <w:right w:type="dxa" w:w="120"/>
            </w:tcMar>
          </w:tcPr>
          <w:p>
            <w:r>
              <w:rPr>
                <w:rFonts w:ascii="Arial" w:cs="Arial" w:eastAsia="Arial" w:hAnsi="Arial"/>
                <w:color w:val="1A2340"/>
                <w:sz w:val="20"/>
                <w:szCs w:val="20"/>
              </w:rPr>
              <w:t xml:space="preserve">Internal policies and procedures; organizational charts; meeting minutes and agendas; internal project documents; non-sensitive HR communications; vendor contact lists.</w:t>
            </w:r>
          </w:p>
        </w:tc>
      </w:tr>
      <w:tr>
        <w:tc>
          <w:tcPr>
            <w:tcW w:type="dxa" w:w="1800"/>
            <w:tcBorders>
              <w:top w:val="single" w:color="DDE3EF" w:sz="1"/>
              <w:left w:val="none"/>
              <w:bottom w:val="none"/>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Handling</w:t>
            </w:r>
          </w:p>
        </w:tc>
        <w:tc>
          <w:tcPr>
            <w:tcW w:type="dxa" w:w="7560"/>
            <w:tcBorders>
              <w:top w:val="single" w:color="DDE3EF" w:sz="1"/>
              <w:left w:val="single" w:color="DDE3EF" w:sz="1"/>
              <w:bottom w:val="none"/>
              <w:right w:val="none"/>
            </w:tcBorders>
            <w:tcMar>
              <w:top w:type="dxa" w:w="80"/>
              <w:left w:type="dxa" w:w="120"/>
              <w:bottom w:type="dxa" w:w="80"/>
              <w:right w:type="dxa" w:w="120"/>
            </w:tcMar>
          </w:tcPr>
          <w:p>
            <w:pPr>
              <w:pStyle w:val="ListParagraph"/>
              <w:numPr>
                <w:ilvl w:val="0"/>
                <w:numId w:val="4"/>
              </w:numPr>
              <w:spacing w:after="20" w:before="20"/>
            </w:pPr>
            <w:r>
              <w:rPr>
                <w:rFonts w:ascii="Arial" w:cs="Arial" w:eastAsia="Arial" w:hAnsi="Arial"/>
                <w:color w:val="1A2340"/>
                <w:sz w:val="20"/>
                <w:szCs w:val="20"/>
              </w:rPr>
              <w:t xml:space="preserve">Must not be shared externally without manager or Data Owner authorization.</w:t>
            </w:r>
          </w:p>
          <w:p>
            <w:pPr>
              <w:pStyle w:val="ListParagraph"/>
              <w:numPr>
                <w:ilvl w:val="0"/>
                <w:numId w:val="4"/>
              </w:numPr>
              <w:spacing w:after="20" w:before="20"/>
            </w:pPr>
            <w:r>
              <w:rPr>
                <w:rFonts w:ascii="Arial" w:cs="Arial" w:eastAsia="Arial" w:hAnsi="Arial"/>
                <w:color w:val="1A2340"/>
                <w:sz w:val="20"/>
                <w:szCs w:val="20"/>
              </w:rPr>
              <w:t xml:space="preserve">Standard access controls apply (user authentication, network perimeter).</w:t>
            </w:r>
          </w:p>
          <w:p>
            <w:pPr>
              <w:pStyle w:val="ListParagraph"/>
              <w:numPr>
                <w:ilvl w:val="0"/>
                <w:numId w:val="4"/>
              </w:numPr>
              <w:spacing w:after="20" w:before="20"/>
            </w:pPr>
            <w:r>
              <w:rPr>
                <w:rFonts w:ascii="Arial" w:cs="Arial" w:eastAsia="Arial" w:hAnsi="Arial"/>
                <w:color w:val="1A2340"/>
                <w:sz w:val="20"/>
                <w:szCs w:val="20"/>
              </w:rPr>
              <w:t xml:space="preserve">No special encryption requirement for internal storage or transfer.</w:t>
            </w:r>
          </w:p>
          <w:p>
            <w:pPr>
              <w:pStyle w:val="ListParagraph"/>
              <w:numPr>
                <w:ilvl w:val="0"/>
                <w:numId w:val="4"/>
              </w:numPr>
              <w:spacing w:after="20" w:before="20"/>
            </w:pPr>
            <w:r>
              <w:rPr>
                <w:rFonts w:ascii="Arial" w:cs="Arial" w:eastAsia="Arial" w:hAnsi="Arial"/>
                <w:color w:val="1A2340"/>
                <w:sz w:val="20"/>
                <w:szCs w:val="20"/>
              </w:rPr>
              <w:t xml:space="preserve">Disposal: standard deletion (Recycle Bin emptied) or physical shredding.</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left w:val="none"/>
              <w:bottom w:val="none"/>
              <w:right w:val="none"/>
            </w:tcBorders>
            <w:shd w:fill="16A34A" w:val="clear"/>
            <w:tcMar>
              <w:top w:type="dxa" w:w="100"/>
              <w:left w:type="dxa" w:w="160"/>
              <w:bottom w:type="dxa" w:w="100"/>
              <w:right w:type="dxa" w:w="160"/>
            </w:tcMar>
          </w:tcPr>
          <w:p>
            <w:r>
              <w:rPr>
                <w:rFonts w:ascii="Arial" w:cs="Arial" w:eastAsia="Arial" w:hAnsi="Arial"/>
                <w:b/>
                <w:bCs/>
                <w:color w:val="FFFFFF"/>
                <w:sz w:val="26"/>
                <w:szCs w:val="26"/>
              </w:rPr>
              <w:t xml:space="preserve">PUBLIC</w:t>
            </w:r>
          </w:p>
        </w:tc>
      </w:tr>
      <w:tr>
        <w:tc>
          <w:tcPr>
            <w:tcW w:type="dxa" w:w="1800"/>
            <w:tcBorders>
              <w:top w:val="single" w:color="16A34A" w:sz="4"/>
              <w:left w:val="none"/>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Definition</w:t>
            </w:r>
          </w:p>
        </w:tc>
        <w:tc>
          <w:tcPr>
            <w:tcW w:type="dxa" w:w="7560"/>
            <w:tcBorders>
              <w:top w:val="single" w:color="16A34A" w:sz="4"/>
              <w:left w:val="single" w:color="DDE3EF" w:sz="1"/>
              <w:bottom w:val="single" w:color="DDE3EF" w:sz="1"/>
              <w:right w:val="none"/>
            </w:tcBorders>
            <w:tcMar>
              <w:top w:type="dxa" w:w="80"/>
              <w:left w:type="dxa" w:w="120"/>
              <w:bottom w:type="dxa" w:w="80"/>
              <w:right w:type="dxa" w:w="120"/>
            </w:tcMar>
          </w:tcPr>
          <w:p>
            <w:r>
              <w:rPr>
                <w:rFonts w:ascii="Arial" w:cs="Arial" w:eastAsia="Arial" w:hAnsi="Arial"/>
                <w:color w:val="1A2340"/>
                <w:sz w:val="20"/>
                <w:szCs w:val="20"/>
              </w:rPr>
              <w:t xml:space="preserve">Information explicitly approved for public release. No confidentiality obligation exists, but accuracy and brand integrity must be maintained.</w:t>
            </w:r>
          </w:p>
        </w:tc>
      </w:tr>
      <w:tr>
        <w:tc>
          <w:tcPr>
            <w:tcW w:type="dxa" w:w="1800"/>
            <w:tcBorders>
              <w:top w:val="single" w:color="DDE3EF" w:sz="1"/>
              <w:left w:val="none"/>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Examples</w:t>
            </w:r>
          </w:p>
        </w:tc>
        <w:tc>
          <w:tcPr>
            <w:tcW w:type="dxa" w:w="7560"/>
            <w:tcBorders>
              <w:top w:val="single" w:color="DDE3EF" w:sz="1"/>
              <w:left w:val="single" w:color="DDE3EF" w:sz="1"/>
              <w:bottom w:val="single" w:color="DDE3EF" w:sz="1"/>
              <w:right w:val="none"/>
            </w:tcBorders>
            <w:tcMar>
              <w:top w:type="dxa" w:w="80"/>
              <w:left w:type="dxa" w:w="120"/>
              <w:bottom w:type="dxa" w:w="80"/>
              <w:right w:type="dxa" w:w="120"/>
            </w:tcMar>
          </w:tcPr>
          <w:p>
            <w:r>
              <w:rPr>
                <w:rFonts w:ascii="Arial" w:cs="Arial" w:eastAsia="Arial" w:hAnsi="Arial"/>
                <w:color w:val="1A2340"/>
                <w:sz w:val="20"/>
                <w:szCs w:val="20"/>
              </w:rPr>
              <w:t xml:space="preserve">Published website content and blog posts; press releases; job postings; approved marketing materials; publicly filed regulatory submissions.</w:t>
            </w:r>
          </w:p>
        </w:tc>
      </w:tr>
      <w:tr>
        <w:tc>
          <w:tcPr>
            <w:tcW w:type="dxa" w:w="1800"/>
            <w:tcBorders>
              <w:top w:val="single" w:color="DDE3EF" w:sz="1"/>
              <w:left w:val="none"/>
              <w:bottom w:val="none"/>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Handling</w:t>
            </w:r>
          </w:p>
        </w:tc>
        <w:tc>
          <w:tcPr>
            <w:tcW w:type="dxa" w:w="7560"/>
            <w:tcBorders>
              <w:top w:val="single" w:color="DDE3EF" w:sz="1"/>
              <w:left w:val="single" w:color="DDE3EF" w:sz="1"/>
              <w:bottom w:val="none"/>
              <w:right w:val="none"/>
            </w:tcBorders>
            <w:tcMar>
              <w:top w:type="dxa" w:w="80"/>
              <w:left w:type="dxa" w:w="120"/>
              <w:bottom w:type="dxa" w:w="80"/>
              <w:right w:type="dxa" w:w="120"/>
            </w:tcMar>
          </w:tcPr>
          <w:p>
            <w:pPr>
              <w:pStyle w:val="ListParagraph"/>
              <w:numPr>
                <w:ilvl w:val="0"/>
                <w:numId w:val="4"/>
              </w:numPr>
              <w:spacing w:after="20" w:before="20"/>
            </w:pPr>
            <w:r>
              <w:rPr>
                <w:rFonts w:ascii="Arial" w:cs="Arial" w:eastAsia="Arial" w:hAnsi="Arial"/>
                <w:color w:val="1A2340"/>
                <w:sz w:val="20"/>
                <w:szCs w:val="20"/>
              </w:rPr>
              <w:t xml:space="preserve">No access controls or encryption required for confidentiality purposes.</w:t>
            </w:r>
          </w:p>
          <w:p>
            <w:pPr>
              <w:pStyle w:val="ListParagraph"/>
              <w:numPr>
                <w:ilvl w:val="0"/>
                <w:numId w:val="4"/>
              </w:numPr>
              <w:spacing w:after="20" w:before="20"/>
            </w:pPr>
            <w:r>
              <w:rPr>
                <w:rFonts w:ascii="Arial" w:cs="Arial" w:eastAsia="Arial" w:hAnsi="Arial"/>
                <w:color w:val="1A2340"/>
                <w:sz w:val="20"/>
                <w:szCs w:val="20"/>
              </w:rPr>
              <w:t xml:space="preserve">Content must be reviewed and approved by an authorized individual before publication.</w:t>
            </w:r>
          </w:p>
          <w:p>
            <w:pPr>
              <w:pStyle w:val="ListParagraph"/>
              <w:numPr>
                <w:ilvl w:val="0"/>
                <w:numId w:val="4"/>
              </w:numPr>
              <w:spacing w:after="20" w:before="20"/>
            </w:pPr>
            <w:r>
              <w:rPr>
                <w:rFonts w:ascii="Arial" w:cs="Arial" w:eastAsia="Arial" w:hAnsi="Arial"/>
                <w:color w:val="1A2340"/>
                <w:sz w:val="20"/>
                <w:szCs w:val="20"/>
              </w:rPr>
              <w:t xml:space="preserve">Data Owner confirms the content was approved for public release.</w:t>
            </w:r>
          </w:p>
        </w:tc>
      </w:tr>
    </w:tbl>
    <w:p>
      <w:pPr>
        <w:spacing w:after="0" w:before="0"/>
      </w:pPr>
      <w:r>
        <w:rPr>
          <w:sz w:val="40"/>
          <w:szCs w:val="40"/>
        </w:rPr>
        <w:t xml:space="preserve"/>
      </w:r>
    </w:p>
    <w:p>
      <w:pPr>
        <w:spacing w:after="80" w:before="200"/>
      </w:pPr>
      <w:r>
        <w:rPr>
          <w:rFonts w:ascii="Arial" w:cs="Arial" w:eastAsia="Arial" w:hAnsi="Arial"/>
          <w:b/>
          <w:bCs/>
          <w:color w:val="152168"/>
          <w:sz w:val="24"/>
          <w:szCs w:val="24"/>
        </w:rPr>
        <w:t xml:space="preserve">6.2 Classification Assignment</w:t>
      </w:r>
    </w:p>
    <w:p>
      <w:pPr>
        <w:pStyle w:val="ListParagraph"/>
        <w:numPr>
          <w:ilvl w:val="0"/>
          <w:numId w:val="2"/>
        </w:numPr>
        <w:spacing w:after="40" w:before="40"/>
      </w:pPr>
      <w:r>
        <w:rPr>
          <w:rFonts w:ascii="Arial" w:cs="Arial" w:eastAsia="Arial" w:hAnsi="Arial"/>
          <w:color w:val="1A2340"/>
          <w:sz w:val="22"/>
          <w:szCs w:val="22"/>
        </w:rPr>
        <w:t xml:space="preserve">Data Owners are responsible for assigning a classification to data assets within their domain at the time of creation or receipt.</w:t>
      </w:r>
    </w:p>
    <w:p>
      <w:pPr>
        <w:pStyle w:val="ListParagraph"/>
        <w:numPr>
          <w:ilvl w:val="0"/>
          <w:numId w:val="2"/>
        </w:numPr>
        <w:spacing w:after="40" w:before="40"/>
      </w:pPr>
      <w:r>
        <w:rPr>
          <w:rFonts w:ascii="Arial" w:cs="Arial" w:eastAsia="Arial" w:hAnsi="Arial"/>
          <w:color w:val="1A2340"/>
          <w:sz w:val="22"/>
          <w:szCs w:val="22"/>
        </w:rPr>
        <w:t xml:space="preserve">Default classification: If the appropriate classification is uncertain, data must be treated as CONFIDENTIAL until a formal classification determination is made.</w:t>
      </w:r>
    </w:p>
    <w:p>
      <w:pPr>
        <w:pStyle w:val="ListParagraph"/>
        <w:numPr>
          <w:ilvl w:val="0"/>
          <w:numId w:val="2"/>
        </w:numPr>
        <w:spacing w:after="40" w:before="40"/>
      </w:pPr>
      <w:r>
        <w:rPr>
          <w:rFonts w:ascii="Arial" w:cs="Arial" w:eastAsia="Arial" w:hAnsi="Arial"/>
          <w:color w:val="1A2340"/>
          <w:sz w:val="22"/>
          <w:szCs w:val="22"/>
        </w:rPr>
        <w:t xml:space="preserve">Reclassification: Data may be reclassified upward at any time by the Data Owner. Downward reclassification (e.g., Confidential to Internal) requires CISO/vCISO approval and documentation.</w:t>
      </w:r>
    </w:p>
    <w:p>
      <w:pPr>
        <w:pStyle w:val="ListParagraph"/>
        <w:numPr>
          <w:ilvl w:val="0"/>
          <w:numId w:val="2"/>
        </w:numPr>
        <w:spacing w:after="40" w:before="40"/>
      </w:pPr>
      <w:r>
        <w:rPr>
          <w:rFonts w:ascii="Arial" w:cs="Arial" w:eastAsia="Arial" w:hAnsi="Arial"/>
          <w:color w:val="1A2340"/>
          <w:sz w:val="22"/>
          <w:szCs w:val="22"/>
        </w:rPr>
        <w:t xml:space="preserve">Inherited classification: When data of differing classification levels is aggregated (e.g., in a report or database), the collection inherits the highest classification of any individual element.</w:t>
      </w:r>
    </w:p>
    <w:p>
      <w:pPr>
        <w:pStyle w:val="ListParagraph"/>
        <w:numPr>
          <w:ilvl w:val="0"/>
          <w:numId w:val="2"/>
        </w:numPr>
        <w:spacing w:after="40" w:before="40"/>
      </w:pPr>
      <w:r>
        <w:rPr>
          <w:rFonts w:ascii="Arial" w:cs="Arial" w:eastAsia="Arial" w:hAnsi="Arial"/>
          <w:color w:val="1A2340"/>
          <w:sz w:val="22"/>
          <w:szCs w:val="22"/>
        </w:rPr>
        <w:t xml:space="preserve">Third-party data: Data received from third parties must be classified at a minimum level consistent with the sensitivity indicated by the provider or the contractual obligation.</w:t>
      </w:r>
    </w:p>
    <w:p>
      <w:pPr>
        <w:spacing w:after="0" w:before="0"/>
      </w:pPr>
      <w:r>
        <w:rPr>
          <w:sz w:val="20"/>
          <w:szCs w:val="20"/>
        </w:rPr>
        <w:t xml:space="preserve"/>
      </w:r>
    </w:p>
    <w:p>
      <w:pPr>
        <w:spacing w:after="80" w:before="200"/>
      </w:pPr>
      <w:r>
        <w:rPr>
          <w:rFonts w:ascii="Arial" w:cs="Arial" w:eastAsia="Arial" w:hAnsi="Arial"/>
          <w:b/>
          <w:bCs/>
          <w:color w:val="152168"/>
          <w:sz w:val="24"/>
          <w:szCs w:val="24"/>
        </w:rPr>
        <w:t xml:space="preserve">6.3 Data Labelling</w:t>
      </w:r>
    </w:p>
    <w:p>
      <w:pPr>
        <w:spacing w:after="60" w:before="60"/>
      </w:pPr>
      <w:r>
        <w:rPr>
          <w:rFonts w:ascii="Arial" w:cs="Arial" w:eastAsia="Arial" w:hAnsi="Arial"/>
          <w:color w:val="1A2340"/>
          <w:sz w:val="22"/>
          <w:szCs w:val="22"/>
        </w:rPr>
        <w:t xml:space="preserve">All documents containing Confidential or Critical information must be labelled to identify the classification. Labelling conventions:</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500"/>
        <w:gridCol w:w="2160"/>
      </w:tblGrid>
      <w:tr>
        <w:trPr>
          <w:tblHeader/>
        </w:trPr>
        <w:tc>
          <w:tcPr>
            <w:tcW w:type="dxa" w:w="20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Classification</w:t>
            </w:r>
          </w:p>
        </w:tc>
        <w:tc>
          <w:tcPr>
            <w:tcW w:type="dxa" w:w="27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Document Label</w:t>
            </w:r>
          </w:p>
        </w:tc>
        <w:tc>
          <w:tcPr>
            <w:tcW w:type="dxa" w:w="25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Email Subject Prefix</w:t>
            </w:r>
          </w:p>
        </w:tc>
        <w:tc>
          <w:tcPr>
            <w:tcW w:type="dxa" w:w="21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File Naming (Optional)</w:t>
            </w:r>
          </w:p>
        </w:tc>
      </w:tr>
      <w:tr>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CRITICAL</w:t>
            </w:r>
          </w:p>
        </w:tc>
        <w:tc>
          <w:tcPr>
            <w:tcW w:type="dxa" w:w="27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CRITICAL watermark + header/footer on every page</w:t>
            </w:r>
          </w:p>
        </w:tc>
        <w:tc>
          <w:tcPr>
            <w:tcW w:type="dxa" w:w="2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[CRITICAL]</w:t>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_CRITICAL suffix</w:t>
            </w:r>
          </w:p>
        </w:tc>
      </w:tr>
      <w:tr>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CONFIDENTIAL</w:t>
            </w:r>
          </w:p>
        </w:tc>
        <w:tc>
          <w:tcPr>
            <w:tcW w:type="dxa" w:w="27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CONFIDENTIAL in header and footer</w:t>
            </w:r>
          </w:p>
        </w:tc>
        <w:tc>
          <w:tcPr>
            <w:tcW w:type="dxa" w:w="2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[CONFIDENTIAL]</w:t>
            </w:r>
          </w:p>
        </w:tc>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_CONF suffix</w:t>
            </w:r>
          </w:p>
        </w:tc>
      </w:tr>
      <w:tr>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INTERNAL</w:t>
            </w:r>
          </w:p>
        </w:tc>
        <w:tc>
          <w:tcPr>
            <w:tcW w:type="dxa" w:w="27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INTERNAL in header or assumed from context</w:t>
            </w:r>
          </w:p>
        </w:tc>
        <w:tc>
          <w:tcPr>
            <w:tcW w:type="dxa" w:w="2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[INTERNAL] (optional)</w:t>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No convention required</w:t>
            </w:r>
          </w:p>
        </w:tc>
      </w:tr>
      <w:tr>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PUBLIC</w:t>
            </w:r>
          </w:p>
        </w:tc>
        <w:tc>
          <w:tcPr>
            <w:tcW w:type="dxa" w:w="27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No marking required</w:t>
            </w:r>
          </w:p>
        </w:tc>
        <w:tc>
          <w:tcPr>
            <w:tcW w:type="dxa" w:w="2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No prefix required</w:t>
            </w:r>
          </w:p>
        </w:tc>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No convention required</w:t>
            </w:r>
          </w:p>
        </w:tc>
      </w:tr>
    </w:tbl>
    <w:p>
      <w:pPr>
        <w:spacing w:after="0" w:before="0"/>
      </w:pPr>
      <w:r>
        <w:rPr>
          <w:sz w:val="20"/>
          <w:szCs w:val="20"/>
        </w:rPr>
        <w:t xml:space="preserve"/>
      </w:r>
    </w:p>
    <w:p>
      <w:pPr>
        <w:spacing w:after="60" w:before="60"/>
      </w:pPr>
      <w:r>
        <w:rPr>
          <w:rFonts w:ascii="Arial" w:cs="Arial" w:eastAsia="Arial" w:hAnsi="Arial"/>
          <w:color w:val="1A2340"/>
          <w:sz w:val="22"/>
          <w:szCs w:val="22"/>
        </w:rPr>
        <w:t xml:space="preserve">Labels must be applied at document creation and must be maintained when documents are modified, copied, or shared. Removing or altering classification labels without authorization is a policy violation.</w:t>
      </w:r>
    </w:p>
    <w:p>
      <w:pPr>
        <w:spacing w:after="0" w:before="0"/>
      </w:pPr>
      <w:r>
        <w:rPr>
          <w:sz w:val="20"/>
          <w:szCs w:val="20"/>
        </w:rPr>
        <w:t xml:space="preserve"/>
      </w:r>
    </w:p>
    <w:p>
      <w:pPr>
        <w:spacing w:after="80" w:before="200"/>
      </w:pPr>
      <w:r>
        <w:rPr>
          <w:rFonts w:ascii="Arial" w:cs="Arial" w:eastAsia="Arial" w:hAnsi="Arial"/>
          <w:b/>
          <w:bCs/>
          <w:color w:val="152168"/>
          <w:sz w:val="24"/>
          <w:szCs w:val="24"/>
        </w:rPr>
        <w:t xml:space="preserve">6.4 Data Handling Requirements Matrix</w:t>
      </w:r>
    </w:p>
    <w:p>
      <w:pPr>
        <w:spacing w:after="60" w:before="60"/>
      </w:pPr>
      <w:r>
        <w:rPr>
          <w:rFonts w:ascii="Arial" w:cs="Arial" w:eastAsia="Arial" w:hAnsi="Arial"/>
          <w:color w:val="1A2340"/>
          <w:sz w:val="22"/>
          <w:szCs w:val="22"/>
        </w:rPr>
        <w:t xml:space="preserve">The following table summarizes the handling requirements for each classification tier across key handling contexts.</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020"/>
        <w:gridCol w:w="1960"/>
        <w:gridCol w:w="1900"/>
        <w:gridCol w:w="1800"/>
      </w:tblGrid>
      <w:tr>
        <w:trPr>
          <w:tblHeader/>
        </w:trPr>
        <w:tc>
          <w:tcPr>
            <w:tcW w:type="dxa" w:w="168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Context</w:t>
            </w:r>
          </w:p>
        </w:tc>
        <w:tc>
          <w:tcPr>
            <w:tcW w:type="dxa" w:w="202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CRITICAL</w:t>
            </w:r>
          </w:p>
        </w:tc>
        <w:tc>
          <w:tcPr>
            <w:tcW w:type="dxa" w:w="19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CONFIDENTIAL</w:t>
            </w:r>
          </w:p>
        </w:tc>
        <w:tc>
          <w:tcPr>
            <w:tcW w:type="dxa" w:w="19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INTERNAL</w:t>
            </w:r>
          </w:p>
        </w:tc>
        <w:tc>
          <w:tcPr>
            <w:tcW w:type="dxa" w:w="18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PUBLIC</w:t>
            </w:r>
          </w:p>
        </w:tc>
      </w:tr>
      <w:tr>
        <w:tc>
          <w:tcPr>
            <w:tcW w:type="dxa" w:w="1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Storage</w:t>
            </w:r>
          </w:p>
        </w:tc>
        <w:tc>
          <w:tcPr>
            <w:tcW w:type="dxa" w:w="20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Approved secure systems only; AES-256 encryption; no personal devices</w:t>
            </w:r>
          </w:p>
        </w:tc>
        <w:tc>
          <w:tcPr>
            <w:tcW w:type="dxa" w:w="1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Approved systems; encrypted on portable media; no unauthorized cloud</w:t>
            </w:r>
          </w:p>
        </w:tc>
        <w:tc>
          <w:tcPr>
            <w:tcW w:type="dxa" w:w="1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Standard network/system storage</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Any appropriate medium</w:t>
            </w:r>
          </w:p>
        </w:tc>
      </w:tr>
      <w:tr>
        <w:tc>
          <w:tcPr>
            <w:tcW w:type="dxa" w:w="1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Transmission</w:t>
            </w:r>
          </w:p>
        </w:tc>
        <w:tc>
          <w:tcPr>
            <w:tcW w:type="dxa" w:w="20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Encrypted channel (TLS 1.2+) only; no unencrypted email</w:t>
            </w:r>
          </w:p>
        </w:tc>
        <w:tc>
          <w:tcPr>
            <w:tcW w:type="dxa" w:w="1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TLS 1.2+ for electronic transfer; encrypted email for external</w:t>
            </w:r>
          </w:p>
        </w:tc>
        <w:tc>
          <w:tcPr>
            <w:tcW w:type="dxa" w:w="1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Standard internal channels; care with external</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No restrictions</w:t>
            </w:r>
          </w:p>
        </w:tc>
      </w:tr>
      <w:tr>
        <w:tc>
          <w:tcPr>
            <w:tcW w:type="dxa" w:w="1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Email</w:t>
            </w:r>
          </w:p>
        </w:tc>
        <w:tc>
          <w:tcPr>
            <w:tcW w:type="dxa" w:w="20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Prohibited via unencrypted email; use approved secure channel</w:t>
            </w:r>
          </w:p>
        </w:tc>
        <w:tc>
          <w:tcPr>
            <w:tcW w:type="dxa" w:w="1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Internal only or approved encrypted delivery</w:t>
            </w:r>
          </w:p>
        </w:tc>
        <w:tc>
          <w:tcPr>
            <w:tcW w:type="dxa" w:w="1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Internal use; care with external distribution</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Unrestricted</w:t>
            </w:r>
          </w:p>
        </w:tc>
      </w:tr>
      <w:tr>
        <w:tc>
          <w:tcPr>
            <w:tcW w:type="dxa" w:w="1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Cloud Storage</w:t>
            </w:r>
          </w:p>
        </w:tc>
        <w:tc>
          <w:tcPr>
            <w:tcW w:type="dxa" w:w="20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Not permitted on consumer cloud (e.g., personal Dropbox, Gmail)</w:t>
            </w:r>
          </w:p>
        </w:tc>
        <w:tc>
          <w:tcPr>
            <w:tcW w:type="dxa" w:w="1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Approved enterprise cloud only (e.g., Microsoft 365 with controls)</w:t>
            </w:r>
          </w:p>
        </w:tc>
        <w:tc>
          <w:tcPr>
            <w:tcW w:type="dxa" w:w="1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Approved corporate cloud</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Any approved platform</w:t>
            </w:r>
          </w:p>
        </w:tc>
      </w:tr>
      <w:tr>
        <w:tc>
          <w:tcPr>
            <w:tcW w:type="dxa" w:w="1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Mobile / Personal Devices</w:t>
            </w:r>
          </w:p>
        </w:tc>
        <w:tc>
          <w:tcPr>
            <w:tcW w:type="dxa" w:w="20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Prohibited</w:t>
            </w:r>
          </w:p>
        </w:tc>
        <w:tc>
          <w:tcPr>
            <w:tcW w:type="dxa" w:w="1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Prohibited without CISO approval and MDM enrollment</w:t>
            </w:r>
          </w:p>
        </w:tc>
        <w:tc>
          <w:tcPr>
            <w:tcW w:type="dxa" w:w="1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Permitted with standard access controls</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Permitted</w:t>
            </w:r>
          </w:p>
        </w:tc>
      </w:tr>
      <w:tr>
        <w:tc>
          <w:tcPr>
            <w:tcW w:type="dxa" w:w="1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Printing</w:t>
            </w:r>
          </w:p>
        </w:tc>
        <w:tc>
          <w:tcPr>
            <w:tcW w:type="dxa" w:w="20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Restricted; retrieve immediately; stored in locked cabinet</w:t>
            </w:r>
          </w:p>
        </w:tc>
        <w:tc>
          <w:tcPr>
            <w:tcW w:type="dxa" w:w="1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Restricted; stored securely; shredded when no longer needed</w:t>
            </w:r>
          </w:p>
        </w:tc>
        <w:tc>
          <w:tcPr>
            <w:tcW w:type="dxa" w:w="1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Print as needed; do not leave unattended</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Unrestricted</w:t>
            </w:r>
          </w:p>
        </w:tc>
      </w:tr>
      <w:tr>
        <w:tc>
          <w:tcPr>
            <w:tcW w:type="dxa" w:w="1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Disposal (Digital)</w:t>
            </w:r>
          </w:p>
        </w:tc>
        <w:tc>
          <w:tcPr>
            <w:tcW w:type="dxa" w:w="20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Cryptographic erasure or DoD 5220.22-M wipe; certificate required</w:t>
            </w:r>
          </w:p>
        </w:tc>
        <w:tc>
          <w:tcPr>
            <w:tcW w:type="dxa" w:w="1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Secure wipe; record disposal</w:t>
            </w:r>
          </w:p>
        </w:tc>
        <w:tc>
          <w:tcPr>
            <w:tcW w:type="dxa" w:w="1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Standard deletion (Recycle Bin empty)</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Standard deletion</w:t>
            </w:r>
          </w:p>
        </w:tc>
      </w:tr>
      <w:tr>
        <w:tc>
          <w:tcPr>
            <w:tcW w:type="dxa" w:w="1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Disposal (Physical)</w:t>
            </w:r>
          </w:p>
        </w:tc>
        <w:tc>
          <w:tcPr>
            <w:tcW w:type="dxa" w:w="20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Cross-cut shred; certificate of destruction</w:t>
            </w:r>
          </w:p>
        </w:tc>
        <w:tc>
          <w:tcPr>
            <w:tcW w:type="dxa" w:w="1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Cross-cut shred</w:t>
            </w:r>
          </w:p>
        </w:tc>
        <w:tc>
          <w:tcPr>
            <w:tcW w:type="dxa" w:w="1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Shred or secure bin</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Recycling acceptable</w:t>
            </w:r>
          </w:p>
        </w:tc>
      </w:tr>
      <w:tr>
        <w:tc>
          <w:tcPr>
            <w:tcW w:type="dxa" w:w="1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Logging</w:t>
            </w:r>
          </w:p>
        </w:tc>
        <w:tc>
          <w:tcPr>
            <w:tcW w:type="dxa" w:w="20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All access logged; retained 1+ year</w:t>
            </w:r>
          </w:p>
        </w:tc>
        <w:tc>
          <w:tcPr>
            <w:tcW w:type="dxa" w:w="1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Access to sensitive fields logged</w:t>
            </w:r>
          </w:p>
        </w:tc>
        <w:tc>
          <w:tcPr>
            <w:tcW w:type="dxa" w:w="1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Standard system logging</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Not required</w:t>
            </w:r>
          </w:p>
        </w:tc>
      </w:tr>
    </w:tbl>
    <w:p>
      <w:pPr>
        <w:spacing w:after="0" w:before="0"/>
      </w:pPr>
      <w:r>
        <w:rPr>
          <w:sz w:val="20"/>
          <w:szCs w:val="20"/>
        </w:rPr>
        <w:t xml:space="preserve"/>
      </w:r>
    </w:p>
    <w:p>
      <w:pPr>
        <w:spacing w:after="80" w:before="200"/>
      </w:pPr>
      <w:r>
        <w:rPr>
          <w:rFonts w:ascii="Arial" w:cs="Arial" w:eastAsia="Arial" w:hAnsi="Arial"/>
          <w:b/>
          <w:bCs/>
          <w:color w:val="152168"/>
          <w:sz w:val="24"/>
          <w:szCs w:val="24"/>
        </w:rPr>
        <w:t xml:space="preserve">6.5 Data Retention and Disposal</w:t>
      </w:r>
    </w:p>
    <w:p>
      <w:pPr>
        <w:pStyle w:val="ListParagraph"/>
        <w:numPr>
          <w:ilvl w:val="0"/>
          <w:numId w:val="2"/>
        </w:numPr>
        <w:spacing w:after="40" w:before="40"/>
      </w:pPr>
      <w:r>
        <w:rPr>
          <w:rFonts w:ascii="Arial" w:cs="Arial" w:eastAsia="Arial" w:hAnsi="Arial"/>
          <w:color w:val="1A2340"/>
          <w:sz w:val="22"/>
          <w:szCs w:val="22"/>
        </w:rPr>
        <w:t xml:space="preserve">The organization maintains a Data Retention Schedule, owned by Legal/Compliance, which specifies minimum and maximum retention periods for each data category.</w:t>
      </w:r>
    </w:p>
    <w:p>
      <w:pPr>
        <w:pStyle w:val="ListParagraph"/>
        <w:numPr>
          <w:ilvl w:val="0"/>
          <w:numId w:val="2"/>
        </w:numPr>
        <w:spacing w:after="40" w:before="40"/>
      </w:pPr>
      <w:r>
        <w:rPr>
          <w:rFonts w:ascii="Arial" w:cs="Arial" w:eastAsia="Arial" w:hAnsi="Arial"/>
          <w:color w:val="1A2340"/>
          <w:sz w:val="22"/>
          <w:szCs w:val="22"/>
        </w:rPr>
        <w:t xml:space="preserve">Data must not be retained beyond its authorized retention period without documented justification approved by the Data Owner and CISO/vCISO.</w:t>
      </w:r>
    </w:p>
    <w:p>
      <w:pPr>
        <w:pStyle w:val="ListParagraph"/>
        <w:numPr>
          <w:ilvl w:val="0"/>
          <w:numId w:val="2"/>
        </w:numPr>
        <w:spacing w:after="40" w:before="40"/>
      </w:pPr>
      <w:r>
        <w:rPr>
          <w:rFonts w:ascii="Arial" w:cs="Arial" w:eastAsia="Arial" w:hAnsi="Arial"/>
          <w:color w:val="1A2340"/>
          <w:sz w:val="22"/>
          <w:szCs w:val="22"/>
        </w:rPr>
        <w:t xml:space="preserve">Disposal must be performed using methods appropriate to the classification level and media type (see Section 6.4 matrix).</w:t>
      </w:r>
    </w:p>
    <w:p>
      <w:pPr>
        <w:pStyle w:val="ListParagraph"/>
        <w:numPr>
          <w:ilvl w:val="0"/>
          <w:numId w:val="2"/>
        </w:numPr>
        <w:spacing w:after="40" w:before="40"/>
      </w:pPr>
      <w:r>
        <w:rPr>
          <w:rFonts w:ascii="Arial" w:cs="Arial" w:eastAsia="Arial" w:hAnsi="Arial"/>
          <w:color w:val="1A2340"/>
          <w:sz w:val="22"/>
          <w:szCs w:val="22"/>
        </w:rPr>
        <w:t xml:space="preserve">A Disposal Log must be maintained for Critical and Confidential data, recording the data description, volume, disposal method, date, and responsible party.</w:t>
      </w:r>
    </w:p>
    <w:p>
      <w:pPr>
        <w:pStyle w:val="ListParagraph"/>
        <w:numPr>
          <w:ilvl w:val="0"/>
          <w:numId w:val="2"/>
        </w:numPr>
        <w:spacing w:after="40" w:before="40"/>
      </w:pPr>
      <w:r>
        <w:rPr>
          <w:rFonts w:ascii="Arial" w:cs="Arial" w:eastAsia="Arial" w:hAnsi="Arial"/>
          <w:color w:val="1A2340"/>
          <w:sz w:val="22"/>
          <w:szCs w:val="22"/>
        </w:rPr>
        <w:t xml:space="preserve">For Critical data stored on physical media or printed form, a Certificate of Destruction must be obtained from the disposal party.</w:t>
      </w:r>
    </w:p>
    <w:p>
      <w:pPr>
        <w:spacing w:after="0" w:before="0"/>
      </w:pPr>
      <w:r>
        <w:rPr>
          <w:sz w:val="20"/>
          <w:szCs w:val="20"/>
        </w:rPr>
        <w:t xml:space="preserve"/>
      </w:r>
    </w:p>
    <w:p>
      <w:pPr>
        <w:spacing w:after="60" w:before="60"/>
      </w:pPr>
      <w:r>
        <w:rPr>
          <w:rFonts w:ascii="Arial" w:cs="Arial" w:eastAsia="Arial" w:hAnsi="Arial"/>
          <w:color w:val="1A2340"/>
          <w:sz w:val="22"/>
          <w:szCs w:val="22"/>
        </w:rPr>
        <w:t xml:space="preserve">Minimum retention periods by data category (reference — superseded by specific regulatory requirements):</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900"/>
        <w:gridCol w:w="2660"/>
      </w:tblGrid>
      <w:tr>
        <w:trPr>
          <w:tblHeader/>
        </w:trPr>
        <w:tc>
          <w:tcPr>
            <w:tcW w:type="dxa" w:w="38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Data Category</w:t>
            </w:r>
          </w:p>
        </w:tc>
        <w:tc>
          <w:tcPr>
            <w:tcW w:type="dxa" w:w="29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Minimum Retention</w:t>
            </w:r>
          </w:p>
        </w:tc>
        <w:tc>
          <w:tcPr>
            <w:tcW w:type="dxa" w:w="26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Classification</w:t>
            </w:r>
          </w:p>
        </w:tc>
      </w:tr>
      <w:tr>
        <w:tc>
          <w:tcPr>
            <w:tcW w:type="dxa" w:w="3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Payment card transaction records</w:t>
            </w:r>
          </w:p>
        </w:tc>
        <w:tc>
          <w:tcPr>
            <w:tcW w:type="dxa" w:w="2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5 years (PCI DSS)</w:t>
            </w:r>
          </w:p>
        </w:tc>
        <w:tc>
          <w:tcPr>
            <w:tcW w:type="dxa" w:w="26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CRITICAL</w:t>
            </w:r>
          </w:p>
        </w:tc>
      </w:tr>
      <w:tr>
        <w:tc>
          <w:tcPr>
            <w:tcW w:type="dxa" w:w="3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Employee personnel files</w:t>
            </w:r>
          </w:p>
        </w:tc>
        <w:tc>
          <w:tcPr>
            <w:tcW w:type="dxa" w:w="2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7 years post-employment</w:t>
            </w:r>
          </w:p>
        </w:tc>
        <w:tc>
          <w:tcPr>
            <w:tcW w:type="dxa" w:w="26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CONFIDENTIAL</w:t>
            </w:r>
          </w:p>
        </w:tc>
      </w:tr>
      <w:tr>
        <w:tc>
          <w:tcPr>
            <w:tcW w:type="dxa" w:w="3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Health/benefits records</w:t>
            </w:r>
          </w:p>
        </w:tc>
        <w:tc>
          <w:tcPr>
            <w:tcW w:type="dxa" w:w="2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10 years or per provincial law</w:t>
            </w:r>
          </w:p>
        </w:tc>
        <w:tc>
          <w:tcPr>
            <w:tcW w:type="dxa" w:w="26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CRITICAL</w:t>
            </w:r>
          </w:p>
        </w:tc>
      </w:tr>
      <w:tr>
        <w:tc>
          <w:tcPr>
            <w:tcW w:type="dxa" w:w="3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Customer PII</w:t>
            </w:r>
          </w:p>
        </w:tc>
        <w:tc>
          <w:tcPr>
            <w:tcW w:type="dxa" w:w="2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Duration of relationship + 3 years</w:t>
            </w:r>
          </w:p>
        </w:tc>
        <w:tc>
          <w:tcPr>
            <w:tcW w:type="dxa" w:w="26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CONFIDENTIAL</w:t>
            </w:r>
          </w:p>
        </w:tc>
      </w:tr>
      <w:tr>
        <w:tc>
          <w:tcPr>
            <w:tcW w:type="dxa" w:w="3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Financial statements (audited)</w:t>
            </w:r>
          </w:p>
        </w:tc>
        <w:tc>
          <w:tcPr>
            <w:tcW w:type="dxa" w:w="2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7 years</w:t>
            </w:r>
          </w:p>
        </w:tc>
        <w:tc>
          <w:tcPr>
            <w:tcW w:type="dxa" w:w="26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CONFIDENTIAL</w:t>
            </w:r>
          </w:p>
        </w:tc>
      </w:tr>
      <w:tr>
        <w:tc>
          <w:tcPr>
            <w:tcW w:type="dxa" w:w="3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Security incident records</w:t>
            </w:r>
          </w:p>
        </w:tc>
        <w:tc>
          <w:tcPr>
            <w:tcW w:type="dxa" w:w="2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5 years</w:t>
            </w:r>
          </w:p>
        </w:tc>
        <w:tc>
          <w:tcPr>
            <w:tcW w:type="dxa" w:w="26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CONFIDENTIAL</w:t>
            </w:r>
          </w:p>
        </w:tc>
      </w:tr>
      <w:tr>
        <w:tc>
          <w:tcPr>
            <w:tcW w:type="dxa" w:w="3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Access logs and audit trails</w:t>
            </w:r>
          </w:p>
        </w:tc>
        <w:tc>
          <w:tcPr>
            <w:tcW w:type="dxa" w:w="2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1 year minimum</w:t>
            </w:r>
          </w:p>
        </w:tc>
        <w:tc>
          <w:tcPr>
            <w:tcW w:type="dxa" w:w="26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INTERNAL</w:t>
            </w:r>
          </w:p>
        </w:tc>
      </w:tr>
      <w:tr>
        <w:tc>
          <w:tcPr>
            <w:tcW w:type="dxa" w:w="3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General business correspondence</w:t>
            </w:r>
          </w:p>
        </w:tc>
        <w:tc>
          <w:tcPr>
            <w:tcW w:type="dxa" w:w="2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3 years</w:t>
            </w:r>
          </w:p>
        </w:tc>
        <w:tc>
          <w:tcPr>
            <w:tcW w:type="dxa" w:w="26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INTERNAL</w:t>
            </w:r>
          </w:p>
        </w:tc>
      </w:tr>
      <w:tr>
        <w:tc>
          <w:tcPr>
            <w:tcW w:type="dxa" w:w="3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Contracts and agreements</w:t>
            </w:r>
          </w:p>
        </w:tc>
        <w:tc>
          <w:tcPr>
            <w:tcW w:type="dxa" w:w="2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Term + 7 years</w:t>
            </w:r>
          </w:p>
        </w:tc>
        <w:tc>
          <w:tcPr>
            <w:tcW w:type="dxa" w:w="26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CONFIDENTIAL</w:t>
            </w:r>
          </w:p>
        </w:tc>
      </w:tr>
    </w:tbl>
    <w:p>
      <w:pPr>
        <w:spacing w:after="0" w:before="0"/>
      </w:pPr>
      <w:r>
        <w:rPr>
          <w:sz w:val="20"/>
          <w:szCs w:val="20"/>
        </w:rPr>
        <w:t xml:space="preserve"/>
      </w:r>
    </w:p>
    <w:p>
      <w:pPr>
        <w:spacing w:after="80" w:before="200"/>
      </w:pPr>
      <w:r>
        <w:rPr>
          <w:rFonts w:ascii="Arial" w:cs="Arial" w:eastAsia="Arial" w:hAnsi="Arial"/>
          <w:b/>
          <w:bCs/>
          <w:color w:val="152168"/>
          <w:sz w:val="24"/>
          <w:szCs w:val="24"/>
        </w:rPr>
        <w:t xml:space="preserve">6.6 Encryption Standards</w:t>
      </w:r>
    </w:p>
    <w:p>
      <w:pPr>
        <w:pStyle w:val="ListParagraph"/>
        <w:numPr>
          <w:ilvl w:val="0"/>
          <w:numId w:val="2"/>
        </w:numPr>
        <w:spacing w:after="40" w:before="40"/>
      </w:pPr>
      <w:r>
        <w:rPr>
          <w:rFonts w:ascii="Arial" w:cs="Arial" w:eastAsia="Arial" w:hAnsi="Arial"/>
          <w:color w:val="1A2340"/>
          <w:sz w:val="22"/>
          <w:szCs w:val="22"/>
        </w:rPr>
        <w:t xml:space="preserve">At Rest: AES-256 (or equivalent) encryption is required for all Confidential and Critical data stored on portable media, mobile devices, or external systems.</w:t>
      </w:r>
    </w:p>
    <w:p>
      <w:pPr>
        <w:pStyle w:val="ListParagraph"/>
        <w:numPr>
          <w:ilvl w:val="0"/>
          <w:numId w:val="2"/>
        </w:numPr>
        <w:spacing w:after="40" w:before="40"/>
      </w:pPr>
      <w:r>
        <w:rPr>
          <w:rFonts w:ascii="Arial" w:cs="Arial" w:eastAsia="Arial" w:hAnsi="Arial"/>
          <w:color w:val="1A2340"/>
          <w:sz w:val="22"/>
          <w:szCs w:val="22"/>
        </w:rPr>
        <w:t xml:space="preserve">In Transit: TLS 1.2 or higher is required for all data in transit, regardless of classification. TLS 1.3 is preferred.</w:t>
      </w:r>
    </w:p>
    <w:p>
      <w:pPr>
        <w:pStyle w:val="ListParagraph"/>
        <w:numPr>
          <w:ilvl w:val="0"/>
          <w:numId w:val="2"/>
        </w:numPr>
        <w:spacing w:after="40" w:before="40"/>
      </w:pPr>
      <w:r>
        <w:rPr>
          <w:rFonts w:ascii="Arial" w:cs="Arial" w:eastAsia="Arial" w:hAnsi="Arial"/>
          <w:color w:val="1A2340"/>
          <w:sz w:val="22"/>
          <w:szCs w:val="22"/>
        </w:rPr>
        <w:t xml:space="preserve">Approved tools for encryption are maintained by IT and published in the Acceptable Use Policy. Unapproved encryption tools must not be used.</w:t>
      </w:r>
    </w:p>
    <w:p>
      <w:pPr>
        <w:pStyle w:val="ListParagraph"/>
        <w:numPr>
          <w:ilvl w:val="0"/>
          <w:numId w:val="2"/>
        </w:numPr>
        <w:spacing w:after="40" w:before="40"/>
      </w:pPr>
      <w:r>
        <w:rPr>
          <w:rFonts w:ascii="Arial" w:cs="Arial" w:eastAsia="Arial" w:hAnsi="Arial"/>
          <w:color w:val="1A2340"/>
          <w:sz w:val="22"/>
          <w:szCs w:val="22"/>
        </w:rPr>
        <w:t xml:space="preserve">Encryption keys must be managed in accordance with the organization's Key Management Procedure. Keys for Critical data must be rotated at least annually.</w:t>
      </w:r>
    </w:p>
    <w:p>
      <w:pPr>
        <w:pStyle w:val="ListParagraph"/>
        <w:numPr>
          <w:ilvl w:val="0"/>
          <w:numId w:val="2"/>
        </w:numPr>
        <w:spacing w:after="40" w:before="40"/>
      </w:pPr>
      <w:r>
        <w:rPr>
          <w:rFonts w:ascii="Arial" w:cs="Arial" w:eastAsia="Arial" w:hAnsi="Arial"/>
          <w:color w:val="1A2340"/>
          <w:sz w:val="22"/>
          <w:szCs w:val="22"/>
        </w:rPr>
        <w:t xml:space="preserve">Hard disk encryption (FDE) must be enabled on all laptops and devices used to access Confidential or Critical data.</w:t>
      </w:r>
    </w:p>
    <w:p>
      <w:pPr>
        <w:spacing w:after="0" w:before="0"/>
      </w:pPr>
      <w:r>
        <w:rPr>
          <w:sz w:val="20"/>
          <w:szCs w:val="20"/>
        </w:rPr>
        <w:t xml:space="preserve"/>
      </w:r>
    </w:p>
    <w:p>
      <w:pPr>
        <w:spacing w:after="80" w:before="200"/>
      </w:pPr>
      <w:r>
        <w:rPr>
          <w:rFonts w:ascii="Arial" w:cs="Arial" w:eastAsia="Arial" w:hAnsi="Arial"/>
          <w:b/>
          <w:bCs/>
          <w:color w:val="152168"/>
          <w:sz w:val="24"/>
          <w:szCs w:val="24"/>
        </w:rPr>
        <w:t xml:space="preserve">6.7 Third-Party Data Sharing</w:t>
      </w:r>
    </w:p>
    <w:p>
      <w:pPr>
        <w:pStyle w:val="ListParagraph"/>
        <w:numPr>
          <w:ilvl w:val="0"/>
          <w:numId w:val="2"/>
        </w:numPr>
        <w:spacing w:after="40" w:before="40"/>
      </w:pPr>
      <w:r>
        <w:rPr>
          <w:rFonts w:ascii="Arial" w:cs="Arial" w:eastAsia="Arial" w:hAnsi="Arial"/>
          <w:color w:val="1A2340"/>
          <w:sz w:val="22"/>
          <w:szCs w:val="22"/>
        </w:rPr>
        <w:t xml:space="preserve">Sharing of Confidential or Critical data with third parties requires prior approval from the CISO/vCISO.</w:t>
      </w:r>
    </w:p>
    <w:p>
      <w:pPr>
        <w:pStyle w:val="ListParagraph"/>
        <w:numPr>
          <w:ilvl w:val="0"/>
          <w:numId w:val="2"/>
        </w:numPr>
        <w:spacing w:after="40" w:before="40"/>
      </w:pPr>
      <w:r>
        <w:rPr>
          <w:rFonts w:ascii="Arial" w:cs="Arial" w:eastAsia="Arial" w:hAnsi="Arial"/>
          <w:color w:val="1A2340"/>
          <w:sz w:val="22"/>
          <w:szCs w:val="22"/>
        </w:rPr>
        <w:t xml:space="preserve">A Data Sharing Agreement (DSA) or Data Processing Agreement (DPA) must be in place before Confidential or Critical data is shared with any external party.</w:t>
      </w:r>
    </w:p>
    <w:p>
      <w:pPr>
        <w:pStyle w:val="ListParagraph"/>
        <w:numPr>
          <w:ilvl w:val="0"/>
          <w:numId w:val="2"/>
        </w:numPr>
        <w:spacing w:after="40" w:before="40"/>
      </w:pPr>
      <w:r>
        <w:rPr>
          <w:rFonts w:ascii="Arial" w:cs="Arial" w:eastAsia="Arial" w:hAnsi="Arial"/>
          <w:color w:val="1A2340"/>
          <w:sz w:val="22"/>
          <w:szCs w:val="22"/>
        </w:rPr>
        <w:t xml:space="preserve">Third parties receiving Confidential or Critical data must demonstrate, via documentation or assessment, that they apply handling controls that meet or exceed those required by this policy.</w:t>
      </w:r>
    </w:p>
    <w:p>
      <w:pPr>
        <w:pStyle w:val="ListParagraph"/>
        <w:numPr>
          <w:ilvl w:val="0"/>
          <w:numId w:val="2"/>
        </w:numPr>
        <w:spacing w:after="40" w:before="40"/>
      </w:pPr>
      <w:r>
        <w:rPr>
          <w:rFonts w:ascii="Arial" w:cs="Arial" w:eastAsia="Arial" w:hAnsi="Arial"/>
          <w:color w:val="1A2340"/>
          <w:sz w:val="22"/>
          <w:szCs w:val="22"/>
        </w:rPr>
        <w:t xml:space="preserve">A record of data shared with third parties must be maintained, including the data type, quantity, recipient, legal basis, and date.</w:t>
      </w:r>
    </w:p>
    <w:p>
      <w:pPr>
        <w:pStyle w:val="ListParagraph"/>
        <w:numPr>
          <w:ilvl w:val="0"/>
          <w:numId w:val="2"/>
        </w:numPr>
        <w:spacing w:after="40" w:before="40"/>
      </w:pPr>
      <w:r>
        <w:rPr>
          <w:rFonts w:ascii="Arial" w:cs="Arial" w:eastAsia="Arial" w:hAnsi="Arial"/>
          <w:color w:val="1A2340"/>
          <w:sz w:val="22"/>
          <w:szCs w:val="22"/>
        </w:rPr>
        <w:t xml:space="preserve">The TPRA (Third-Party Risk Assessment) process must be completed for vendors who will receive or process Critical data.</w:t>
      </w:r>
    </w:p>
    <w:p>
      <w:pPr>
        <w:spacing w:after="0" w:before="0"/>
      </w:pPr>
      <w:r>
        <w:rPr>
          <w:sz w:val="20"/>
          <w:szCs w:val="20"/>
        </w:rPr>
        <w:t xml:space="preserve"/>
      </w:r>
    </w:p>
    <w:p>
      <w:pPr>
        <w:spacing w:after="80" w:before="200"/>
      </w:pPr>
      <w:r>
        <w:rPr>
          <w:rFonts w:ascii="Arial" w:cs="Arial" w:eastAsia="Arial" w:hAnsi="Arial"/>
          <w:b/>
          <w:bCs/>
          <w:color w:val="152168"/>
          <w:sz w:val="24"/>
          <w:szCs w:val="24"/>
        </w:rPr>
        <w:t xml:space="preserve">6.8 Regulatory Data Categories</w:t>
      </w:r>
    </w:p>
    <w:p>
      <w:pPr>
        <w:spacing w:after="60" w:before="60"/>
      </w:pPr>
      <w:r>
        <w:rPr>
          <w:rFonts w:ascii="Arial" w:cs="Arial" w:eastAsia="Arial" w:hAnsi="Arial"/>
          <w:color w:val="1A2340"/>
          <w:sz w:val="22"/>
          <w:szCs w:val="22"/>
        </w:rPr>
        <w:t xml:space="preserve">The following table maps key regulatory data types to the minimum classification required and the applicable legal framework:</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2300"/>
        <w:gridCol w:w="2960"/>
      </w:tblGrid>
      <w:tr>
        <w:trPr>
          <w:tblHeader/>
        </w:trPr>
        <w:tc>
          <w:tcPr>
            <w:tcW w:type="dxa" w:w="23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Data Type</w:t>
            </w:r>
          </w:p>
        </w:tc>
        <w:tc>
          <w:tcPr>
            <w:tcW w:type="dxa" w:w="18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Minimum Classification</w:t>
            </w:r>
          </w:p>
        </w:tc>
        <w:tc>
          <w:tcPr>
            <w:tcW w:type="dxa" w:w="23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Primary Regulation(s)</w:t>
            </w:r>
          </w:p>
        </w:tc>
        <w:tc>
          <w:tcPr>
            <w:tcW w:type="dxa" w:w="29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Key Obligation</w:t>
            </w:r>
          </w:p>
        </w:tc>
      </w:tr>
      <w:tr>
        <w:tc>
          <w:tcPr>
            <w:tcW w:type="dxa" w:w="23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Personally Identifiable Information (PII)</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CONFIDENTIAL</w:t>
            </w:r>
          </w:p>
        </w:tc>
        <w:tc>
          <w:tcPr>
            <w:tcW w:type="dxa" w:w="23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PIPEDA (Canada); GDPR (EU/UK)</w:t>
            </w:r>
          </w:p>
        </w:tc>
        <w:tc>
          <w:tcPr>
            <w:tcW w:type="dxa" w:w="2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Consent; purpose limitation; breach notification within 72 hrs (GDPR) / PIPEDA</w:t>
            </w:r>
          </w:p>
        </w:tc>
      </w:tr>
      <w:tr>
        <w:tc>
          <w:tcPr>
            <w:tcW w:type="dxa" w:w="23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Payment Card Data (PAN, CVV)</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CRITICAL</w:t>
            </w:r>
          </w:p>
        </w:tc>
        <w:tc>
          <w:tcPr>
            <w:tcW w:type="dxa" w:w="23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PCI DSS v4.0</w:t>
            </w:r>
          </w:p>
        </w:tc>
        <w:tc>
          <w:tcPr>
            <w:tcW w:type="dxa" w:w="2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Encryption; access controls; tokenization; annual compliance assessment</w:t>
            </w:r>
          </w:p>
        </w:tc>
      </w:tr>
      <w:tr>
        <w:tc>
          <w:tcPr>
            <w:tcW w:type="dxa" w:w="23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Protected Health Information (PHI)</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CRITICAL</w:t>
            </w:r>
          </w:p>
        </w:tc>
        <w:tc>
          <w:tcPr>
            <w:tcW w:type="dxa" w:w="23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HIPAA (US); provincial health acts (BC, ON)</w:t>
            </w:r>
          </w:p>
        </w:tc>
        <w:tc>
          <w:tcPr>
            <w:tcW w:type="dxa" w:w="2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Encryption; minimum necessary; authorization; breach notification</w:t>
            </w:r>
          </w:p>
        </w:tc>
      </w:tr>
      <w:tr>
        <w:tc>
          <w:tcPr>
            <w:tcW w:type="dxa" w:w="23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Employee Personal Data</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CONFIDENTIAL</w:t>
            </w:r>
          </w:p>
        </w:tc>
        <w:tc>
          <w:tcPr>
            <w:tcW w:type="dxa" w:w="23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PIPEDA; Employment Standards Act; provincial privacy acts</w:t>
            </w:r>
          </w:p>
        </w:tc>
        <w:tc>
          <w:tcPr>
            <w:tcW w:type="dxa" w:w="2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Legitimate purpose; retention limits; employee access rights</w:t>
            </w:r>
          </w:p>
        </w:tc>
      </w:tr>
      <w:tr>
        <w:tc>
          <w:tcPr>
            <w:tcW w:type="dxa" w:w="23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Biometric Data</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CRITICAL</w:t>
            </w:r>
          </w:p>
        </w:tc>
        <w:tc>
          <w:tcPr>
            <w:tcW w:type="dxa" w:w="23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PIPEDA; provincial privacy acts</w:t>
            </w:r>
          </w:p>
        </w:tc>
        <w:tc>
          <w:tcPr>
            <w:tcW w:type="dxa" w:w="2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Explicit consent; heightened security; data minimization</w:t>
            </w:r>
          </w:p>
        </w:tc>
      </w:tr>
      <w:tr>
        <w:tc>
          <w:tcPr>
            <w:tcW w:type="dxa" w:w="23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Children's Data (under 13/under 16)</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CRITICAL</w:t>
            </w:r>
          </w:p>
        </w:tc>
        <w:tc>
          <w:tcPr>
            <w:tcW w:type="dxa" w:w="23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COPPA (US); GDPR Art. 8</w:t>
            </w:r>
          </w:p>
        </w:tc>
        <w:tc>
          <w:tcPr>
            <w:tcW w:type="dxa" w:w="2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Parental consent; data minimization; deletion on request</w:t>
            </w:r>
          </w:p>
        </w:tc>
      </w:tr>
    </w:tbl>
    <w:p>
      <w:pPr>
        <w:spacing w:after="0" w:before="0"/>
      </w:pPr>
      <w:r>
        <w:rPr>
          <w:sz w:val="20"/>
          <w:szCs w:val="20"/>
        </w:rPr>
        <w:t xml:space="preserve"/>
      </w:r>
    </w:p>
    <w:p>
      <w:pPr>
        <w:pageBreakBefore/>
        <w:pBdr>
          <w:bottom w:val="single" w:color="07B4D9" w:sz="4"/>
        </w:pBdr>
        <w:spacing w:after="120" w:before="240"/>
      </w:pPr>
      <w:r>
        <w:rPr>
          <w:rFonts w:ascii="Arial" w:cs="Arial" w:eastAsia="Arial" w:hAnsi="Arial"/>
          <w:b/>
          <w:bCs/>
          <w:color w:val="152168"/>
          <w:sz w:val="28"/>
          <w:szCs w:val="28"/>
        </w:rPr>
        <w:t xml:space="preserve">7. Compliance and Enforcement</w:t>
      </w:r>
    </w:p>
    <w:p>
      <w:pPr>
        <w:spacing w:after="60" w:before="60"/>
      </w:pPr>
      <w:r>
        <w:rPr>
          <w:rFonts w:ascii="Arial" w:cs="Arial" w:eastAsia="Arial" w:hAnsi="Arial"/>
          <w:color w:val="1A2340"/>
          <w:sz w:val="22"/>
          <w:szCs w:val="22"/>
        </w:rPr>
        <w:t xml:space="preserve">All personnel are required to comply with this policy. Compliance is verified through:</w:t>
      </w:r>
    </w:p>
    <w:p>
      <w:pPr>
        <w:pStyle w:val="ListParagraph"/>
        <w:numPr>
          <w:ilvl w:val="0"/>
          <w:numId w:val="2"/>
        </w:numPr>
        <w:spacing w:after="40" w:before="40"/>
      </w:pPr>
      <w:r>
        <w:rPr>
          <w:rFonts w:ascii="Arial" w:cs="Arial" w:eastAsia="Arial" w:hAnsi="Arial"/>
          <w:color w:val="1A2340"/>
          <w:sz w:val="22"/>
          <w:szCs w:val="22"/>
        </w:rPr>
        <w:t xml:space="preserve">Annual data classification training for all staff.</w:t>
      </w:r>
    </w:p>
    <w:p>
      <w:pPr>
        <w:pStyle w:val="ListParagraph"/>
        <w:numPr>
          <w:ilvl w:val="0"/>
          <w:numId w:val="2"/>
        </w:numPr>
        <w:spacing w:after="40" w:before="40"/>
      </w:pPr>
      <w:r>
        <w:rPr>
          <w:rFonts w:ascii="Arial" w:cs="Arial" w:eastAsia="Arial" w:hAnsi="Arial"/>
          <w:color w:val="1A2340"/>
          <w:sz w:val="22"/>
          <w:szCs w:val="22"/>
        </w:rPr>
        <w:t xml:space="preserve">Periodic audits of data handling practices by IT or the CISO/vCISO.</w:t>
      </w:r>
    </w:p>
    <w:p>
      <w:pPr>
        <w:pStyle w:val="ListParagraph"/>
        <w:numPr>
          <w:ilvl w:val="0"/>
          <w:numId w:val="2"/>
        </w:numPr>
        <w:spacing w:after="40" w:before="40"/>
      </w:pPr>
      <w:r>
        <w:rPr>
          <w:rFonts w:ascii="Arial" w:cs="Arial" w:eastAsia="Arial" w:hAnsi="Arial"/>
          <w:color w:val="1A2340"/>
          <w:sz w:val="22"/>
          <w:szCs w:val="22"/>
        </w:rPr>
        <w:t xml:space="preserve">Review of access logs for Critical and Confidential data.</w:t>
      </w:r>
    </w:p>
    <w:p>
      <w:pPr>
        <w:pStyle w:val="ListParagraph"/>
        <w:numPr>
          <w:ilvl w:val="0"/>
          <w:numId w:val="2"/>
        </w:numPr>
        <w:spacing w:after="40" w:before="40"/>
      </w:pPr>
      <w:r>
        <w:rPr>
          <w:rFonts w:ascii="Arial" w:cs="Arial" w:eastAsia="Arial" w:hAnsi="Arial"/>
          <w:color w:val="1A2340"/>
          <w:sz w:val="22"/>
          <w:szCs w:val="22"/>
        </w:rPr>
        <w:t xml:space="preserve">Third-party audit rights where stipulated by regulation or contract.</w:t>
      </w:r>
    </w:p>
    <w:p>
      <w:pPr>
        <w:spacing w:after="0" w:before="0"/>
      </w:pPr>
      <w:r>
        <w:rPr>
          <w:sz w:val="20"/>
          <w:szCs w:val="20"/>
        </w:rPr>
        <w:t xml:space="preserve"/>
      </w:r>
    </w:p>
    <w:p>
      <w:pPr>
        <w:spacing w:after="60" w:before="60"/>
      </w:pPr>
      <w:r>
        <w:rPr>
          <w:rFonts w:ascii="Arial" w:cs="Arial" w:eastAsia="Arial" w:hAnsi="Arial"/>
          <w:color w:val="1A2340"/>
          <w:sz w:val="22"/>
          <w:szCs w:val="22"/>
        </w:rPr>
        <w:t xml:space="preserve">Violations of this policy may result in disciplinary action up to and including termination of employment or contract. Where a violation constitutes a breach of personal or payment data, the organization's Incident Response Policy and applicable notification obligations will apply.</w:t>
      </w:r>
    </w:p>
    <w:p>
      <w:pPr>
        <w:pageBreakBefore/>
        <w:pBdr>
          <w:bottom w:val="single" w:color="07B4D9" w:sz="4"/>
        </w:pBdr>
        <w:spacing w:after="120" w:before="240"/>
      </w:pPr>
      <w:r>
        <w:rPr>
          <w:rFonts w:ascii="Arial" w:cs="Arial" w:eastAsia="Arial" w:hAnsi="Arial"/>
          <w:b/>
          <w:bCs/>
          <w:color w:val="152168"/>
          <w:sz w:val="28"/>
          <w:szCs w:val="28"/>
        </w:rPr>
        <w:t xml:space="preserve">8. Related Documents</w:t>
      </w:r>
    </w:p>
    <w:p>
      <w:pPr>
        <w:pStyle w:val="ListParagraph"/>
        <w:numPr>
          <w:ilvl w:val="0"/>
          <w:numId w:val="2"/>
        </w:numPr>
        <w:spacing w:after="40" w:before="40"/>
      </w:pPr>
      <w:r>
        <w:rPr>
          <w:rFonts w:ascii="Arial" w:cs="Arial" w:eastAsia="Arial" w:hAnsi="Arial"/>
          <w:color w:val="1A2340"/>
          <w:sz w:val="22"/>
          <w:szCs w:val="22"/>
        </w:rPr>
        <w:t xml:space="preserve">Acceptable Use Policy</w:t>
      </w:r>
    </w:p>
    <w:p>
      <w:pPr>
        <w:pStyle w:val="ListParagraph"/>
        <w:numPr>
          <w:ilvl w:val="0"/>
          <w:numId w:val="2"/>
        </w:numPr>
        <w:spacing w:after="40" w:before="40"/>
      </w:pPr>
      <w:r>
        <w:rPr>
          <w:rFonts w:ascii="Arial" w:cs="Arial" w:eastAsia="Arial" w:hAnsi="Arial"/>
          <w:color w:val="1A2340"/>
          <w:sz w:val="22"/>
          <w:szCs w:val="22"/>
        </w:rPr>
        <w:t xml:space="preserve">Incident Response Policy</w:t>
      </w:r>
    </w:p>
    <w:p>
      <w:pPr>
        <w:pStyle w:val="ListParagraph"/>
        <w:numPr>
          <w:ilvl w:val="0"/>
          <w:numId w:val="2"/>
        </w:numPr>
        <w:spacing w:after="40" w:before="40"/>
      </w:pPr>
      <w:r>
        <w:rPr>
          <w:rFonts w:ascii="Arial" w:cs="Arial" w:eastAsia="Arial" w:hAnsi="Arial"/>
          <w:color w:val="1A2340"/>
          <w:sz w:val="22"/>
          <w:szCs w:val="22"/>
        </w:rPr>
        <w:t xml:space="preserve">Third-Party Risk Assessment Policy</w:t>
      </w:r>
    </w:p>
    <w:p>
      <w:pPr>
        <w:pStyle w:val="ListParagraph"/>
        <w:numPr>
          <w:ilvl w:val="0"/>
          <w:numId w:val="2"/>
        </w:numPr>
        <w:spacing w:after="40" w:before="40"/>
      </w:pPr>
      <w:r>
        <w:rPr>
          <w:rFonts w:ascii="Arial" w:cs="Arial" w:eastAsia="Arial" w:hAnsi="Arial"/>
          <w:color w:val="1A2340"/>
          <w:sz w:val="22"/>
          <w:szCs w:val="22"/>
        </w:rPr>
        <w:t xml:space="preserve">Data Retention Schedule</w:t>
      </w:r>
    </w:p>
    <w:p>
      <w:pPr>
        <w:pStyle w:val="ListParagraph"/>
        <w:numPr>
          <w:ilvl w:val="0"/>
          <w:numId w:val="2"/>
        </w:numPr>
        <w:spacing w:after="40" w:before="40"/>
      </w:pPr>
      <w:r>
        <w:rPr>
          <w:rFonts w:ascii="Arial" w:cs="Arial" w:eastAsia="Arial" w:hAnsi="Arial"/>
          <w:color w:val="1A2340"/>
          <w:sz w:val="22"/>
          <w:szCs w:val="22"/>
        </w:rPr>
        <w:t xml:space="preserve">Password and Access Control Policy</w:t>
      </w:r>
    </w:p>
    <w:p>
      <w:pPr>
        <w:pStyle w:val="ListParagraph"/>
        <w:numPr>
          <w:ilvl w:val="0"/>
          <w:numId w:val="2"/>
        </w:numPr>
        <w:spacing w:after="40" w:before="40"/>
      </w:pPr>
      <w:r>
        <w:rPr>
          <w:rFonts w:ascii="Arial" w:cs="Arial" w:eastAsia="Arial" w:hAnsi="Arial"/>
          <w:color w:val="1A2340"/>
          <w:sz w:val="22"/>
          <w:szCs w:val="22"/>
        </w:rPr>
        <w:t xml:space="preserve">Information Security Policy</w:t>
      </w:r>
    </w:p>
    <w:p>
      <w:pPr>
        <w:pStyle w:val="ListParagraph"/>
        <w:numPr>
          <w:ilvl w:val="0"/>
          <w:numId w:val="2"/>
        </w:numPr>
        <w:spacing w:after="40" w:before="40"/>
      </w:pPr>
      <w:r>
        <w:rPr>
          <w:rFonts w:ascii="Arial" w:cs="Arial" w:eastAsia="Arial" w:hAnsi="Arial"/>
          <w:color w:val="1A2340"/>
          <w:sz w:val="22"/>
          <w:szCs w:val="22"/>
        </w:rPr>
        <w:t xml:space="preserve">Privacy Policy</w:t>
      </w:r>
    </w:p>
    <w:p>
      <w:pPr>
        <w:pageBreakBefore/>
        <w:pBdr>
          <w:bottom w:val="single" w:color="07B4D9" w:sz="4"/>
        </w:pBdr>
        <w:spacing w:after="120" w:before="240"/>
      </w:pPr>
      <w:r>
        <w:rPr>
          <w:rFonts w:ascii="Arial" w:cs="Arial" w:eastAsia="Arial" w:hAnsi="Arial"/>
          <w:b/>
          <w:bCs/>
          <w:color w:val="152168"/>
          <w:sz w:val="28"/>
          <w:szCs w:val="28"/>
        </w:rPr>
        <w:t xml:space="preserve">9. Document Control</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9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Document ID</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ENT-Draft-POL-Data Classification and Handling-Comprehensive-6.26</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Version</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1.0 — Draft</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Effective Date</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June 2026</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Review Cycle</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Annual</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Document Owner</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CISO / vCISO</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Approved By</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[Name / Title]</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Next Review Date</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June 2027</w:t>
            </w:r>
          </w:p>
        </w:tc>
      </w:tr>
    </w:tbl>
    <w:p>
      <w:pPr>
        <w:spacing w:after="0" w:before="0"/>
      </w:pPr>
      <w:r>
        <w:rPr>
          <w:sz w:val="40"/>
          <w:szCs w:val="40"/>
        </w:rPr>
        <w:t xml:space="preserve"/>
      </w:r>
    </w:p>
    <w:p>
      <w:r>
        <w:br w:type="page"/>
      </w:r>
    </w:p>
    <w:p>
      <w:pPr>
        <w:spacing w:after="120" w:before="240"/>
      </w:pPr>
      <w:r>
        <w:rPr>
          <w:rFonts w:ascii="Arial" w:cs="Arial" w:eastAsia="Arial" w:hAnsi="Arial"/>
          <w:b/>
          <w:bCs/>
          <w:color w:val="152168"/>
          <w:sz w:val="32"/>
          <w:szCs w:val="32"/>
        </w:rPr>
        <w:t xml:space="preserve">APPENDICES</w:t>
      </w:r>
    </w:p>
    <w:p>
      <w:pPr>
        <w:spacing w:after="80" w:before="200"/>
      </w:pPr>
      <w:r>
        <w:rPr>
          <w:rFonts w:ascii="Arial" w:cs="Arial" w:eastAsia="Arial" w:hAnsi="Arial"/>
          <w:b/>
          <w:bCs/>
          <w:color w:val="152168"/>
          <w:sz w:val="26"/>
          <w:szCs w:val="26"/>
        </w:rPr>
        <w:t xml:space="preserve">Appendix A: Data Classification Quick Reference Card</w:t>
      </w:r>
    </w:p>
    <w:p>
      <w:pPr>
        <w:spacing w:after="60" w:before="60"/>
      </w:pPr>
      <w:r>
        <w:rPr>
          <w:rFonts w:ascii="Arial" w:cs="Arial" w:eastAsia="Arial" w:hAnsi="Arial"/>
          <w:color w:val="1A2340"/>
          <w:sz w:val="22"/>
          <w:szCs w:val="22"/>
        </w:rPr>
        <w:t xml:space="preserve">This card provides a one-page summary of the four classification tiers, their key examples, and the most important handling rules. Print and post at workstations or include in onboarding materials.</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60"/>
        <w:gridCol w:w="3100"/>
      </w:tblGrid>
      <w:tr>
        <w:trPr>
          <w:tblHeader/>
        </w:trPr>
        <w:tc>
          <w:tcPr>
            <w:tcW w:type="dxa" w:w="16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Classification</w:t>
            </w:r>
          </w:p>
        </w:tc>
        <w:tc>
          <w:tcPr>
            <w:tcW w:type="dxa" w:w="22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Key Examples</w:t>
            </w:r>
          </w:p>
        </w:tc>
        <w:tc>
          <w:tcPr>
            <w:tcW w:type="dxa" w:w="31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Critical Handling Rules</w:t>
            </w:r>
          </w:p>
        </w:tc>
      </w:tr>
      <w:tr>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CRITICAL</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Severe harm if disclosed</w:t>
            </w:r>
          </w:p>
        </w:tc>
        <w:tc>
          <w:tcPr>
            <w:tcW w:type="dxa" w:w="24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Payment cards, government IDs, passwords, health records, encryption keys</w:t>
            </w:r>
          </w:p>
        </w:tc>
        <w:tc>
          <w:tcPr>
            <w:tcW w:type="dxa" w:w="31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MFA required; AES-256 encryption; no personal devices; no unencrypted email; log all access; certificate of destruction on disposal</w:t>
            </w:r>
          </w:p>
        </w:tc>
      </w:tr>
      <w:tr>
        <w:tc>
          <w:tcPr>
            <w:tcW w:type="dxa" w:w="1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CONFIDENTIAL</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Material business harm if disclosed</w:t>
            </w:r>
          </w:p>
        </w:tc>
        <w:tc>
          <w:tcPr>
            <w:tcW w:type="dxa" w:w="24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Employee PII, customer data, contracts, financial statements, security reports</w:t>
            </w:r>
          </w:p>
        </w:tc>
        <w:tc>
          <w:tcPr>
            <w:tcW w:type="dxa" w:w="31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Role-based access; TLS in transit; encrypted on portable media; no unauthorized cloud; secure shred/wipe</w:t>
            </w:r>
          </w:p>
        </w:tc>
      </w:tr>
      <w:tr>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INTERNAL</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Not for public release</w:t>
            </w:r>
          </w:p>
        </w:tc>
        <w:tc>
          <w:tcPr>
            <w:tcW w:type="dxa" w:w="24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Policies, meeting minutes, org charts, project docs</w:t>
            </w:r>
          </w:p>
        </w:tc>
        <w:tc>
          <w:tcPr>
            <w:tcW w:type="dxa" w:w="31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Do not share externally without authorization; standard access controls; shred when disposing</w:t>
            </w:r>
          </w:p>
        </w:tc>
      </w:tr>
      <w:tr>
        <w:tc>
          <w:tcPr>
            <w:tcW w:type="dxa" w:w="1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PUBLIC</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Approved for public release</w:t>
            </w:r>
          </w:p>
        </w:tc>
        <w:tc>
          <w:tcPr>
            <w:tcW w:type="dxa" w:w="24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Website, press releases, job postings, brochures</w:t>
            </w:r>
          </w:p>
        </w:tc>
        <w:tc>
          <w:tcPr>
            <w:tcW w:type="dxa" w:w="31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Verify approval before publishing; no confidentiality restrictions</w:t>
            </w:r>
          </w:p>
        </w:tc>
      </w:tr>
    </w:tbl>
    <w:p>
      <w:pPr>
        <w:spacing w:after="0" w:before="0"/>
      </w:pPr>
      <w:r>
        <w:rPr>
          <w:sz w:val="20"/>
          <w:szCs w:val="20"/>
        </w:rPr>
        <w:t xml:space="preserve"/>
      </w:r>
    </w:p>
    <w:p>
      <w:pPr>
        <w:pBdr>
          <w:left w:val="single" w:color="07B4D9" w:sz="12"/>
        </w:pBdr>
        <w:shd w:fill="EBF0FA" w:val="clear"/>
        <w:spacing w:after="80" w:before="80"/>
        <w:ind w:left="360" w:right="360"/>
      </w:pPr>
      <w:r>
        <w:rPr>
          <w:rFonts w:ascii="Arial" w:cs="Arial" w:eastAsia="Arial" w:hAnsi="Arial"/>
          <w:b/>
          <w:bCs/>
          <w:color w:val="152168"/>
          <w:sz w:val="22"/>
          <w:szCs w:val="22"/>
        </w:rPr>
        <w:t xml:space="preserve">When in doubt, classify as CONFIDENTIAL. </w:t>
      </w:r>
      <w:r>
        <w:rPr>
          <w:rFonts w:ascii="Arial" w:cs="Arial" w:eastAsia="Arial" w:hAnsi="Arial"/>
          <w:color w:val="1A2340"/>
          <w:sz w:val="22"/>
          <w:szCs w:val="22"/>
        </w:rPr>
        <w:t xml:space="preserve">Contact IT or your manager if you need help determining the right classification.</w:t>
      </w:r>
    </w:p>
    <w:p>
      <w:pPr>
        <w:spacing w:after="0" w:before="0"/>
      </w:pPr>
      <w:r>
        <w:rPr>
          <w:sz w:val="40"/>
          <w:szCs w:val="40"/>
        </w:rPr>
        <w:t xml:space="preserve"/>
      </w:r>
    </w:p>
    <w:p>
      <w:pPr>
        <w:spacing w:after="80" w:before="200"/>
      </w:pPr>
      <w:r>
        <w:rPr>
          <w:rFonts w:ascii="Arial" w:cs="Arial" w:eastAsia="Arial" w:hAnsi="Arial"/>
          <w:b/>
          <w:bCs/>
          <w:color w:val="152168"/>
          <w:sz w:val="26"/>
          <w:szCs w:val="26"/>
        </w:rPr>
        <w:t xml:space="preserve">Appendix B: Data Handling Requirements Matrix (Detailed)</w:t>
      </w:r>
    </w:p>
    <w:p>
      <w:pPr>
        <w:spacing w:after="60" w:before="60"/>
      </w:pPr>
      <w:r>
        <w:rPr>
          <w:rFonts w:ascii="Arial" w:cs="Arial" w:eastAsia="Arial" w:hAnsi="Arial"/>
          <w:color w:val="1A2340"/>
          <w:sz w:val="22"/>
          <w:szCs w:val="22"/>
        </w:rPr>
        <w:t xml:space="preserve">This appendix expands on the matrix in Section 6.4, providing additional guidance for specific handling scenarios.</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820"/>
        <w:gridCol w:w="1820"/>
        <w:gridCol w:w="1720"/>
      </w:tblGrid>
      <w:tr>
        <w:trPr>
          <w:tblHeader/>
        </w:trPr>
        <w:tc>
          <w:tcPr>
            <w:tcW w:type="dxa" w:w="21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19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CRITICAL</w:t>
            </w:r>
          </w:p>
        </w:tc>
        <w:tc>
          <w:tcPr>
            <w:tcW w:type="dxa" w:w="182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CONFIDENTIAL</w:t>
            </w:r>
          </w:p>
        </w:tc>
        <w:tc>
          <w:tcPr>
            <w:tcW w:type="dxa" w:w="182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INTERNAL</w:t>
            </w:r>
          </w:p>
        </w:tc>
        <w:tc>
          <w:tcPr>
            <w:tcW w:type="dxa" w:w="172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PUBLIC</w:t>
            </w:r>
          </w:p>
        </w:tc>
      </w:tr>
      <w:tr>
        <w:tc>
          <w:tcPr>
            <w:tcW w:type="dxa" w:w="21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Sending data to a colleague</w:t>
            </w:r>
          </w:p>
        </w:tc>
        <w:tc>
          <w:tcPr>
            <w:tcW w:type="dxa" w:w="1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Approved secure channel with encryption; confirm recipient identity</w:t>
            </w:r>
          </w:p>
        </w:tc>
        <w:tc>
          <w:tcPr>
            <w:tcW w:type="dxa" w:w="18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Corporate email (internal); encryption for attachments</w:t>
            </w:r>
          </w:p>
        </w:tc>
        <w:tc>
          <w:tcPr>
            <w:tcW w:type="dxa" w:w="18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Corporate email or messaging</w:t>
            </w:r>
          </w:p>
        </w:tc>
        <w:tc>
          <w:tcPr>
            <w:tcW w:type="dxa" w:w="17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Any channel</w:t>
            </w:r>
          </w:p>
        </w:tc>
      </w:tr>
      <w:tr>
        <w:tc>
          <w:tcPr>
            <w:tcW w:type="dxa" w:w="21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Sending data to a vendor or partner</w:t>
            </w:r>
          </w:p>
        </w:tc>
        <w:tc>
          <w:tcPr>
            <w:tcW w:type="dxa" w:w="1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CISO approval + DSA; encrypted secure transfer only</w:t>
            </w:r>
          </w:p>
        </w:tc>
        <w:tc>
          <w:tcPr>
            <w:tcW w:type="dxa" w:w="18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CISO approval + DSA; encrypted transfer</w:t>
            </w:r>
          </w:p>
        </w:tc>
        <w:tc>
          <w:tcPr>
            <w:tcW w:type="dxa" w:w="18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Manager approval; standard transfer</w:t>
            </w:r>
          </w:p>
        </w:tc>
        <w:tc>
          <w:tcPr>
            <w:tcW w:type="dxa" w:w="17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No restrictions</w:t>
            </w:r>
          </w:p>
        </w:tc>
      </w:tr>
      <w:tr>
        <w:tc>
          <w:tcPr>
            <w:tcW w:type="dxa" w:w="21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Working remotely</w:t>
            </w:r>
          </w:p>
        </w:tc>
        <w:tc>
          <w:tcPr>
            <w:tcW w:type="dxa" w:w="1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Prohibited on personal devices; only via corporate VPN on managed device</w:t>
            </w:r>
          </w:p>
        </w:tc>
        <w:tc>
          <w:tcPr>
            <w:tcW w:type="dxa" w:w="18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Corporate managed device + VPN required; no personal cloud sync</w:t>
            </w:r>
          </w:p>
        </w:tc>
        <w:tc>
          <w:tcPr>
            <w:tcW w:type="dxa" w:w="18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Corporate device preferred; VPN for sensitive access</w:t>
            </w:r>
          </w:p>
        </w:tc>
        <w:tc>
          <w:tcPr>
            <w:tcW w:type="dxa" w:w="17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No restrictions</w:t>
            </w:r>
          </w:p>
        </w:tc>
      </w:tr>
      <w:tr>
        <w:tc>
          <w:tcPr>
            <w:tcW w:type="dxa" w:w="21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Storing in cloud</w:t>
            </w:r>
          </w:p>
        </w:tc>
        <w:tc>
          <w:tcPr>
            <w:tcW w:type="dxa" w:w="1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Prohibited (consumer cloud); approved enterprise DLP-enabled only</w:t>
            </w:r>
          </w:p>
        </w:tc>
        <w:tc>
          <w:tcPr>
            <w:tcW w:type="dxa" w:w="18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Approved enterprise cloud with access controls and DLP</w:t>
            </w:r>
          </w:p>
        </w:tc>
        <w:tc>
          <w:tcPr>
            <w:tcW w:type="dxa" w:w="18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Approved corporate cloud (M365, etc.)</w:t>
            </w:r>
          </w:p>
        </w:tc>
        <w:tc>
          <w:tcPr>
            <w:tcW w:type="dxa" w:w="17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Any approved public platform</w:t>
            </w:r>
          </w:p>
        </w:tc>
      </w:tr>
      <w:tr>
        <w:tc>
          <w:tcPr>
            <w:tcW w:type="dxa" w:w="21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Printing</w:t>
            </w:r>
          </w:p>
        </w:tc>
        <w:tc>
          <w:tcPr>
            <w:tcW w:type="dxa" w:w="1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Need-to-know only; immediately retrieved; locked storage or shredded when done</w:t>
            </w:r>
          </w:p>
        </w:tc>
        <w:tc>
          <w:tcPr>
            <w:tcW w:type="dxa" w:w="18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Restricted; shred when no longer needed; stored securely</w:t>
            </w:r>
          </w:p>
        </w:tc>
        <w:tc>
          <w:tcPr>
            <w:tcW w:type="dxa" w:w="18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Print as needed; shred when done</w:t>
            </w:r>
          </w:p>
        </w:tc>
        <w:tc>
          <w:tcPr>
            <w:tcW w:type="dxa" w:w="17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No restrictions</w:t>
            </w:r>
          </w:p>
        </w:tc>
      </w:tr>
      <w:tr>
        <w:tc>
          <w:tcPr>
            <w:tcW w:type="dxa" w:w="21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Data shared with IT support</w:t>
            </w:r>
          </w:p>
        </w:tc>
        <w:tc>
          <w:tcPr>
            <w:tcW w:type="dxa" w:w="1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Restrict scope; log what was accessed; obtain NDA/access agreement</w:t>
            </w:r>
          </w:p>
        </w:tc>
        <w:tc>
          <w:tcPr>
            <w:tcW w:type="dxa" w:w="18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Restrict scope; ensure ticket is logged with access note</w:t>
            </w:r>
          </w:p>
        </w:tc>
        <w:tc>
          <w:tcPr>
            <w:tcW w:type="dxa" w:w="18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Standard IT ticket</w:t>
            </w:r>
          </w:p>
        </w:tc>
        <w:tc>
          <w:tcPr>
            <w:tcW w:type="dxa" w:w="17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No restrictions</w:t>
            </w:r>
          </w:p>
        </w:tc>
      </w:tr>
      <w:tr>
        <w:tc>
          <w:tcPr>
            <w:tcW w:type="dxa" w:w="21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Backup and recovery</w:t>
            </w:r>
          </w:p>
        </w:tc>
        <w:tc>
          <w:tcPr>
            <w:tcW w:type="dxa" w:w="1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Encrypted backups; tested restore; access restricted to IT admin</w:t>
            </w:r>
          </w:p>
        </w:tc>
        <w:tc>
          <w:tcPr>
            <w:tcW w:type="dxa" w:w="18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Encrypted backups; access restricted</w:t>
            </w:r>
          </w:p>
        </w:tc>
        <w:tc>
          <w:tcPr>
            <w:tcW w:type="dxa" w:w="18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Standard backup procedures</w:t>
            </w:r>
          </w:p>
        </w:tc>
        <w:tc>
          <w:tcPr>
            <w:tcW w:type="dxa" w:w="17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Standard backup</w:t>
            </w:r>
          </w:p>
        </w:tc>
      </w:tr>
      <w:tr>
        <w:tc>
          <w:tcPr>
            <w:tcW w:type="dxa" w:w="21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Legacy system migration</w:t>
            </w:r>
          </w:p>
        </w:tc>
        <w:tc>
          <w:tcPr>
            <w:tcW w:type="dxa" w:w="1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Classify migrated data before transfer; encrypt during migration; audit post-migration</w:t>
            </w:r>
          </w:p>
        </w:tc>
        <w:tc>
          <w:tcPr>
            <w:tcW w:type="dxa" w:w="18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Encrypt during migration; access log</w:t>
            </w:r>
          </w:p>
        </w:tc>
        <w:tc>
          <w:tcPr>
            <w:tcW w:type="dxa" w:w="18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Standard migration procedures</w:t>
            </w:r>
          </w:p>
        </w:tc>
        <w:tc>
          <w:tcPr>
            <w:tcW w:type="dxa" w:w="17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No specific requirements</w:t>
            </w:r>
          </w:p>
        </w:tc>
      </w:tr>
    </w:tbl>
    <w:p>
      <w:pPr>
        <w:spacing w:after="0" w:before="0"/>
      </w:pPr>
      <w:r>
        <w:rPr>
          <w:sz w:val="40"/>
          <w:szCs w:val="40"/>
        </w:rPr>
        <w:t xml:space="preserve"/>
      </w:r>
    </w:p>
    <w:p>
      <w:pPr>
        <w:spacing w:after="80" w:before="200"/>
      </w:pPr>
      <w:r>
        <w:rPr>
          <w:rFonts w:ascii="Arial" w:cs="Arial" w:eastAsia="Arial" w:hAnsi="Arial"/>
          <w:b/>
          <w:bCs/>
          <w:color w:val="152168"/>
          <w:sz w:val="26"/>
          <w:szCs w:val="26"/>
        </w:rPr>
        <w:t xml:space="preserve">Appendix C: Data Retention Schedule Template</w:t>
      </w:r>
    </w:p>
    <w:p>
      <w:pPr>
        <w:spacing w:after="60" w:before="60"/>
      </w:pPr>
      <w:r>
        <w:rPr>
          <w:rFonts w:ascii="Arial" w:cs="Arial" w:eastAsia="Arial" w:hAnsi="Arial"/>
          <w:color w:val="1A2340"/>
          <w:sz w:val="22"/>
          <w:szCs w:val="22"/>
        </w:rPr>
        <w:t xml:space="preserve">The organization maintains a complete Data Retention Schedule as a separate controlled document owned by Legal/Compliance. The following template structure should be used when creating or updating the retention schedule.</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40"/>
        <w:gridCol w:w="960"/>
        <w:gridCol w:w="960"/>
        <w:gridCol w:w="960"/>
        <w:gridCol w:w="1060"/>
        <w:gridCol w:w="960"/>
        <w:gridCol w:w="1120"/>
        <w:gridCol w:w="1180"/>
      </w:tblGrid>
      <w:tr>
        <w:trPr>
          <w:tblHeader/>
        </w:trPr>
        <w:tc>
          <w:tcPr>
            <w:tcW w:type="dxa" w:w="112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Data Category</w:t>
            </w:r>
          </w:p>
        </w:tc>
        <w:tc>
          <w:tcPr>
            <w:tcW w:type="dxa" w:w="10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Sub-Category</w:t>
            </w:r>
          </w:p>
        </w:tc>
        <w:tc>
          <w:tcPr>
            <w:tcW w:type="dxa" w:w="9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Classification</w:t>
            </w:r>
          </w:p>
        </w:tc>
        <w:tc>
          <w:tcPr>
            <w:tcW w:type="dxa" w:w="9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Minimum Retention</w:t>
            </w:r>
          </w:p>
        </w:tc>
        <w:tc>
          <w:tcPr>
            <w:tcW w:type="dxa" w:w="9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Maximum Retention</w:t>
            </w:r>
          </w:p>
        </w:tc>
        <w:tc>
          <w:tcPr>
            <w:tcW w:type="dxa" w:w="10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Legal Basis</w:t>
            </w:r>
          </w:p>
        </w:tc>
        <w:tc>
          <w:tcPr>
            <w:tcW w:type="dxa" w:w="9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Data Owner</w:t>
            </w:r>
          </w:p>
        </w:tc>
        <w:tc>
          <w:tcPr>
            <w:tcW w:type="dxa" w:w="112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Storage Location</w:t>
            </w:r>
          </w:p>
        </w:tc>
        <w:tc>
          <w:tcPr>
            <w:tcW w:type="dxa" w:w="118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Disposal Method</w:t>
            </w:r>
          </w:p>
        </w:tc>
      </w:tr>
      <w:tr>
        <w:tc>
          <w:tcPr>
            <w:tcW w:type="dxa" w:w="1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[Category]</w:t>
            </w:r>
          </w:p>
        </w:tc>
        <w:tc>
          <w:tcPr>
            <w:tcW w:type="dxa" w:w="10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[Sub-type]</w:t>
            </w:r>
          </w:p>
        </w:tc>
        <w:tc>
          <w:tcPr>
            <w:tcW w:type="dxa" w:w="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[Tier]</w:t>
            </w:r>
          </w:p>
        </w:tc>
        <w:tc>
          <w:tcPr>
            <w:tcW w:type="dxa" w:w="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[X years]</w:t>
            </w:r>
          </w:p>
        </w:tc>
        <w:tc>
          <w:tcPr>
            <w:tcW w:type="dxa" w:w="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[X years]</w:t>
            </w:r>
          </w:p>
        </w:tc>
        <w:tc>
          <w:tcPr>
            <w:tcW w:type="dxa" w:w="10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[Regulation / Contract]</w:t>
            </w:r>
          </w:p>
        </w:tc>
        <w:tc>
          <w:tcPr>
            <w:tcW w:type="dxa" w:w="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[Department]</w:t>
            </w:r>
          </w:p>
        </w:tc>
        <w:tc>
          <w:tcPr>
            <w:tcW w:type="dxa" w:w="1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[System/Location]</w:t>
            </w:r>
          </w:p>
        </w:tc>
        <w:tc>
          <w:tcPr>
            <w:tcW w:type="dxa" w:w="11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[Method]</w:t>
            </w:r>
          </w:p>
        </w:tc>
      </w:tr>
    </w:tbl>
    <w:p>
      <w:pPr>
        <w:spacing w:after="0" w:before="0"/>
      </w:pPr>
      <w:r>
        <w:rPr>
          <w:sz w:val="40"/>
          <w:szCs w:val="40"/>
        </w:rPr>
        <w:t xml:space="preserve"/>
      </w:r>
    </w:p>
    <w:p>
      <w:pPr>
        <w:spacing w:after="80" w:before="200"/>
      </w:pPr>
      <w:r>
        <w:rPr>
          <w:rFonts w:ascii="Arial" w:cs="Arial" w:eastAsia="Arial" w:hAnsi="Arial"/>
          <w:b/>
          <w:bCs/>
          <w:color w:val="152168"/>
          <w:sz w:val="26"/>
          <w:szCs w:val="26"/>
        </w:rPr>
        <w:t xml:space="preserve">Appendix D: Data Disposal Log Template</w:t>
      </w:r>
    </w:p>
    <w:p>
      <w:pPr>
        <w:spacing w:after="60" w:before="60"/>
      </w:pPr>
      <w:r>
        <w:rPr>
          <w:rFonts w:ascii="Arial" w:cs="Arial" w:eastAsia="Arial" w:hAnsi="Arial"/>
          <w:color w:val="1A2340"/>
          <w:sz w:val="22"/>
          <w:szCs w:val="22"/>
        </w:rPr>
        <w:t xml:space="preserve">A Disposal Log must be maintained for all Critical and Confidential data disposal events. The following fields are required:</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1200"/>
        <w:gridCol w:w="1020"/>
        <w:gridCol w:w="900"/>
        <w:gridCol w:w="1200"/>
        <w:gridCol w:w="1020"/>
        <w:gridCol w:w="1020"/>
        <w:gridCol w:w="1020"/>
        <w:gridCol w:w="1140"/>
      </w:tblGrid>
      <w:tr>
        <w:trPr>
          <w:tblHeader/>
        </w:trPr>
        <w:tc>
          <w:tcPr>
            <w:tcW w:type="dxa" w:w="8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12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Data Description</w:t>
            </w:r>
          </w:p>
        </w:tc>
        <w:tc>
          <w:tcPr>
            <w:tcW w:type="dxa" w:w="102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Volume / Quantity</w:t>
            </w:r>
          </w:p>
        </w:tc>
        <w:tc>
          <w:tcPr>
            <w:tcW w:type="dxa" w:w="9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Classification</w:t>
            </w:r>
          </w:p>
        </w:tc>
        <w:tc>
          <w:tcPr>
            <w:tcW w:type="dxa" w:w="12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Media Type</w:t>
            </w:r>
          </w:p>
        </w:tc>
        <w:tc>
          <w:tcPr>
            <w:tcW w:type="dxa" w:w="102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Disposal Method</w:t>
            </w:r>
          </w:p>
        </w:tc>
        <w:tc>
          <w:tcPr>
            <w:tcW w:type="dxa" w:w="102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Disposed By</w:t>
            </w:r>
          </w:p>
        </w:tc>
        <w:tc>
          <w:tcPr>
            <w:tcW w:type="dxa" w:w="102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Verified By</w:t>
            </w:r>
          </w:p>
        </w:tc>
        <w:tc>
          <w:tcPr>
            <w:tcW w:type="dxa" w:w="11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Certificate #</w:t>
            </w:r>
          </w:p>
        </w:tc>
      </w:tr>
      <w:tr>
        <w:tc>
          <w:tcPr>
            <w:tcW w:type="dxa" w:w="8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[Date]</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[Description]</w:t>
            </w:r>
          </w:p>
        </w:tc>
        <w:tc>
          <w:tcPr>
            <w:tcW w:type="dxa" w:w="10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[Size / # records]</w:t>
            </w:r>
          </w:p>
        </w:tc>
        <w:tc>
          <w:tcPr>
            <w:tcW w:type="dxa" w:w="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[Tier]</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[Digital / Paper / Media]</w:t>
            </w:r>
          </w:p>
        </w:tc>
        <w:tc>
          <w:tcPr>
            <w:tcW w:type="dxa" w:w="10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[Method]</w:t>
            </w:r>
          </w:p>
        </w:tc>
        <w:tc>
          <w:tcPr>
            <w:tcW w:type="dxa" w:w="10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[Name]</w:t>
            </w:r>
          </w:p>
        </w:tc>
        <w:tc>
          <w:tcPr>
            <w:tcW w:type="dxa" w:w="10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[Name]</w:t>
            </w:r>
          </w:p>
        </w:tc>
        <w:tc>
          <w:tcPr>
            <w:tcW w:type="dxa" w:w="11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[If applicable]</w:t>
            </w:r>
          </w:p>
        </w:tc>
      </w:tr>
    </w:tbl>
    <w:p>
      <w:pPr>
        <w:spacing w:after="0" w:before="0"/>
      </w:pPr>
      <w:r>
        <w:rPr>
          <w:sz w:val="40"/>
          <w:szCs w:val="40"/>
        </w:rPr>
        <w:t xml:space="preserve"/>
      </w:r>
    </w:p>
    <w:p>
      <w:pPr>
        <w:spacing w:after="80" w:before="200"/>
      </w:pPr>
      <w:r>
        <w:rPr>
          <w:rFonts w:ascii="Arial" w:cs="Arial" w:eastAsia="Arial" w:hAnsi="Arial"/>
          <w:b/>
          <w:bCs/>
          <w:color w:val="152168"/>
          <w:sz w:val="26"/>
          <w:szCs w:val="26"/>
        </w:rPr>
        <w:t xml:space="preserve">Appendix E: NIST CSF 2.0 / ISO 27001 / Regulatory Mapping</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80"/>
        <w:gridCol w:w="1800"/>
        <w:gridCol w:w="1900"/>
        <w:gridCol w:w="2380"/>
      </w:tblGrid>
      <w:tr>
        <w:trPr>
          <w:tblHeader/>
        </w:trPr>
        <w:tc>
          <w:tcPr>
            <w:tcW w:type="dxa" w:w="18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Policy Section</w:t>
            </w:r>
          </w:p>
        </w:tc>
        <w:tc>
          <w:tcPr>
            <w:tcW w:type="dxa" w:w="148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NIST CSF 2.0</w:t>
            </w:r>
          </w:p>
        </w:tc>
        <w:tc>
          <w:tcPr>
            <w:tcW w:type="dxa" w:w="18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ISO/IEC 27001:2022</w:t>
            </w:r>
          </w:p>
        </w:tc>
        <w:tc>
          <w:tcPr>
            <w:tcW w:type="dxa" w:w="19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NIST SP 800-53 Rev 5</w:t>
            </w:r>
          </w:p>
        </w:tc>
        <w:tc>
          <w:tcPr>
            <w:tcW w:type="dxa" w:w="238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Regulatory Reference</w:t>
            </w:r>
          </w:p>
        </w:tc>
      </w:tr>
      <w:tr>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6.1 Classification Framework</w:t>
            </w:r>
          </w:p>
        </w:tc>
        <w:tc>
          <w:tcPr>
            <w:tcW w:type="dxa" w:w="14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PR.DS-1, PR.DS-2</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Annex A 5.12, 5.13</w:t>
            </w:r>
          </w:p>
        </w:tc>
        <w:tc>
          <w:tcPr>
            <w:tcW w:type="dxa" w:w="1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SC-16, RA-2</w:t>
            </w:r>
          </w:p>
        </w:tc>
        <w:tc>
          <w:tcPr>
            <w:tcW w:type="dxa" w:w="23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PIPEDA Sch 1 Principle 7; GDPR Art. 32</w:t>
            </w:r>
          </w:p>
        </w:tc>
      </w:tr>
      <w:tr>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6.2 Classification Assignment</w:t>
            </w:r>
          </w:p>
        </w:tc>
        <w:tc>
          <w:tcPr>
            <w:tcW w:type="dxa" w:w="14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GV.RM-6</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Annex A 5.10</w:t>
            </w:r>
          </w:p>
        </w:tc>
        <w:tc>
          <w:tcPr>
            <w:tcW w:type="dxa" w:w="1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RA-2</w:t>
            </w:r>
          </w:p>
        </w:tc>
        <w:tc>
          <w:tcPr>
            <w:tcW w:type="dxa" w:w="23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PIPEDA; GDPR Art. 5(1)(f)</w:t>
            </w:r>
          </w:p>
        </w:tc>
      </w:tr>
      <w:tr>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6.3 Labelling</w:t>
            </w:r>
          </w:p>
        </w:tc>
        <w:tc>
          <w:tcPr>
            <w:tcW w:type="dxa" w:w="14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PR.DS-1</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Annex A 5.13</w:t>
            </w:r>
          </w:p>
        </w:tc>
        <w:tc>
          <w:tcPr>
            <w:tcW w:type="dxa" w:w="1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MP-3</w:t>
            </w:r>
          </w:p>
        </w:tc>
        <w:tc>
          <w:tcPr>
            <w:tcW w:type="dxa" w:w="23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PCI DSS Req. 9.4</w:t>
            </w:r>
          </w:p>
        </w:tc>
      </w:tr>
      <w:tr>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6.4 Handling Requirements</w:t>
            </w:r>
          </w:p>
        </w:tc>
        <w:tc>
          <w:tcPr>
            <w:tcW w:type="dxa" w:w="14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PR.DS-1, PR.DS-2, PR.DS-5</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Annex A 5.10, 5.12, 8.11</w:t>
            </w:r>
          </w:p>
        </w:tc>
        <w:tc>
          <w:tcPr>
            <w:tcW w:type="dxa" w:w="1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SC-8, SC-28, MP-2</w:t>
            </w:r>
          </w:p>
        </w:tc>
        <w:tc>
          <w:tcPr>
            <w:tcW w:type="dxa" w:w="23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PCI DSS Req. 3, 4; HIPAA 45 CFR 164.312</w:t>
            </w:r>
          </w:p>
        </w:tc>
      </w:tr>
      <w:tr>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6.5 Retention and Disposal</w:t>
            </w:r>
          </w:p>
        </w:tc>
        <w:tc>
          <w:tcPr>
            <w:tcW w:type="dxa" w:w="14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PR.DS-3</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Annex A 8.10</w:t>
            </w:r>
          </w:p>
        </w:tc>
        <w:tc>
          <w:tcPr>
            <w:tcW w:type="dxa" w:w="1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MP-6, SI-12</w:t>
            </w:r>
          </w:p>
        </w:tc>
        <w:tc>
          <w:tcPr>
            <w:tcW w:type="dxa" w:w="23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PIPEDA; GDPR Art. 17; PCI DSS Req. 9.8</w:t>
            </w:r>
          </w:p>
        </w:tc>
      </w:tr>
      <w:tr>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6.6 Encryption</w:t>
            </w:r>
          </w:p>
        </w:tc>
        <w:tc>
          <w:tcPr>
            <w:tcW w:type="dxa" w:w="14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PR.DS-2</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Annex A 8.24</w:t>
            </w:r>
          </w:p>
        </w:tc>
        <w:tc>
          <w:tcPr>
            <w:tcW w:type="dxa" w:w="1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SC-8, SC-28</w:t>
            </w:r>
          </w:p>
        </w:tc>
        <w:tc>
          <w:tcPr>
            <w:tcW w:type="dxa" w:w="23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PCI DSS Req. 3.5, 4.2.1; HIPAA 45 CFR 164.312(e)</w:t>
            </w:r>
          </w:p>
        </w:tc>
      </w:tr>
      <w:tr>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6.7 Third-Party Sharing</w:t>
            </w:r>
          </w:p>
        </w:tc>
        <w:tc>
          <w:tcPr>
            <w:tcW w:type="dxa" w:w="14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GV.SC-6</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Annex A 5.19, 5.20</w:t>
            </w:r>
          </w:p>
        </w:tc>
        <w:tc>
          <w:tcPr>
            <w:tcW w:type="dxa" w:w="19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SA-9, SA-12</w:t>
            </w:r>
          </w:p>
        </w:tc>
        <w:tc>
          <w:tcPr>
            <w:tcW w:type="dxa" w:w="23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GDPR Art. 28; PIPEDA Principle 7</w:t>
            </w:r>
          </w:p>
        </w:tc>
      </w:tr>
      <w:tr>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6.8 Regulatory Mapping</w:t>
            </w:r>
          </w:p>
        </w:tc>
        <w:tc>
          <w:tcPr>
            <w:tcW w:type="dxa" w:w="14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GV.RM-7</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Annex A 5.31</w:t>
            </w:r>
          </w:p>
        </w:tc>
        <w:tc>
          <w:tcPr>
            <w:tcW w:type="dxa" w:w="1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PL-8</w:t>
            </w:r>
          </w:p>
        </w:tc>
        <w:tc>
          <w:tcPr>
            <w:tcW w:type="dxa" w:w="23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PIPEDA; GDPR; PCI DSS; HIPAA; COPPA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7B4D9" w:sz="6"/>
      </w:pBdr>
      <w:spacing w:before="80"/>
      <w:jc w:val="center"/>
    </w:pPr>
    <w:r>
      <w:rPr>
        <w:rFonts w:ascii="Arial" w:cs="Arial" w:eastAsia="Arial" w:hAnsi="Arial"/>
        <w:color w:val="5A6A8A"/>
        <w:sz w:val="16"/>
        <w:szCs w:val="16"/>
      </w:rPr>
      <w:t xml:space="preserve">INTERNAL — CONFIDENTIAL | © [ORGANIZATION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7B4D9" w:sz="6"/>
      </w:pBdr>
      <w:tabs>
        <w:tab w:val="right" w:pos="9360"/>
      </w:tabs>
      <w:spacing w:after="80"/>
    </w:pPr>
    <w:r>
      <w:rPr>
        <w:rFonts w:ascii="Arial" w:cs="Arial" w:eastAsia="Arial" w:hAnsi="Arial"/>
        <w:color w:val="5A6A8A"/>
        <w:sz w:val="16"/>
        <w:szCs w:val="16"/>
      </w:rPr>
      <w:t xml:space="preserve">ENT-Draft-POL-Data Classification and Handling-Comprehensive-6.26</w:t>
    </w:r>
    <w:r>
      <w:rPr>
        <w:sz w:val="16"/>
        <w:szCs w:val="16"/>
      </w:rPr>
      <w:t xml:space="preserve">	</w:t>
    </w:r>
    <w:r>
      <w:rPr>
        <w:rFonts w:ascii="Arial" w:cs="Arial" w:eastAsia="Arial" w:hAnsi="Arial"/>
        <w:color w:val="5A6A8A"/>
        <w:sz w:val="16"/>
        <w:szCs w:val="16"/>
      </w:rPr>
      <w:t xml:space="preserve">Page </w:t>
    </w:r>
    <w:r>
      <w:rPr>
        <w:rFonts w:ascii="Arial" w:cs="Arial" w:eastAsia="Arial" w:hAnsi="Arial"/>
        <w:color w:val="5A6A8A"/>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360" w:hanging="18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2026-06-19T04:22:05.453Z</dcterms:created>
  <dcterms:modified xsi:type="dcterms:W3CDTF">2026-06-19T04:22:05.454Z</dcterms:modified>
</cp:coreProperties>
</file>

<file path=docProps/custom.xml><?xml version="1.0" encoding="utf-8"?>
<Properties xmlns="http://schemas.openxmlformats.org/officeDocument/2006/custom-properties" xmlns:vt="http://schemas.openxmlformats.org/officeDocument/2006/docPropsVTypes"/>
</file>