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52168"/>
          <w:sz w:val="52"/>
          <w:szCs w:val="52"/>
        </w:rPr>
        <w:t xml:space="preserve">Data Classification and Handling Policy</w:t>
      </w:r>
    </w:p>
    <w:p>
      <w:pPr>
        <w:spacing w:after="60" w:before="0"/>
      </w:pPr>
      <w:r>
        <w:rPr>
          <w:rFonts w:ascii="Arial" w:cs="Arial" w:eastAsia="Arial" w:hAnsi="Arial"/>
          <w:b/>
          <w:bCs/>
          <w:color w:val="07B4D9"/>
          <w:sz w:val="26"/>
          <w:szCs w:val="26"/>
        </w:rPr>
        <w:t xml:space="preserve">Plain Language Staff Guide</w:t>
      </w:r>
    </w:p>
    <w:p>
      <w:pPr>
        <w:spacing w:after="60" w:before="0"/>
      </w:pPr>
      <w:r>
        <w:rPr>
          <w:rFonts w:ascii="Arial" w:cs="Arial" w:eastAsia="Arial" w:hAnsi="Arial"/>
          <w:color w:val="5A6A8A"/>
          <w:sz w:val="18"/>
          <w:szCs w:val="18"/>
        </w:rPr>
        <w:t xml:space="preserve">ENT-Draft-POL-Data Classification and Handling-SMB-6.26</w:t>
      </w:r>
    </w:p>
    <w:p>
      <w:pPr>
        <w:spacing w:after="240" w:before="0"/>
      </w:pPr>
      <w:r>
        <w:rPr>
          <w:rFonts w:ascii="Arial" w:cs="Arial" w:eastAsia="Arial" w:hAnsi="Arial"/>
          <w:color w:val="5A6A8A"/>
          <w:sz w:val="18"/>
          <w:szCs w:val="18"/>
        </w:rPr>
        <w:t xml:space="preserve">Effective: June 2026   |   Classification: INTERNAL</w:t>
      </w:r>
    </w:p>
    <w:p>
      <w:pPr>
        <w:pBdr>
          <w:bottom w:val="single" w:color="152168" w:sz="12"/>
        </w:pBdr>
        <w:spacing w:after="480" w:before="0"/>
      </w:pPr>
    </w:p>
    <w:p>
      <w:pPr>
        <w:pBdr>
          <w:bottom w:val="single" w:color="07B4D9" w:sz="4"/>
        </w:pBdr>
        <w:spacing w:after="100" w:before="280"/>
      </w:pPr>
      <w:r>
        <w:rPr>
          <w:rFonts w:ascii="Arial" w:cs="Arial" w:eastAsia="Arial" w:hAnsi="Arial"/>
          <w:b/>
          <w:bCs/>
          <w:color w:val="152168"/>
          <w:sz w:val="28"/>
          <w:szCs w:val="28"/>
        </w:rPr>
        <w:t xml:space="preserve">1. What Is Data Classification and Why Does It Matter?</w:t>
      </w:r>
    </w:p>
    <w:p>
      <w:pPr>
        <w:spacing w:after="80" w:before="60"/>
      </w:pPr>
      <w:r>
        <w:rPr>
          <w:rFonts w:ascii="Arial" w:cs="Arial" w:eastAsia="Arial" w:hAnsi="Arial"/>
          <w:b w:val="false"/>
          <w:bCs w:val="false"/>
          <w:color w:val="1A2340"/>
          <w:sz w:val="22"/>
          <w:szCs w:val="22"/>
        </w:rPr>
        <w:t xml:space="preserve">Not all data needs the same level of protection. A published press release and an employee's salary information are both data — but they could not be more different in terms of what could go wrong if the wrong person saw them.</w:t>
      </w:r>
    </w:p>
    <w:p>
      <w:pPr>
        <w:spacing w:after="60" w:before="0"/>
      </w:pPr>
      <w:r>
        <w:rPr>
          <w:sz w:val="22"/>
          <w:szCs w:val="22"/>
        </w:rPr>
        <w:t xml:space="preserve"/>
      </w:r>
    </w:p>
    <w:p>
      <w:pPr>
        <w:spacing w:after="80" w:before="60"/>
      </w:pPr>
      <w:r>
        <w:rPr>
          <w:rFonts w:ascii="Arial" w:cs="Arial" w:eastAsia="Arial" w:hAnsi="Arial"/>
          <w:b w:val="false"/>
          <w:bCs w:val="false"/>
          <w:color w:val="1A2340"/>
          <w:sz w:val="22"/>
          <w:szCs w:val="22"/>
        </w:rPr>
        <w:t xml:space="preserve">Data classification is simply a way of labelling information based on how sensitive it is. Once you know the label, you know how carefully to handle it. This protects our customers, our employees, and the business — and helps us meet our legal obligations.</w:t>
      </w:r>
    </w:p>
    <w:p>
      <w:pPr>
        <w:spacing w:after="60" w:before="0"/>
      </w:pPr>
      <w:r>
        <w:rPr>
          <w:sz w:val="22"/>
          <w:szCs w:val="22"/>
        </w:rPr>
        <w:t xml:space="preserve"/>
      </w:r>
    </w:p>
    <w:p>
      <w:pPr>
        <w:spacing w:after="80" w:before="60"/>
      </w:pPr>
      <w:r>
        <w:rPr>
          <w:rFonts w:ascii="Arial" w:cs="Arial" w:eastAsia="Arial" w:hAnsi="Arial"/>
          <w:b w:val="false"/>
          <w:bCs w:val="false"/>
          <w:color w:val="1A2340"/>
          <w:sz w:val="22"/>
          <w:szCs w:val="22"/>
        </w:rPr>
        <w:t xml:space="preserve">This policy tells you:</w:t>
      </w:r>
    </w:p>
    <w:p>
      <w:pPr>
        <w:pStyle w:val="ListParagraph"/>
        <w:numPr>
          <w:ilvl w:val="0"/>
          <w:numId w:val="2"/>
        </w:numPr>
        <w:spacing w:after="40" w:before="40"/>
      </w:pPr>
      <w:r>
        <w:rPr>
          <w:rFonts w:ascii="Arial" w:cs="Arial" w:eastAsia="Arial" w:hAnsi="Arial"/>
          <w:color w:val="1A2340"/>
          <w:sz w:val="22"/>
          <w:szCs w:val="22"/>
        </w:rPr>
        <w:t xml:space="preserve">What the four categories are and what falls into each one.</w:t>
      </w:r>
    </w:p>
    <w:p>
      <w:pPr>
        <w:pStyle w:val="ListParagraph"/>
        <w:numPr>
          <w:ilvl w:val="0"/>
          <w:numId w:val="2"/>
        </w:numPr>
        <w:spacing w:after="40" w:before="40"/>
      </w:pPr>
      <w:r>
        <w:rPr>
          <w:rFonts w:ascii="Arial" w:cs="Arial" w:eastAsia="Arial" w:hAnsi="Arial"/>
          <w:color w:val="1A2340"/>
          <w:sz w:val="22"/>
          <w:szCs w:val="22"/>
        </w:rPr>
        <w:t xml:space="preserve">What the category means for how you handle the data day-to-day.</w:t>
      </w:r>
    </w:p>
    <w:p>
      <w:pPr>
        <w:pStyle w:val="ListParagraph"/>
        <w:numPr>
          <w:ilvl w:val="0"/>
          <w:numId w:val="2"/>
        </w:numPr>
        <w:spacing w:after="40" w:before="40"/>
      </w:pPr>
      <w:r>
        <w:rPr>
          <w:rFonts w:ascii="Arial" w:cs="Arial" w:eastAsia="Arial" w:hAnsi="Arial"/>
          <w:color w:val="1A2340"/>
          <w:sz w:val="22"/>
          <w:szCs w:val="22"/>
        </w:rPr>
        <w:t xml:space="preserve">What to do when you're not sure.</w:t>
      </w:r>
    </w:p>
    <w:p>
      <w:pPr>
        <w:spacing w:after="60" w:before="0"/>
      </w:pPr>
      <w:r>
        <w:rPr>
          <w:sz w:val="22"/>
          <w:szCs w:val="22"/>
        </w:rPr>
        <w:t xml:space="preserve"/>
      </w:r>
    </w:p>
    <w:p>
      <w:pPr>
        <w:pBdr>
          <w:bottom w:val="single" w:color="07B4D9" w:sz="4"/>
        </w:pBdr>
        <w:spacing w:after="100" w:before="280"/>
      </w:pPr>
      <w:r>
        <w:rPr>
          <w:rFonts w:ascii="Arial" w:cs="Arial" w:eastAsia="Arial" w:hAnsi="Arial"/>
          <w:b/>
          <w:bCs/>
          <w:color w:val="152168"/>
          <w:sz w:val="28"/>
          <w:szCs w:val="28"/>
        </w:rPr>
        <w:t xml:space="preserve">2. Our Four Data Categories</w:t>
      </w:r>
    </w:p>
    <w:p>
      <w:pPr>
        <w:spacing w:after="80" w:before="60"/>
      </w:pPr>
      <w:r>
        <w:rPr>
          <w:rFonts w:ascii="Arial" w:cs="Arial" w:eastAsia="Arial" w:hAnsi="Arial"/>
          <w:b w:val="false"/>
          <w:bCs w:val="false"/>
          <w:color w:val="1A2340"/>
          <w:sz w:val="22"/>
          <w:szCs w:val="22"/>
        </w:rPr>
        <w:t xml:space="preserve">We use four categories. Here is what each one means in plain terms:</w:t>
      </w:r>
    </w:p>
    <w:p>
      <w:pPr>
        <w:spacing w:after="6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E3EF" w:sz="2"/>
              <w:left w:val="single" w:color="DDE3EF" w:sz="2"/>
              <w:bottom w:val="single" w:color="DDE3EF" w:sz="2"/>
              <w:right w:val="none"/>
            </w:tcBorders>
            <w:shd w:fill="C00000"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CRITICAL</w:t>
            </w:r>
          </w:p>
        </w:tc>
        <w:tc>
          <w:tcPr>
            <w:tcW w:type="dxa" w:w="7920"/>
            <w:tcBorders>
              <w:top w:val="single" w:color="DDE3EF" w:sz="2"/>
              <w:left w:val="none"/>
              <w:bottom w:val="single" w:color="DDE3EF" w:sz="2"/>
              <w:right w:val="single" w:color="DDE3EF" w:sz="2"/>
            </w:tcBorders>
            <w:tcMar>
              <w:top w:type="dxa" w:w="100"/>
              <w:left w:type="dxa" w:w="160"/>
              <w:bottom w:type="dxa" w:w="100"/>
              <w:right w:type="dxa" w:w="160"/>
            </w:tcMar>
          </w:tcPr>
          <w:p>
            <w:r>
              <w:rPr>
                <w:rFonts w:ascii="Arial" w:cs="Arial" w:eastAsia="Arial" w:hAnsi="Arial"/>
                <w:color w:val="1A2340"/>
                <w:sz w:val="20"/>
                <w:szCs w:val="20"/>
              </w:rPr>
              <w:t xml:space="preserve">The most sensitive data we handle. If this information was exposed, it could cause serious financial harm, legal penalties, or put a person at risk. Handle with maximum care.</w:t>
            </w:r>
          </w:p>
        </w:tc>
      </w:tr>
    </w:tbl>
    <w:p>
      <w:pPr>
        <w:spacing w:after="60" w:before="0"/>
      </w:pPr>
      <w:r>
        <w:rPr>
          <w:sz w:val="22"/>
          <w:szCs w:val="22"/>
        </w:rPr>
        <w:t xml:space="preserve"/>
      </w:r>
    </w:p>
    <w:p>
      <w:pPr>
        <w:spacing w:after="80" w:before="60"/>
      </w:pPr>
      <w:r>
        <w:rPr>
          <w:rFonts w:ascii="Arial" w:cs="Arial" w:eastAsia="Arial" w:hAnsi="Arial"/>
          <w:b w:val="false"/>
          <w:bCs w:val="false"/>
          <w:color w:val="1A2340"/>
          <w:sz w:val="22"/>
          <w:szCs w:val="22"/>
        </w:rPr>
        <w:t xml:space="preserve">Examples of Critical data:</w:t>
      </w:r>
    </w:p>
    <w:p>
      <w:pPr>
        <w:pStyle w:val="ListParagraph"/>
        <w:numPr>
          <w:ilvl w:val="0"/>
          <w:numId w:val="2"/>
        </w:numPr>
        <w:spacing w:after="40" w:before="40"/>
      </w:pPr>
      <w:r>
        <w:rPr>
          <w:rFonts w:ascii="Arial" w:cs="Arial" w:eastAsia="Arial" w:hAnsi="Arial"/>
          <w:color w:val="1A2340"/>
          <w:sz w:val="22"/>
          <w:szCs w:val="22"/>
        </w:rPr>
        <w:t xml:space="preserve">Credit card numbers, card verification codes, and cardholder data</w:t>
      </w:r>
    </w:p>
    <w:p>
      <w:pPr>
        <w:pStyle w:val="ListParagraph"/>
        <w:numPr>
          <w:ilvl w:val="0"/>
          <w:numId w:val="2"/>
        </w:numPr>
        <w:spacing w:after="40" w:before="40"/>
      </w:pPr>
      <w:r>
        <w:rPr>
          <w:rFonts w:ascii="Arial" w:cs="Arial" w:eastAsia="Arial" w:hAnsi="Arial"/>
          <w:color w:val="1A2340"/>
          <w:sz w:val="22"/>
          <w:szCs w:val="22"/>
        </w:rPr>
        <w:t xml:space="preserve">Government-issued ID numbers (Social Insurance Number, passport, driver's licence)</w:t>
      </w:r>
    </w:p>
    <w:p>
      <w:pPr>
        <w:pStyle w:val="ListParagraph"/>
        <w:numPr>
          <w:ilvl w:val="0"/>
          <w:numId w:val="2"/>
        </w:numPr>
        <w:spacing w:after="40" w:before="40"/>
      </w:pPr>
      <w:r>
        <w:rPr>
          <w:rFonts w:ascii="Arial" w:cs="Arial" w:eastAsia="Arial" w:hAnsi="Arial"/>
          <w:color w:val="1A2340"/>
          <w:sz w:val="22"/>
          <w:szCs w:val="22"/>
        </w:rPr>
        <w:t xml:space="preserve">Passwords, PINs, and encryption keys — including your own</w:t>
      </w:r>
    </w:p>
    <w:p>
      <w:pPr>
        <w:pStyle w:val="ListParagraph"/>
        <w:numPr>
          <w:ilvl w:val="0"/>
          <w:numId w:val="2"/>
        </w:numPr>
        <w:spacing w:after="40" w:before="40"/>
      </w:pPr>
      <w:r>
        <w:rPr>
          <w:rFonts w:ascii="Arial" w:cs="Arial" w:eastAsia="Arial" w:hAnsi="Arial"/>
          <w:color w:val="1A2340"/>
          <w:sz w:val="22"/>
          <w:szCs w:val="22"/>
        </w:rPr>
        <w:t xml:space="preserve">Health records or medical information</w:t>
      </w:r>
    </w:p>
    <w:p>
      <w:pPr>
        <w:pStyle w:val="ListParagraph"/>
        <w:numPr>
          <w:ilvl w:val="0"/>
          <w:numId w:val="2"/>
        </w:numPr>
        <w:spacing w:after="40" w:before="40"/>
      </w:pPr>
      <w:r>
        <w:rPr>
          <w:rFonts w:ascii="Arial" w:cs="Arial" w:eastAsia="Arial" w:hAnsi="Arial"/>
          <w:color w:val="1A2340"/>
          <w:sz w:val="22"/>
          <w:szCs w:val="22"/>
        </w:rPr>
        <w:t xml:space="preserve">Biometric data (fingerprints, facial recognition data)</w:t>
      </w:r>
    </w:p>
    <w:p>
      <w:pPr>
        <w:pStyle w:val="ListParagraph"/>
        <w:numPr>
          <w:ilvl w:val="0"/>
          <w:numId w:val="2"/>
        </w:numPr>
        <w:spacing w:after="40" w:before="40"/>
      </w:pPr>
      <w:r>
        <w:rPr>
          <w:rFonts w:ascii="Arial" w:cs="Arial" w:eastAsia="Arial" w:hAnsi="Arial"/>
          <w:color w:val="1A2340"/>
          <w:sz w:val="22"/>
          <w:szCs w:val="22"/>
        </w:rPr>
        <w:t xml:space="preserve">Legal advice from lawyers (solicitor-client privileged material)</w:t>
      </w:r>
    </w:p>
    <w:p>
      <w:pPr>
        <w:spacing w:after="6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E3EF" w:sz="2"/>
              <w:left w:val="single" w:color="DDE3EF" w:sz="2"/>
              <w:bottom w:val="single" w:color="DDE3EF" w:sz="2"/>
              <w:right w:val="none"/>
            </w:tcBorders>
            <w:shd w:fill="E05C00"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CONFIDENTIAL</w:t>
            </w:r>
          </w:p>
        </w:tc>
        <w:tc>
          <w:tcPr>
            <w:tcW w:type="dxa" w:w="7920"/>
            <w:tcBorders>
              <w:top w:val="single" w:color="DDE3EF" w:sz="2"/>
              <w:left w:val="none"/>
              <w:bottom w:val="single" w:color="DDE3EF" w:sz="2"/>
              <w:right w:val="single" w:color="DDE3EF" w:sz="2"/>
            </w:tcBorders>
            <w:tcMar>
              <w:top w:type="dxa" w:w="100"/>
              <w:left w:type="dxa" w:w="160"/>
              <w:bottom w:type="dxa" w:w="100"/>
              <w:right w:type="dxa" w:w="160"/>
            </w:tcMar>
          </w:tcPr>
          <w:p>
            <w:r>
              <w:rPr>
                <w:rFonts w:ascii="Arial" w:cs="Arial" w:eastAsia="Arial" w:hAnsi="Arial"/>
                <w:color w:val="1A2340"/>
                <w:sz w:val="20"/>
                <w:szCs w:val="20"/>
              </w:rPr>
              <w:t xml:space="preserve">Business-sensitive information that could harm employees, customers, or the company if it got out. Most personal information and business-critical records fall here.</w:t>
            </w:r>
          </w:p>
        </w:tc>
      </w:tr>
    </w:tbl>
    <w:p>
      <w:pPr>
        <w:spacing w:after="60" w:before="0"/>
      </w:pPr>
      <w:r>
        <w:rPr>
          <w:sz w:val="22"/>
          <w:szCs w:val="22"/>
        </w:rPr>
        <w:t xml:space="preserve"/>
      </w:r>
    </w:p>
    <w:p>
      <w:pPr>
        <w:spacing w:after="80" w:before="60"/>
      </w:pPr>
      <w:r>
        <w:rPr>
          <w:rFonts w:ascii="Arial" w:cs="Arial" w:eastAsia="Arial" w:hAnsi="Arial"/>
          <w:b w:val="false"/>
          <w:bCs w:val="false"/>
          <w:color w:val="1A2340"/>
          <w:sz w:val="22"/>
          <w:szCs w:val="22"/>
        </w:rPr>
        <w:t xml:space="preserve">Examples of Confidential data:</w:t>
      </w:r>
    </w:p>
    <w:p>
      <w:pPr>
        <w:pStyle w:val="ListParagraph"/>
        <w:numPr>
          <w:ilvl w:val="0"/>
          <w:numId w:val="2"/>
        </w:numPr>
        <w:spacing w:after="40" w:before="40"/>
      </w:pPr>
      <w:r>
        <w:rPr>
          <w:rFonts w:ascii="Arial" w:cs="Arial" w:eastAsia="Arial" w:hAnsi="Arial"/>
          <w:color w:val="1A2340"/>
          <w:sz w:val="22"/>
          <w:szCs w:val="22"/>
        </w:rPr>
        <w:t xml:space="preserve">Employee records: name, address, salary, SIN, performance reviews</w:t>
      </w:r>
    </w:p>
    <w:p>
      <w:pPr>
        <w:pStyle w:val="ListParagraph"/>
        <w:numPr>
          <w:ilvl w:val="0"/>
          <w:numId w:val="2"/>
        </w:numPr>
        <w:spacing w:after="40" w:before="40"/>
      </w:pPr>
      <w:r>
        <w:rPr>
          <w:rFonts w:ascii="Arial" w:cs="Arial" w:eastAsia="Arial" w:hAnsi="Arial"/>
          <w:color w:val="1A2340"/>
          <w:sz w:val="22"/>
          <w:szCs w:val="22"/>
        </w:rPr>
        <w:t xml:space="preserve">Customer names, contact details, and booking/account history</w:t>
      </w:r>
    </w:p>
    <w:p>
      <w:pPr>
        <w:pStyle w:val="ListParagraph"/>
        <w:numPr>
          <w:ilvl w:val="0"/>
          <w:numId w:val="2"/>
        </w:numPr>
        <w:spacing w:after="40" w:before="40"/>
      </w:pPr>
      <w:r>
        <w:rPr>
          <w:rFonts w:ascii="Arial" w:cs="Arial" w:eastAsia="Arial" w:hAnsi="Arial"/>
          <w:color w:val="1A2340"/>
          <w:sz w:val="22"/>
          <w:szCs w:val="22"/>
        </w:rPr>
        <w:t xml:space="preserve">Contracts, pricing agreements, and vendor terms</w:t>
      </w:r>
    </w:p>
    <w:p>
      <w:pPr>
        <w:pStyle w:val="ListParagraph"/>
        <w:numPr>
          <w:ilvl w:val="0"/>
          <w:numId w:val="2"/>
        </w:numPr>
        <w:spacing w:after="40" w:before="40"/>
      </w:pPr>
      <w:r>
        <w:rPr>
          <w:rFonts w:ascii="Arial" w:cs="Arial" w:eastAsia="Arial" w:hAnsi="Arial"/>
          <w:color w:val="1A2340"/>
          <w:sz w:val="22"/>
          <w:szCs w:val="22"/>
        </w:rPr>
        <w:t xml:space="preserve">Financial reports before they are published</w:t>
      </w:r>
    </w:p>
    <w:p>
      <w:pPr>
        <w:pStyle w:val="ListParagraph"/>
        <w:numPr>
          <w:ilvl w:val="0"/>
          <w:numId w:val="2"/>
        </w:numPr>
        <w:spacing w:after="40" w:before="40"/>
      </w:pPr>
      <w:r>
        <w:rPr>
          <w:rFonts w:ascii="Arial" w:cs="Arial" w:eastAsia="Arial" w:hAnsi="Arial"/>
          <w:color w:val="1A2340"/>
          <w:sz w:val="22"/>
          <w:szCs w:val="22"/>
        </w:rPr>
        <w:t xml:space="preserve">Strategic plans and business development information</w:t>
      </w:r>
    </w:p>
    <w:p>
      <w:pPr>
        <w:pStyle w:val="ListParagraph"/>
        <w:numPr>
          <w:ilvl w:val="0"/>
          <w:numId w:val="2"/>
        </w:numPr>
        <w:spacing w:after="40" w:before="40"/>
      </w:pPr>
      <w:r>
        <w:rPr>
          <w:rFonts w:ascii="Arial" w:cs="Arial" w:eastAsia="Arial" w:hAnsi="Arial"/>
          <w:color w:val="1A2340"/>
          <w:sz w:val="22"/>
          <w:szCs w:val="22"/>
        </w:rPr>
        <w:t xml:space="preserve">Security assessment results and incident reports</w:t>
      </w:r>
    </w:p>
    <w:p>
      <w:pPr>
        <w:spacing w:after="6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E3EF" w:sz="2"/>
              <w:left w:val="single" w:color="DDE3EF" w:sz="2"/>
              <w:bottom w:val="single" w:color="DDE3EF" w:sz="2"/>
              <w:right w:val="none"/>
            </w:tcBorders>
            <w:shd w:fill="8B6914"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INTERNAL</w:t>
            </w:r>
          </w:p>
        </w:tc>
        <w:tc>
          <w:tcPr>
            <w:tcW w:type="dxa" w:w="7920"/>
            <w:tcBorders>
              <w:top w:val="single" w:color="DDE3EF" w:sz="2"/>
              <w:left w:val="none"/>
              <w:bottom w:val="single" w:color="DDE3EF" w:sz="2"/>
              <w:right w:val="single" w:color="DDE3EF" w:sz="2"/>
            </w:tcBorders>
            <w:tcMar>
              <w:top w:type="dxa" w:w="100"/>
              <w:left w:type="dxa" w:w="160"/>
              <w:bottom w:type="dxa" w:w="100"/>
              <w:right w:type="dxa" w:w="160"/>
            </w:tcMar>
          </w:tcPr>
          <w:p>
            <w:r>
              <w:rPr>
                <w:rFonts w:ascii="Arial" w:cs="Arial" w:eastAsia="Arial" w:hAnsi="Arial"/>
                <w:color w:val="1A2340"/>
                <w:sz w:val="20"/>
                <w:szCs w:val="20"/>
              </w:rPr>
              <w:t xml:space="preserve">Information meant for use inside the company. Not particularly sensitive, but not meant to go outside without authorization.</w:t>
            </w:r>
          </w:p>
        </w:tc>
      </w:tr>
    </w:tbl>
    <w:p>
      <w:pPr>
        <w:spacing w:after="60" w:before="0"/>
      </w:pPr>
      <w:r>
        <w:rPr>
          <w:sz w:val="22"/>
          <w:szCs w:val="22"/>
        </w:rPr>
        <w:t xml:space="preserve"/>
      </w:r>
    </w:p>
    <w:p>
      <w:pPr>
        <w:spacing w:after="80" w:before="60"/>
      </w:pPr>
      <w:r>
        <w:rPr>
          <w:rFonts w:ascii="Arial" w:cs="Arial" w:eastAsia="Arial" w:hAnsi="Arial"/>
          <w:b w:val="false"/>
          <w:bCs w:val="false"/>
          <w:color w:val="1A2340"/>
          <w:sz w:val="22"/>
          <w:szCs w:val="22"/>
        </w:rPr>
        <w:t xml:space="preserve">Examples of Internal data:</w:t>
      </w:r>
    </w:p>
    <w:p>
      <w:pPr>
        <w:pStyle w:val="ListParagraph"/>
        <w:numPr>
          <w:ilvl w:val="0"/>
          <w:numId w:val="2"/>
        </w:numPr>
        <w:spacing w:after="40" w:before="40"/>
      </w:pPr>
      <w:r>
        <w:rPr>
          <w:rFonts w:ascii="Arial" w:cs="Arial" w:eastAsia="Arial" w:hAnsi="Arial"/>
          <w:color w:val="1A2340"/>
          <w:sz w:val="22"/>
          <w:szCs w:val="22"/>
        </w:rPr>
        <w:t xml:space="preserve">Company policies and procedures (like this one)</w:t>
      </w:r>
    </w:p>
    <w:p>
      <w:pPr>
        <w:pStyle w:val="ListParagraph"/>
        <w:numPr>
          <w:ilvl w:val="0"/>
          <w:numId w:val="2"/>
        </w:numPr>
        <w:spacing w:after="40" w:before="40"/>
      </w:pPr>
      <w:r>
        <w:rPr>
          <w:rFonts w:ascii="Arial" w:cs="Arial" w:eastAsia="Arial" w:hAnsi="Arial"/>
          <w:color w:val="1A2340"/>
          <w:sz w:val="22"/>
          <w:szCs w:val="22"/>
        </w:rPr>
        <w:t xml:space="preserve">Meeting agendas and minutes</w:t>
      </w:r>
    </w:p>
    <w:p>
      <w:pPr>
        <w:pStyle w:val="ListParagraph"/>
        <w:numPr>
          <w:ilvl w:val="0"/>
          <w:numId w:val="2"/>
        </w:numPr>
        <w:spacing w:after="40" w:before="40"/>
      </w:pPr>
      <w:r>
        <w:rPr>
          <w:rFonts w:ascii="Arial" w:cs="Arial" w:eastAsia="Arial" w:hAnsi="Arial"/>
          <w:color w:val="1A2340"/>
          <w:sz w:val="22"/>
          <w:szCs w:val="22"/>
        </w:rPr>
        <w:t xml:space="preserve">Organizational charts and internal directories</w:t>
      </w:r>
    </w:p>
    <w:p>
      <w:pPr>
        <w:pStyle w:val="ListParagraph"/>
        <w:numPr>
          <w:ilvl w:val="0"/>
          <w:numId w:val="2"/>
        </w:numPr>
        <w:spacing w:after="40" w:before="40"/>
      </w:pPr>
      <w:r>
        <w:rPr>
          <w:rFonts w:ascii="Arial" w:cs="Arial" w:eastAsia="Arial" w:hAnsi="Arial"/>
          <w:color w:val="1A2340"/>
          <w:sz w:val="22"/>
          <w:szCs w:val="22"/>
        </w:rPr>
        <w:t xml:space="preserve">Most day-to-day work documents and project files that are not customer-specific</w:t>
      </w:r>
    </w:p>
    <w:p>
      <w:pPr>
        <w:spacing w:after="6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E3EF" w:sz="2"/>
              <w:left w:val="single" w:color="DDE3EF" w:sz="2"/>
              <w:bottom w:val="single" w:color="DDE3EF" w:sz="2"/>
              <w:right w:val="none"/>
            </w:tcBorders>
            <w:shd w:fill="16A34A"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PUBLIC</w:t>
            </w:r>
          </w:p>
        </w:tc>
        <w:tc>
          <w:tcPr>
            <w:tcW w:type="dxa" w:w="7920"/>
            <w:tcBorders>
              <w:top w:val="single" w:color="DDE3EF" w:sz="2"/>
              <w:left w:val="none"/>
              <w:bottom w:val="single" w:color="DDE3EF" w:sz="2"/>
              <w:right w:val="single" w:color="DDE3EF" w:sz="2"/>
            </w:tcBorders>
            <w:tcMar>
              <w:top w:type="dxa" w:w="100"/>
              <w:left w:type="dxa" w:w="160"/>
              <w:bottom w:type="dxa" w:w="100"/>
              <w:right w:type="dxa" w:w="160"/>
            </w:tcMar>
          </w:tcPr>
          <w:p>
            <w:r>
              <w:rPr>
                <w:rFonts w:ascii="Arial" w:cs="Arial" w:eastAsia="Arial" w:hAnsi="Arial"/>
                <w:color w:val="1A2340"/>
                <w:sz w:val="20"/>
                <w:szCs w:val="20"/>
              </w:rPr>
              <w:t xml:space="preserve">Information that has been approved for release to the public. No confidentiality restrictions apply, but make sure the content was actually approved before sharing.</w:t>
            </w:r>
          </w:p>
        </w:tc>
      </w:tr>
    </w:tbl>
    <w:p>
      <w:pPr>
        <w:spacing w:after="60" w:before="0"/>
      </w:pPr>
      <w:r>
        <w:rPr>
          <w:sz w:val="22"/>
          <w:szCs w:val="22"/>
        </w:rPr>
        <w:t xml:space="preserve"/>
      </w:r>
    </w:p>
    <w:p>
      <w:pPr>
        <w:spacing w:after="80" w:before="60"/>
      </w:pPr>
      <w:r>
        <w:rPr>
          <w:rFonts w:ascii="Arial" w:cs="Arial" w:eastAsia="Arial" w:hAnsi="Arial"/>
          <w:b w:val="false"/>
          <w:bCs w:val="false"/>
          <w:color w:val="1A2340"/>
          <w:sz w:val="22"/>
          <w:szCs w:val="22"/>
        </w:rPr>
        <w:t xml:space="preserve">Examples of Public data:</w:t>
      </w:r>
    </w:p>
    <w:p>
      <w:pPr>
        <w:pStyle w:val="ListParagraph"/>
        <w:numPr>
          <w:ilvl w:val="0"/>
          <w:numId w:val="2"/>
        </w:numPr>
        <w:spacing w:after="40" w:before="40"/>
      </w:pPr>
      <w:r>
        <w:rPr>
          <w:rFonts w:ascii="Arial" w:cs="Arial" w:eastAsia="Arial" w:hAnsi="Arial"/>
          <w:color w:val="1A2340"/>
          <w:sz w:val="22"/>
          <w:szCs w:val="22"/>
        </w:rPr>
        <w:t xml:space="preserve">Our website content and blog posts</w:t>
      </w:r>
    </w:p>
    <w:p>
      <w:pPr>
        <w:pStyle w:val="ListParagraph"/>
        <w:numPr>
          <w:ilvl w:val="0"/>
          <w:numId w:val="2"/>
        </w:numPr>
        <w:spacing w:after="40" w:before="40"/>
      </w:pPr>
      <w:r>
        <w:rPr>
          <w:rFonts w:ascii="Arial" w:cs="Arial" w:eastAsia="Arial" w:hAnsi="Arial"/>
          <w:color w:val="1A2340"/>
          <w:sz w:val="22"/>
          <w:szCs w:val="22"/>
        </w:rPr>
        <w:t xml:space="preserve">Job postings</w:t>
      </w:r>
    </w:p>
    <w:p>
      <w:pPr>
        <w:pStyle w:val="ListParagraph"/>
        <w:numPr>
          <w:ilvl w:val="0"/>
          <w:numId w:val="2"/>
        </w:numPr>
        <w:spacing w:after="40" w:before="40"/>
      </w:pPr>
      <w:r>
        <w:rPr>
          <w:rFonts w:ascii="Arial" w:cs="Arial" w:eastAsia="Arial" w:hAnsi="Arial"/>
          <w:color w:val="1A2340"/>
          <w:sz w:val="22"/>
          <w:szCs w:val="22"/>
        </w:rPr>
        <w:t xml:space="preserve">Press releases</w:t>
      </w:r>
    </w:p>
    <w:p>
      <w:pPr>
        <w:pStyle w:val="ListParagraph"/>
        <w:numPr>
          <w:ilvl w:val="0"/>
          <w:numId w:val="2"/>
        </w:numPr>
        <w:spacing w:after="40" w:before="40"/>
      </w:pPr>
      <w:r>
        <w:rPr>
          <w:rFonts w:ascii="Arial" w:cs="Arial" w:eastAsia="Arial" w:hAnsi="Arial"/>
          <w:color w:val="1A2340"/>
          <w:sz w:val="22"/>
          <w:szCs w:val="22"/>
        </w:rPr>
        <w:t xml:space="preserve">Approved marketing brochures and product information sheets</w:t>
      </w:r>
    </w:p>
    <w:p>
      <w:pPr>
        <w:spacing w:after="60" w:before="0"/>
      </w:pPr>
      <w:r>
        <w:rPr>
          <w:sz w:val="22"/>
          <w:szCs w:val="22"/>
        </w:rPr>
        <w:t xml:space="preserve"/>
      </w:r>
    </w:p>
    <w:p>
      <w:pPr>
        <w:pBdr>
          <w:bottom w:val="single" w:color="07B4D9" w:sz="4"/>
        </w:pBdr>
        <w:spacing w:after="100" w:before="280"/>
      </w:pPr>
      <w:r>
        <w:rPr>
          <w:rFonts w:ascii="Arial" w:cs="Arial" w:eastAsia="Arial" w:hAnsi="Arial"/>
          <w:b/>
          <w:bCs/>
          <w:color w:val="152168"/>
          <w:sz w:val="28"/>
          <w:szCs w:val="28"/>
        </w:rPr>
        <w:t xml:space="preserve">3. When In Doubt</w:t>
      </w:r>
    </w:p>
    <w:p>
      <w:pPr>
        <w:spacing w:after="60" w:before="0"/>
      </w:pPr>
      <w:r>
        <w:rPr>
          <w:sz w:val="22"/>
          <w:szCs w:val="22"/>
        </w:rPr>
        <w:t xml:space="preserve"/>
      </w:r>
    </w:p>
    <w:p>
      <w:pPr>
        <w:pBdr>
          <w:left w:val="single" w:color="07B4D9" w:sz="16"/>
        </w:pBdr>
        <w:shd w:fill="FFF8E1" w:val="clear"/>
        <w:spacing w:after="120" w:before="120"/>
        <w:ind w:left="400" w:right="400"/>
      </w:pPr>
      <w:r>
        <w:rPr>
          <w:rFonts w:ascii="Arial" w:cs="Arial" w:eastAsia="Arial" w:hAnsi="Arial"/>
          <w:b/>
          <w:bCs/>
          <w:color w:val="152168"/>
          <w:sz w:val="24"/>
          <w:szCs w:val="24"/>
        </w:rPr>
        <w:t xml:space="preserve">When in doubt: </w:t>
      </w:r>
      <w:r>
        <w:rPr>
          <w:rFonts w:ascii="Arial" w:cs="Arial" w:eastAsia="Arial" w:hAnsi="Arial"/>
          <w:color w:val="1A2340"/>
          <w:sz w:val="24"/>
          <w:szCs w:val="24"/>
        </w:rPr>
        <w:t xml:space="preserve">If you are not sure how sensitive something is, treat it as CONFIDENTIAL until you find out. Ask your manager or the IT team — they will help you determine the right category. It is always safer to over-protect than to under-protect.</w:t>
      </w:r>
    </w:p>
    <w:p>
      <w:pPr>
        <w:spacing w:after="60" w:before="0"/>
      </w:pPr>
      <w:r>
        <w:rPr>
          <w:sz w:val="22"/>
          <w:szCs w:val="22"/>
        </w:rPr>
        <w:t xml:space="preserve"/>
      </w:r>
    </w:p>
    <w:p>
      <w:pPr>
        <w:spacing w:after="80" w:before="60"/>
      </w:pPr>
      <w:r>
        <w:rPr>
          <w:rFonts w:ascii="Arial" w:cs="Arial" w:eastAsia="Arial" w:hAnsi="Arial"/>
          <w:b w:val="false"/>
          <w:bCs w:val="false"/>
          <w:color w:val="1A2340"/>
          <w:sz w:val="22"/>
          <w:szCs w:val="22"/>
        </w:rPr>
        <w:t xml:space="preserve">Common situations where people are unsure:</w:t>
      </w:r>
    </w:p>
    <w:p>
      <w:pPr>
        <w:pStyle w:val="ListParagraph"/>
        <w:numPr>
          <w:ilvl w:val="0"/>
          <w:numId w:val="2"/>
        </w:numPr>
        <w:spacing w:after="40" w:before="40"/>
      </w:pPr>
      <w:r>
        <w:rPr>
          <w:rFonts w:ascii="Arial" w:cs="Arial" w:eastAsia="Arial" w:hAnsi="Arial"/>
          <w:color w:val="1A2340"/>
          <w:sz w:val="22"/>
          <w:szCs w:val="22"/>
        </w:rPr>
        <w:t xml:space="preserve">A document with both a customer's name and a generic contract number. The whole document is Confidential because it contains the name.</w:t>
      </w:r>
    </w:p>
    <w:p>
      <w:pPr>
        <w:pStyle w:val="ListParagraph"/>
        <w:numPr>
          <w:ilvl w:val="0"/>
          <w:numId w:val="2"/>
        </w:numPr>
        <w:spacing w:after="40" w:before="40"/>
      </w:pPr>
      <w:r>
        <w:rPr>
          <w:rFonts w:ascii="Arial" w:cs="Arial" w:eastAsia="Arial" w:hAnsi="Arial"/>
          <w:color w:val="1A2340"/>
          <w:sz w:val="22"/>
          <w:szCs w:val="22"/>
        </w:rPr>
        <w:t xml:space="preserve">An email chain that starts as Internal but someone adds salary information. The whole thread becomes Confidential.</w:t>
      </w:r>
    </w:p>
    <w:p>
      <w:pPr>
        <w:pStyle w:val="ListParagraph"/>
        <w:numPr>
          <w:ilvl w:val="0"/>
          <w:numId w:val="2"/>
        </w:numPr>
        <w:spacing w:after="40" w:before="40"/>
      </w:pPr>
      <w:r>
        <w:rPr>
          <w:rFonts w:ascii="Arial" w:cs="Arial" w:eastAsia="Arial" w:hAnsi="Arial"/>
          <w:color w:val="1A2340"/>
          <w:sz w:val="22"/>
          <w:szCs w:val="22"/>
        </w:rPr>
        <w:t xml:space="preserve">A spreadsheet with a mix of public prices and customer discount rates. The whole spreadsheet is Confidential because of the discount data.</w:t>
      </w:r>
    </w:p>
    <w:p>
      <w:pPr>
        <w:spacing w:after="60" w:before="0"/>
      </w:pPr>
      <w:r>
        <w:rPr>
          <w:sz w:val="22"/>
          <w:szCs w:val="22"/>
        </w:rPr>
        <w:t xml:space="preserve"/>
      </w:r>
    </w:p>
    <w:p>
      <w:pPr>
        <w:pBdr>
          <w:bottom w:val="single" w:color="07B4D9" w:sz="4"/>
        </w:pBdr>
        <w:spacing w:after="100" w:before="280"/>
      </w:pPr>
      <w:r>
        <w:rPr>
          <w:rFonts w:ascii="Arial" w:cs="Arial" w:eastAsia="Arial" w:hAnsi="Arial"/>
          <w:b/>
          <w:bCs/>
          <w:color w:val="152168"/>
          <w:sz w:val="28"/>
          <w:szCs w:val="28"/>
        </w:rPr>
        <w:t xml:space="preserve">4. What Each Level Means for How You Handle It</w:t>
      </w:r>
    </w:p>
    <w:p>
      <w:pPr>
        <w:spacing w:after="80" w:before="60"/>
      </w:pPr>
      <w:r>
        <w:rPr>
          <w:rFonts w:ascii="Arial" w:cs="Arial" w:eastAsia="Arial" w:hAnsi="Arial"/>
          <w:b w:val="false"/>
          <w:bCs w:val="false"/>
          <w:color w:val="1A2340"/>
          <w:sz w:val="22"/>
          <w:szCs w:val="22"/>
        </w:rPr>
        <w:t xml:space="preserve">Here is a practical summary of the most common questions:</w:t>
      </w:r>
    </w:p>
    <w:p>
      <w:pPr>
        <w:spacing w:after="6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940"/>
        <w:gridCol w:w="1760"/>
        <w:gridCol w:w="2460"/>
      </w:tblGrid>
      <w:tr>
        <w:trPr>
          <w:tblHeader/>
        </w:trPr>
        <w:tc>
          <w:tcPr>
            <w:tcW w:type="dxa" w:w="12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20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Can I email it?</w:t>
            </w:r>
          </w:p>
        </w:tc>
        <w:tc>
          <w:tcPr>
            <w:tcW w:type="dxa" w:w="194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Can I store it in personal cloud?</w:t>
            </w:r>
          </w:p>
        </w:tc>
        <w:tc>
          <w:tcPr>
            <w:tcW w:type="dxa" w:w="17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Can I print it?</w:t>
            </w:r>
          </w:p>
        </w:tc>
        <w:tc>
          <w:tcPr>
            <w:tcW w:type="dxa" w:w="24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How do I dispose of it?</w:t>
            </w:r>
          </w:p>
        </w:tc>
      </w:tr>
      <w:tr>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CRITICAL</w:t>
            </w:r>
          </w:p>
        </w:tc>
        <w:tc>
          <w:tcPr>
            <w:tcW w:type="dxa" w:w="2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Only via approved secure/encrypted method — NEVER regular email</w:t>
            </w:r>
          </w:p>
        </w:tc>
        <w:tc>
          <w:tcPr>
            <w:tcW w:type="dxa" w:w="19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No — never</w:t>
            </w:r>
          </w:p>
        </w:tc>
        <w:tc>
          <w:tcPr>
            <w:tcW w:type="dxa" w:w="1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Only when necessary; retrieve immediately; store locked; shred when done</w:t>
            </w:r>
          </w:p>
        </w:tc>
        <w:tc>
          <w:tcPr>
            <w:tcW w:type="dxa" w:w="24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Digital: secure wipe or encryption key deletion. Paper: cross-cut shred. Get a confirmation record.</w:t>
            </w:r>
          </w:p>
        </w:tc>
      </w:tr>
      <w:tr>
        <w:tc>
          <w:tcPr>
            <w:tcW w:type="dxa" w:w="1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CONFIDENTIAL</w:t>
            </w:r>
          </w:p>
        </w:tc>
        <w:tc>
          <w:tcPr>
            <w:tcW w:type="dxa" w:w="2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Internal email OK; for external, use encrypted delivery — ask IT</w:t>
            </w:r>
          </w:p>
        </w:tc>
        <w:tc>
          <w:tcPr>
            <w:tcW w:type="dxa" w:w="19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No — use company systems only</w:t>
            </w:r>
          </w:p>
        </w:tc>
        <w:tc>
          <w:tcPr>
            <w:tcW w:type="dxa" w:w="1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With care; store securely; shred when no longer needed</w:t>
            </w:r>
          </w:p>
        </w:tc>
        <w:tc>
          <w:tcPr>
            <w:tcW w:type="dxa" w:w="24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Digital: secure delete (not just Recycle Bin). Paper: cross-cut shred.</w:t>
            </w:r>
          </w:p>
        </w:tc>
      </w:tr>
      <w:tr>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INTERNAL</w:t>
            </w:r>
          </w:p>
        </w:tc>
        <w:tc>
          <w:tcPr>
            <w:tcW w:type="dxa" w:w="2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Yes — internal; get manager OK before sending externally</w:t>
            </w:r>
          </w:p>
        </w:tc>
        <w:tc>
          <w:tcPr>
            <w:tcW w:type="dxa" w:w="19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Prefer company storage; approved tools only</w:t>
            </w:r>
          </w:p>
        </w:tc>
        <w:tc>
          <w:tcPr>
            <w:tcW w:type="dxa" w:w="1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Yes, as needed</w:t>
            </w:r>
          </w:p>
        </w:tc>
        <w:tc>
          <w:tcPr>
            <w:tcW w:type="dxa" w:w="24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Standard delete or bin/recycling</w:t>
            </w:r>
          </w:p>
        </w:tc>
      </w:tr>
      <w:tr>
        <w:tc>
          <w:tcPr>
            <w:tcW w:type="dxa" w:w="1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PUBLIC</w:t>
            </w:r>
          </w:p>
        </w:tc>
        <w:tc>
          <w:tcPr>
            <w:tcW w:type="dxa" w:w="2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Yes — anyone</w:t>
            </w:r>
          </w:p>
        </w:tc>
        <w:tc>
          <w:tcPr>
            <w:tcW w:type="dxa" w:w="19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Yes</w:t>
            </w:r>
          </w:p>
        </w:tc>
        <w:tc>
          <w:tcPr>
            <w:tcW w:type="dxa" w:w="1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Yes</w:t>
            </w:r>
          </w:p>
        </w:tc>
        <w:tc>
          <w:tcPr>
            <w:tcW w:type="dxa" w:w="24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Standard recycling or deletion</w:t>
            </w:r>
          </w:p>
        </w:tc>
      </w:tr>
    </w:tbl>
    <w:p>
      <w:pPr>
        <w:spacing w:after="60" w:before="0"/>
      </w:pPr>
      <w:r>
        <w:rPr>
          <w:sz w:val="22"/>
          <w:szCs w:val="22"/>
        </w:rPr>
        <w:t xml:space="preserve"/>
      </w:r>
    </w:p>
    <w:p>
      <w:pPr>
        <w:pBdr>
          <w:bottom w:val="single" w:color="07B4D9" w:sz="4"/>
        </w:pBdr>
        <w:spacing w:after="100" w:before="280"/>
      </w:pPr>
      <w:r>
        <w:rPr>
          <w:rFonts w:ascii="Arial" w:cs="Arial" w:eastAsia="Arial" w:hAnsi="Arial"/>
          <w:b/>
          <w:bCs/>
          <w:color w:val="152168"/>
          <w:sz w:val="28"/>
          <w:szCs w:val="28"/>
        </w:rPr>
        <w:t xml:space="preserve">5. Labelling Your Work</w:t>
      </w:r>
    </w:p>
    <w:p>
      <w:pPr>
        <w:spacing w:after="80" w:before="60"/>
      </w:pPr>
      <w:r>
        <w:rPr>
          <w:rFonts w:ascii="Arial" w:cs="Arial" w:eastAsia="Arial" w:hAnsi="Arial"/>
          <w:b w:val="false"/>
          <w:bCs w:val="false"/>
          <w:color w:val="1A2340"/>
          <w:sz w:val="22"/>
          <w:szCs w:val="22"/>
        </w:rPr>
        <w:t xml:space="preserve">When you create a document that contains Confidential or Critical information, mark it so others know how to handle it. Here is the simple convention:</w:t>
      </w:r>
    </w:p>
    <w:p>
      <w:pPr>
        <w:spacing w:after="6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77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What to Add to Your Document</w:t>
            </w:r>
          </w:p>
        </w:tc>
      </w:tr>
      <w:tr>
        <w:tc>
          <w:tcPr>
            <w:tcW w:type="dxa" w:w="1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CRITICAL</w:t>
            </w:r>
          </w:p>
        </w:tc>
        <w:tc>
          <w:tcPr>
            <w:tcW w:type="dxa" w:w="7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Add the word CRITICAL to the header and footer on every page, and add a watermark if your software supports it. Use [CRITICAL] in email subject lines.</w:t>
            </w:r>
          </w:p>
        </w:tc>
      </w:tr>
      <w:tr>
        <w:tc>
          <w:tcPr>
            <w:tcW w:type="dxa" w:w="1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CONFIDENTIAL</w:t>
            </w:r>
          </w:p>
        </w:tc>
        <w:tc>
          <w:tcPr>
            <w:tcW w:type="dxa" w:w="7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Add the word CONFIDENTIAL to the header or footer. Use [CONFIDENTIAL] in email subject lines.</w:t>
            </w:r>
          </w:p>
        </w:tc>
      </w:tr>
      <w:tr>
        <w:tc>
          <w:tcPr>
            <w:tcW w:type="dxa" w:w="1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INTERNAL</w:t>
            </w:r>
          </w:p>
        </w:tc>
        <w:tc>
          <w:tcPr>
            <w:tcW w:type="dxa" w:w="7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Add INTERNAL to the header or footer, or note it on the title page. For everyday internal documents, this may be assumed — but adding it helps.</w:t>
            </w:r>
          </w:p>
        </w:tc>
      </w:tr>
      <w:tr>
        <w:tc>
          <w:tcPr>
            <w:tcW w:type="dxa" w:w="1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PUBLIC</w:t>
            </w:r>
          </w:p>
        </w:tc>
        <w:tc>
          <w:tcPr>
            <w:tcW w:type="dxa" w:w="7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No marking required. Just make sure the content was approved before you share it.</w:t>
            </w:r>
          </w:p>
        </w:tc>
      </w:tr>
    </w:tbl>
    <w:p>
      <w:pPr>
        <w:spacing w:after="60" w:before="0"/>
      </w:pPr>
      <w:r>
        <w:rPr>
          <w:sz w:val="22"/>
          <w:szCs w:val="22"/>
        </w:rPr>
        <w:t xml:space="preserve"/>
      </w:r>
    </w:p>
    <w:p>
      <w:pPr>
        <w:spacing w:after="80" w:before="60"/>
      </w:pPr>
      <w:r>
        <w:rPr>
          <w:rFonts w:ascii="Arial" w:cs="Arial" w:eastAsia="Arial" w:hAnsi="Arial"/>
          <w:b w:val="false"/>
          <w:bCs w:val="false"/>
          <w:color w:val="1A2340"/>
          <w:sz w:val="22"/>
          <w:szCs w:val="22"/>
        </w:rPr>
        <w:t xml:space="preserve">For file names, you can optionally add a suffix: Report_CRITICAL.pdf, Contract_CONF.docx. This is not mandatory but helps especially when sharing files in email or file transfer.</w:t>
      </w:r>
    </w:p>
    <w:p>
      <w:pPr>
        <w:spacing w:after="60" w:before="0"/>
      </w:pPr>
      <w:r>
        <w:rPr>
          <w:sz w:val="22"/>
          <w:szCs w:val="22"/>
        </w:rPr>
        <w:t xml:space="preserve"/>
      </w:r>
    </w:p>
    <w:p>
      <w:pPr>
        <w:pBdr>
          <w:bottom w:val="single" w:color="07B4D9" w:sz="4"/>
        </w:pBdr>
        <w:spacing w:after="100" w:before="280"/>
      </w:pPr>
      <w:r>
        <w:rPr>
          <w:rFonts w:ascii="Arial" w:cs="Arial" w:eastAsia="Arial" w:hAnsi="Arial"/>
          <w:b/>
          <w:bCs/>
          <w:color w:val="152168"/>
          <w:sz w:val="28"/>
          <w:szCs w:val="28"/>
        </w:rPr>
        <w:t xml:space="preserve">6. Sharing Data with People Outside the Company</w:t>
      </w:r>
    </w:p>
    <w:p>
      <w:pPr>
        <w:spacing w:after="80" w:before="60"/>
      </w:pPr>
      <w:r>
        <w:rPr>
          <w:rFonts w:ascii="Arial" w:cs="Arial" w:eastAsia="Arial" w:hAnsi="Arial"/>
          <w:b w:val="false"/>
          <w:bCs w:val="false"/>
          <w:color w:val="1A2340"/>
          <w:sz w:val="22"/>
          <w:szCs w:val="22"/>
        </w:rPr>
        <w:t xml:space="preserve">Before sharing any company data externally, ask yourself:</w:t>
      </w:r>
    </w:p>
    <w:p>
      <w:pPr>
        <w:pStyle w:val="ListParagraph"/>
        <w:numPr>
          <w:ilvl w:val="0"/>
          <w:numId w:val="2"/>
        </w:numPr>
        <w:spacing w:after="40" w:before="40"/>
      </w:pPr>
      <w:r>
        <w:rPr>
          <w:rFonts w:ascii="Arial" w:cs="Arial" w:eastAsia="Arial" w:hAnsi="Arial"/>
          <w:color w:val="1A2340"/>
          <w:sz w:val="22"/>
          <w:szCs w:val="22"/>
        </w:rPr>
        <w:t xml:space="preserve">Does this person need this information to do their job?</w:t>
      </w:r>
    </w:p>
    <w:p>
      <w:pPr>
        <w:pStyle w:val="ListParagraph"/>
        <w:numPr>
          <w:ilvl w:val="0"/>
          <w:numId w:val="2"/>
        </w:numPr>
        <w:spacing w:after="40" w:before="40"/>
      </w:pPr>
      <w:r>
        <w:rPr>
          <w:rFonts w:ascii="Arial" w:cs="Arial" w:eastAsia="Arial" w:hAnsi="Arial"/>
          <w:color w:val="1A2340"/>
          <w:sz w:val="22"/>
          <w:szCs w:val="22"/>
        </w:rPr>
        <w:t xml:space="preserve">Am I authorized to share it?</w:t>
      </w:r>
    </w:p>
    <w:p>
      <w:pPr>
        <w:pStyle w:val="ListParagraph"/>
        <w:numPr>
          <w:ilvl w:val="0"/>
          <w:numId w:val="2"/>
        </w:numPr>
        <w:spacing w:after="40" w:before="40"/>
      </w:pPr>
      <w:r>
        <w:rPr>
          <w:rFonts w:ascii="Arial" w:cs="Arial" w:eastAsia="Arial" w:hAnsi="Arial"/>
          <w:color w:val="1A2340"/>
          <w:sz w:val="22"/>
          <w:szCs w:val="22"/>
        </w:rPr>
        <w:t xml:space="preserve">Am I using a secure method?</w:t>
      </w:r>
    </w:p>
    <w:p>
      <w:pPr>
        <w:spacing w:after="60" w:before="0"/>
      </w:pPr>
      <w:r>
        <w:rPr>
          <w:sz w:val="22"/>
          <w:szCs w:val="22"/>
        </w:rPr>
        <w:t xml:space="preserve"/>
      </w:r>
    </w:p>
    <w:p>
      <w:pPr>
        <w:spacing w:after="80" w:before="60"/>
      </w:pPr>
      <w:r>
        <w:rPr>
          <w:rFonts w:ascii="Arial" w:cs="Arial" w:eastAsia="Arial" w:hAnsi="Arial"/>
          <w:b w:val="false"/>
          <w:bCs w:val="false"/>
          <w:color w:val="1A2340"/>
          <w:sz w:val="22"/>
          <w:szCs w:val="22"/>
        </w:rPr>
        <w:t xml:space="preserve">The rules by category:</w:t>
      </w:r>
    </w:p>
    <w:p>
      <w:pPr>
        <w:spacing w:after="6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E3EF" w:sz="2"/>
              <w:left w:val="single" w:color="DDE3EF" w:sz="2"/>
              <w:bottom w:val="single" w:color="DDE3EF" w:sz="2"/>
              <w:right w:val="none"/>
            </w:tcBorders>
            <w:shd w:fill="C0000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CRITICAL</w:t>
            </w:r>
          </w:p>
        </w:tc>
        <w:tc>
          <w:tcPr>
            <w:tcW w:type="dxa" w:w="7920"/>
            <w:tcBorders>
              <w:top w:val="single" w:color="DDE3EF" w:sz="2"/>
              <w:left w:val="none"/>
              <w:bottom w:val="single" w:color="DDE3EF" w:sz="2"/>
              <w:right w:val="single" w:color="DDE3EF" w:sz="2"/>
            </w:tcBorders>
            <w:tcMar>
              <w:top w:type="dxa" w:w="100"/>
              <w:left w:type="dxa" w:w="160"/>
              <w:bottom w:type="dxa" w:w="100"/>
              <w:right w:type="dxa" w:w="160"/>
            </w:tcMar>
          </w:tcPr>
          <w:p>
            <w:r>
              <w:rPr>
                <w:rFonts w:ascii="Arial" w:cs="Arial" w:eastAsia="Arial" w:hAnsi="Arial"/>
                <w:color w:val="1A2340"/>
                <w:sz w:val="20"/>
                <w:szCs w:val="20"/>
              </w:rPr>
              <w:t xml:space="preserve">Do not share externally without explicit CISO/IT approval. Use only approved secure transfer tools — never regular email. If a vendor or partner needs Critical data, IT must set up a secure method first.</w:t>
            </w:r>
          </w:p>
        </w:tc>
      </w:tr>
    </w:tbl>
    <w:p>
      <w:pPr>
        <w:spacing w:after="6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E3EF" w:sz="2"/>
              <w:left w:val="single" w:color="DDE3EF" w:sz="2"/>
              <w:bottom w:val="single" w:color="DDE3EF" w:sz="2"/>
              <w:right w:val="none"/>
            </w:tcBorders>
            <w:shd w:fill="E05C0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CONFIDENTIAL</w:t>
            </w:r>
          </w:p>
        </w:tc>
        <w:tc>
          <w:tcPr>
            <w:tcW w:type="dxa" w:w="7920"/>
            <w:tcBorders>
              <w:top w:val="single" w:color="DDE3EF" w:sz="2"/>
              <w:left w:val="none"/>
              <w:bottom w:val="single" w:color="DDE3EF" w:sz="2"/>
              <w:right w:val="single" w:color="DDE3EF" w:sz="2"/>
            </w:tcBorders>
            <w:tcMar>
              <w:top w:type="dxa" w:w="100"/>
              <w:left w:type="dxa" w:w="160"/>
              <w:bottom w:type="dxa" w:w="100"/>
              <w:right w:type="dxa" w:w="160"/>
            </w:tcMar>
          </w:tcPr>
          <w:p>
            <w:r>
              <w:rPr>
                <w:rFonts w:ascii="Arial" w:cs="Arial" w:eastAsia="Arial" w:hAnsi="Arial"/>
                <w:color w:val="1A2340"/>
                <w:sz w:val="20"/>
                <w:szCs w:val="20"/>
              </w:rPr>
              <w:t xml:space="preserve">Requires manager or IT approval before sharing externally. Must use an approved, encrypted method (ask IT if unsure). A written agreement or approval should be on file.</w:t>
            </w:r>
          </w:p>
        </w:tc>
      </w:tr>
    </w:tbl>
    <w:p>
      <w:pPr>
        <w:spacing w:after="6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E3EF" w:sz="2"/>
              <w:left w:val="single" w:color="DDE3EF" w:sz="2"/>
              <w:bottom w:val="single" w:color="DDE3EF" w:sz="2"/>
              <w:right w:val="none"/>
            </w:tcBorders>
            <w:shd w:fill="8B6914"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INTERNAL</w:t>
            </w:r>
          </w:p>
        </w:tc>
        <w:tc>
          <w:tcPr>
            <w:tcW w:type="dxa" w:w="7920"/>
            <w:tcBorders>
              <w:top w:val="single" w:color="DDE3EF" w:sz="2"/>
              <w:left w:val="none"/>
              <w:bottom w:val="single" w:color="DDE3EF" w:sz="2"/>
              <w:right w:val="single" w:color="DDE3EF" w:sz="2"/>
            </w:tcBorders>
            <w:tcMar>
              <w:top w:type="dxa" w:w="100"/>
              <w:left w:type="dxa" w:w="160"/>
              <w:bottom w:type="dxa" w:w="100"/>
              <w:right w:type="dxa" w:w="160"/>
            </w:tcMar>
          </w:tcPr>
          <w:p>
            <w:r>
              <w:rPr>
                <w:rFonts w:ascii="Arial" w:cs="Arial" w:eastAsia="Arial" w:hAnsi="Arial"/>
                <w:color w:val="1A2340"/>
                <w:sz w:val="20"/>
                <w:szCs w:val="20"/>
              </w:rPr>
              <w:t xml:space="preserve">May be shared externally with manager approval where there is a legitimate business reason. Use standard email and confirm the recipient is the right person.</w:t>
            </w:r>
          </w:p>
        </w:tc>
      </w:tr>
    </w:tbl>
    <w:p>
      <w:pPr>
        <w:spacing w:after="6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E3EF" w:sz="2"/>
              <w:left w:val="single" w:color="DDE3EF" w:sz="2"/>
              <w:bottom w:val="single" w:color="DDE3EF" w:sz="2"/>
              <w:right w:val="none"/>
            </w:tcBorders>
            <w:shd w:fill="16A34A"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PUBLIC</w:t>
            </w:r>
          </w:p>
        </w:tc>
        <w:tc>
          <w:tcPr>
            <w:tcW w:type="dxa" w:w="7920"/>
            <w:tcBorders>
              <w:top w:val="single" w:color="DDE3EF" w:sz="2"/>
              <w:left w:val="none"/>
              <w:bottom w:val="single" w:color="DDE3EF" w:sz="2"/>
              <w:right w:val="single" w:color="DDE3EF" w:sz="2"/>
            </w:tcBorders>
            <w:tcMar>
              <w:top w:type="dxa" w:w="100"/>
              <w:left w:type="dxa" w:w="160"/>
              <w:bottom w:type="dxa" w:w="100"/>
              <w:right w:type="dxa" w:w="160"/>
            </w:tcMar>
          </w:tcPr>
          <w:p>
            <w:r>
              <w:rPr>
                <w:rFonts w:ascii="Arial" w:cs="Arial" w:eastAsia="Arial" w:hAnsi="Arial"/>
                <w:color w:val="1A2340"/>
                <w:sz w:val="20"/>
                <w:szCs w:val="20"/>
              </w:rPr>
              <w:t xml:space="preserve">Can be shared freely — but confirm the content was formally approved for public release before you send it.</w:t>
            </w:r>
          </w:p>
        </w:tc>
      </w:tr>
    </w:tbl>
    <w:p>
      <w:pPr>
        <w:spacing w:after="60" w:before="0"/>
      </w:pPr>
      <w:r>
        <w:rPr>
          <w:sz w:val="22"/>
          <w:szCs w:val="22"/>
        </w:rPr>
        <w:t xml:space="preserve"/>
      </w:r>
    </w:p>
    <w:p>
      <w:pPr>
        <w:pBdr>
          <w:bottom w:val="single" w:color="07B4D9" w:sz="4"/>
        </w:pBdr>
        <w:spacing w:after="100" w:before="280"/>
      </w:pPr>
      <w:r>
        <w:rPr>
          <w:rFonts w:ascii="Arial" w:cs="Arial" w:eastAsia="Arial" w:hAnsi="Arial"/>
          <w:b/>
          <w:bCs/>
          <w:color w:val="152168"/>
          <w:sz w:val="28"/>
          <w:szCs w:val="28"/>
        </w:rPr>
        <w:t xml:space="preserve">7. Storing and Transmitting Data</w:t>
      </w:r>
    </w:p>
    <w:p>
      <w:pPr>
        <w:spacing w:after="80" w:before="60"/>
      </w:pPr>
      <w:r>
        <w:rPr>
          <w:rFonts w:ascii="Arial" w:cs="Arial" w:eastAsia="Arial" w:hAnsi="Arial"/>
          <w:b w:val="false"/>
          <w:bCs w:val="false"/>
          <w:color w:val="1A2340"/>
          <w:sz w:val="22"/>
          <w:szCs w:val="22"/>
        </w:rPr>
        <w:t xml:space="preserve">Use the right tool for the job:</w:t>
      </w:r>
    </w:p>
    <w:p>
      <w:pPr>
        <w:pStyle w:val="ListParagraph"/>
        <w:numPr>
          <w:ilvl w:val="0"/>
          <w:numId w:val="2"/>
        </w:numPr>
        <w:spacing w:after="40" w:before="40"/>
      </w:pPr>
      <w:r>
        <w:rPr>
          <w:rFonts w:ascii="Arial" w:cs="Arial" w:eastAsia="Arial" w:hAnsi="Arial"/>
          <w:color w:val="1A2340"/>
          <w:sz w:val="22"/>
          <w:szCs w:val="22"/>
        </w:rPr>
        <w:t xml:space="preserve">Always use approved company systems for storing work data — this means our shared drives, email, and any tools IT has approved.</w:t>
      </w:r>
    </w:p>
    <w:p>
      <w:pPr>
        <w:pStyle w:val="ListParagraph"/>
        <w:numPr>
          <w:ilvl w:val="0"/>
          <w:numId w:val="2"/>
        </w:numPr>
        <w:spacing w:after="40" w:before="40"/>
      </w:pPr>
      <w:r>
        <w:rPr>
          <w:rFonts w:ascii="Arial" w:cs="Arial" w:eastAsia="Arial" w:hAnsi="Arial"/>
          <w:color w:val="1A2340"/>
          <w:sz w:val="22"/>
          <w:szCs w:val="22"/>
        </w:rPr>
        <w:t xml:space="preserve">Do not store Critical or Confidential data on personal devices (personal laptops, phones, USB drives) without specific IT approval and a managed device.</w:t>
      </w:r>
    </w:p>
    <w:p>
      <w:pPr>
        <w:pStyle w:val="ListParagraph"/>
        <w:numPr>
          <w:ilvl w:val="0"/>
          <w:numId w:val="2"/>
        </w:numPr>
        <w:spacing w:after="40" w:before="40"/>
      </w:pPr>
      <w:r>
        <w:rPr>
          <w:rFonts w:ascii="Arial" w:cs="Arial" w:eastAsia="Arial" w:hAnsi="Arial"/>
          <w:color w:val="1A2340"/>
          <w:sz w:val="22"/>
          <w:szCs w:val="22"/>
        </w:rPr>
        <w:t xml:space="preserve">Do not sync Critical or Confidential data to personal cloud services such as personal Dropbox, Gmail, or iCloud.</w:t>
      </w:r>
    </w:p>
    <w:p>
      <w:pPr>
        <w:pStyle w:val="ListParagraph"/>
        <w:numPr>
          <w:ilvl w:val="0"/>
          <w:numId w:val="2"/>
        </w:numPr>
        <w:spacing w:after="40" w:before="40"/>
      </w:pPr>
      <w:r>
        <w:rPr>
          <w:rFonts w:ascii="Arial" w:cs="Arial" w:eastAsia="Arial" w:hAnsi="Arial"/>
          <w:color w:val="1A2340"/>
          <w:sz w:val="22"/>
          <w:szCs w:val="22"/>
        </w:rPr>
        <w:t xml:space="preserve">When sending sensitive files, use the method IT has approved for secure transfer. If you do not know what that is, ask before you send.</w:t>
      </w:r>
    </w:p>
    <w:p>
      <w:pPr>
        <w:pStyle w:val="ListParagraph"/>
        <w:numPr>
          <w:ilvl w:val="0"/>
          <w:numId w:val="2"/>
        </w:numPr>
        <w:spacing w:after="40" w:before="40"/>
      </w:pPr>
      <w:r>
        <w:rPr>
          <w:rFonts w:ascii="Arial" w:cs="Arial" w:eastAsia="Arial" w:hAnsi="Arial"/>
          <w:color w:val="1A2340"/>
          <w:sz w:val="22"/>
          <w:szCs w:val="22"/>
        </w:rPr>
        <w:t xml:space="preserve">When working remotely, connect through the company VPN before accessing Confidential or Critical data.</w:t>
      </w:r>
    </w:p>
    <w:p>
      <w:pPr>
        <w:spacing w:after="60" w:before="0"/>
      </w:pPr>
      <w:r>
        <w:rPr>
          <w:sz w:val="22"/>
          <w:szCs w:val="22"/>
        </w:rPr>
        <w:t xml:space="preserve"/>
      </w:r>
    </w:p>
    <w:p>
      <w:pPr>
        <w:spacing w:after="80" w:before="60"/>
      </w:pPr>
      <w:r>
        <w:rPr>
          <w:rFonts w:ascii="Arial" w:cs="Arial" w:eastAsia="Arial" w:hAnsi="Arial"/>
          <w:b w:val="false"/>
          <w:bCs w:val="false"/>
          <w:color w:val="1A2340"/>
          <w:sz w:val="22"/>
          <w:szCs w:val="22"/>
        </w:rPr>
        <w:t xml:space="preserve">A quick rule of thumb: if you would be uncomfortable if that file appeared on a public website, do not use a method you are not sure about. Ask IT.</w:t>
      </w:r>
    </w:p>
    <w:p>
      <w:pPr>
        <w:spacing w:after="60" w:before="0"/>
      </w:pPr>
      <w:r>
        <w:rPr>
          <w:sz w:val="22"/>
          <w:szCs w:val="22"/>
        </w:rPr>
        <w:t xml:space="preserve"/>
      </w:r>
    </w:p>
    <w:p>
      <w:pPr>
        <w:pBdr>
          <w:bottom w:val="single" w:color="07B4D9" w:sz="4"/>
        </w:pBdr>
        <w:spacing w:after="100" w:before="280"/>
      </w:pPr>
      <w:r>
        <w:rPr>
          <w:rFonts w:ascii="Arial" w:cs="Arial" w:eastAsia="Arial" w:hAnsi="Arial"/>
          <w:b/>
          <w:bCs/>
          <w:color w:val="152168"/>
          <w:sz w:val="28"/>
          <w:szCs w:val="28"/>
        </w:rPr>
        <w:t xml:space="preserve">8. Deleting Data Properly</w:t>
      </w:r>
    </w:p>
    <w:p>
      <w:pPr>
        <w:spacing w:after="80" w:before="60"/>
      </w:pPr>
      <w:r>
        <w:rPr>
          <w:rFonts w:ascii="Arial" w:cs="Arial" w:eastAsia="Arial" w:hAnsi="Arial"/>
          <w:b w:val="false"/>
          <w:bCs w:val="false"/>
          <w:color w:val="1A2340"/>
          <w:sz w:val="22"/>
          <w:szCs w:val="22"/>
        </w:rPr>
        <w:t xml:space="preserve">Deleting data properly matters because data that is not fully removed can be recovered — even from a hard drive you think you erased or a document you put in the Recycle Bin.</w:t>
      </w:r>
    </w:p>
    <w:p>
      <w:pPr>
        <w:spacing w:after="6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Data Type / Medium</w:t>
            </w:r>
          </w:p>
        </w:tc>
        <w:tc>
          <w:tcPr>
            <w:tcW w:type="dxa" w:w="45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How to Delete It Properly</w:t>
            </w:r>
          </w:p>
        </w:tc>
        <w:tc>
          <w:tcPr>
            <w:tcW w:type="dxa" w:w="26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Who to Contact</w:t>
            </w:r>
          </w:p>
        </w:tc>
      </w:tr>
      <w:tr>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CRITICAL data — digital files</w:t>
            </w:r>
          </w:p>
        </w:tc>
        <w:tc>
          <w:tcPr>
            <w:tcW w:type="dxa" w:w="4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Contact IT to perform a secure wipe or cryptographic deletion. Do not simply delete and empty the Recycle Bin.</w:t>
            </w:r>
          </w:p>
        </w:tc>
        <w:tc>
          <w:tcPr>
            <w:tcW w:type="dxa" w:w="2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IT team</w:t>
            </w:r>
          </w:p>
        </w:tc>
      </w:tr>
      <w:tr>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CONFIDENTIAL data — digital files</w:t>
            </w:r>
          </w:p>
        </w:tc>
        <w:tc>
          <w:tcPr>
            <w:tcW w:type="dxa" w:w="4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Use secure delete tools provided by IT, or contact IT. Do not just move to Recycle Bin.</w:t>
            </w:r>
          </w:p>
        </w:tc>
        <w:tc>
          <w:tcPr>
            <w:tcW w:type="dxa" w:w="2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IT team</w:t>
            </w:r>
          </w:p>
        </w:tc>
      </w:tr>
      <w:tr>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INTERNAL data — digital files</w:t>
            </w:r>
          </w:p>
        </w:tc>
        <w:tc>
          <w:tcPr>
            <w:tcW w:type="dxa" w:w="4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Standard deletion and empty Recycle Bin is acceptable.</w:t>
            </w:r>
          </w:p>
        </w:tc>
        <w:tc>
          <w:tcPr>
            <w:tcW w:type="dxa" w:w="2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No escalation needed</w:t>
            </w:r>
          </w:p>
        </w:tc>
      </w:tr>
      <w:tr>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CRITICAL documents — printed / paper</w:t>
            </w:r>
          </w:p>
        </w:tc>
        <w:tc>
          <w:tcPr>
            <w:tcW w:type="dxa" w:w="4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Cross-cut shred immediately. For high volumes, use a certified shredding service and get a destruction certificate.</w:t>
            </w:r>
          </w:p>
        </w:tc>
        <w:tc>
          <w:tcPr>
            <w:tcW w:type="dxa" w:w="2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IT / Office manager</w:t>
            </w:r>
          </w:p>
        </w:tc>
      </w:tr>
      <w:tr>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CONFIDENTIAL documents — printed / paper</w:t>
            </w:r>
          </w:p>
        </w:tc>
        <w:tc>
          <w:tcPr>
            <w:tcW w:type="dxa" w:w="4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Cross-cut shred. Do not place in open recycling.</w:t>
            </w:r>
          </w:p>
        </w:tc>
        <w:tc>
          <w:tcPr>
            <w:tcW w:type="dxa" w:w="2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Use office shredder</w:t>
            </w:r>
          </w:p>
        </w:tc>
      </w:tr>
      <w:tr>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INTERNAL documents — printed / paper</w:t>
            </w:r>
          </w:p>
        </w:tc>
        <w:tc>
          <w:tcPr>
            <w:tcW w:type="dxa" w:w="4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Shred or secure bin. Standard recycling is generally acceptable for non-sensitive content.</w:t>
            </w:r>
          </w:p>
        </w:tc>
        <w:tc>
          <w:tcPr>
            <w:tcW w:type="dxa" w:w="2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No escalation needed</w:t>
            </w:r>
          </w:p>
        </w:tc>
      </w:tr>
      <w:tr>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Hard drives or USB drives with Critical or Confidential data</w:t>
            </w:r>
          </w:p>
        </w:tc>
        <w:tc>
          <w:tcPr>
            <w:tcW w:type="dxa" w:w="4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Do not dispose of or repurpose without IT sign-off. IT will perform a certified wipe or physical destruction.</w:t>
            </w:r>
          </w:p>
        </w:tc>
        <w:tc>
          <w:tcPr>
            <w:tcW w:type="dxa" w:w="2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IT team</w:t>
            </w:r>
          </w:p>
        </w:tc>
      </w:tr>
    </w:tbl>
    <w:p>
      <w:pPr>
        <w:spacing w:after="60" w:before="0"/>
      </w:pPr>
      <w:r>
        <w:rPr>
          <w:sz w:val="22"/>
          <w:szCs w:val="22"/>
        </w:rPr>
        <w:t xml:space="preserve"/>
      </w:r>
    </w:p>
    <w:p>
      <w:pPr>
        <w:spacing w:after="80" w:before="60"/>
      </w:pPr>
      <w:r>
        <w:rPr>
          <w:rFonts w:ascii="Arial" w:cs="Arial" w:eastAsia="Arial" w:hAnsi="Arial"/>
          <w:b w:val="false"/>
          <w:bCs w:val="false"/>
          <w:color w:val="1A2340"/>
          <w:sz w:val="22"/>
          <w:szCs w:val="22"/>
        </w:rPr>
        <w:t xml:space="preserve">Remember: clicking Delete and emptying the Recycle Bin does not securely erase a file. The data remains on the disk until the space is overwritten. For anything Confidential or Critical, always contact IT.</w:t>
      </w:r>
    </w:p>
    <w:p>
      <w:pPr>
        <w:spacing w:after="60" w:before="0"/>
      </w:pPr>
      <w:r>
        <w:rPr>
          <w:sz w:val="22"/>
          <w:szCs w:val="22"/>
        </w:rPr>
        <w:t xml:space="preserve"/>
      </w:r>
    </w:p>
    <w:p>
      <w:pPr>
        <w:pBdr>
          <w:bottom w:val="single" w:color="07B4D9" w:sz="4"/>
        </w:pBdr>
        <w:spacing w:after="100" w:before="280"/>
      </w:pPr>
      <w:r>
        <w:rPr>
          <w:rFonts w:ascii="Arial" w:cs="Arial" w:eastAsia="Arial" w:hAnsi="Arial"/>
          <w:b/>
          <w:bCs/>
          <w:color w:val="152168"/>
          <w:sz w:val="28"/>
          <w:szCs w:val="28"/>
        </w:rPr>
        <w:t xml:space="preserve">9. Consequences</w:t>
      </w:r>
    </w:p>
    <w:p>
      <w:pPr>
        <w:spacing w:after="80" w:before="60"/>
      </w:pPr>
      <w:r>
        <w:rPr>
          <w:rFonts w:ascii="Arial" w:cs="Arial" w:eastAsia="Arial" w:hAnsi="Arial"/>
          <w:b w:val="false"/>
          <w:bCs w:val="false"/>
          <w:color w:val="1A2340"/>
          <w:sz w:val="22"/>
          <w:szCs w:val="22"/>
        </w:rPr>
        <w:t xml:space="preserve">Mishandling data — regardless of whether it was intentional — can have serious consequences:</w:t>
      </w:r>
    </w:p>
    <w:p>
      <w:pPr>
        <w:pStyle w:val="ListParagraph"/>
        <w:numPr>
          <w:ilvl w:val="0"/>
          <w:numId w:val="2"/>
        </w:numPr>
        <w:spacing w:after="40" w:before="40"/>
      </w:pPr>
      <w:r>
        <w:rPr>
          <w:rFonts w:ascii="Arial" w:cs="Arial" w:eastAsia="Arial" w:hAnsi="Arial"/>
          <w:color w:val="1A2340"/>
          <w:sz w:val="22"/>
          <w:szCs w:val="22"/>
        </w:rPr>
        <w:t xml:space="preserve">For customers and employees whose data is exposed: identity theft, financial harm, and loss of trust.</w:t>
      </w:r>
    </w:p>
    <w:p>
      <w:pPr>
        <w:pStyle w:val="ListParagraph"/>
        <w:numPr>
          <w:ilvl w:val="0"/>
          <w:numId w:val="2"/>
        </w:numPr>
        <w:spacing w:after="40" w:before="40"/>
      </w:pPr>
      <w:r>
        <w:rPr>
          <w:rFonts w:ascii="Arial" w:cs="Arial" w:eastAsia="Arial" w:hAnsi="Arial"/>
          <w:color w:val="1A2340"/>
          <w:sz w:val="22"/>
          <w:szCs w:val="22"/>
        </w:rPr>
        <w:t xml:space="preserve">For the company: regulatory fines, legal liability, and reputational damage.</w:t>
      </w:r>
    </w:p>
    <w:p>
      <w:pPr>
        <w:pStyle w:val="ListParagraph"/>
        <w:numPr>
          <w:ilvl w:val="0"/>
          <w:numId w:val="2"/>
        </w:numPr>
        <w:spacing w:after="40" w:before="40"/>
      </w:pPr>
      <w:r>
        <w:rPr>
          <w:rFonts w:ascii="Arial" w:cs="Arial" w:eastAsia="Arial" w:hAnsi="Arial"/>
          <w:color w:val="1A2340"/>
          <w:sz w:val="22"/>
          <w:szCs w:val="22"/>
        </w:rPr>
        <w:t xml:space="preserve">For the individual who violated the policy: disciplinary action, up to and including termination.</w:t>
      </w:r>
    </w:p>
    <w:p>
      <w:pPr>
        <w:spacing w:after="60" w:before="0"/>
      </w:pPr>
      <w:r>
        <w:rPr>
          <w:sz w:val="22"/>
          <w:szCs w:val="22"/>
        </w:rPr>
        <w:t xml:space="preserve"/>
      </w:r>
    </w:p>
    <w:p>
      <w:pPr>
        <w:spacing w:after="80" w:before="60"/>
      </w:pPr>
      <w:r>
        <w:rPr>
          <w:rFonts w:ascii="Arial" w:cs="Arial" w:eastAsia="Arial" w:hAnsi="Arial"/>
          <w:b w:val="false"/>
          <w:bCs w:val="false"/>
          <w:color w:val="1A2340"/>
          <w:sz w:val="22"/>
          <w:szCs w:val="22"/>
        </w:rPr>
        <w:t xml:space="preserve">If you accidentally send data to the wrong person, store it somewhere you should not have, or suspect a data breach, report it immediately to your manager or IT. Prompt reporting reduces the impact. Hiding a mistake makes it significantly worse.</w:t>
      </w:r>
    </w:p>
    <w:p>
      <w:pPr>
        <w:spacing w:after="60" w:before="0"/>
      </w:pPr>
      <w:r>
        <w:rPr>
          <w:sz w:val="22"/>
          <w:szCs w:val="22"/>
        </w:rPr>
        <w:t xml:space="preserve"/>
      </w:r>
    </w:p>
    <w:p>
      <w:pPr>
        <w:pBdr>
          <w:bottom w:val="single" w:color="07B4D9" w:sz="4"/>
        </w:pBdr>
        <w:spacing w:after="100" w:before="280"/>
      </w:pPr>
      <w:r>
        <w:rPr>
          <w:rFonts w:ascii="Arial" w:cs="Arial" w:eastAsia="Arial" w:hAnsi="Arial"/>
          <w:b/>
          <w:bCs/>
          <w:color w:val="152168"/>
          <w:sz w:val="28"/>
          <w:szCs w:val="28"/>
        </w:rPr>
        <w:t xml:space="preserve">10. Document Control and Acknowledgement</w:t>
      </w:r>
    </w:p>
    <w:p>
      <w:pPr>
        <w:spacing w:after="6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9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Document ID</w:t>
            </w:r>
          </w:p>
        </w:tc>
        <w:tc>
          <w:tcPr>
            <w:tcW w:type="dxa" w:w="6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ENT-Draft-POL-Data Classification and Handling-SMB-6.26</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Version</w:t>
            </w:r>
          </w:p>
        </w:tc>
        <w:tc>
          <w:tcPr>
            <w:tcW w:type="dxa" w:w="69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1.0 — Draft</w:t>
            </w:r>
          </w:p>
        </w:tc>
      </w:tr>
      <w:tr>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Effective Date</w:t>
            </w:r>
          </w:p>
        </w:tc>
        <w:tc>
          <w:tcPr>
            <w:tcW w:type="dxa" w:w="6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June 2026</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Review Cycle</w:t>
            </w:r>
          </w:p>
        </w:tc>
        <w:tc>
          <w:tcPr>
            <w:tcW w:type="dxa" w:w="69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Annual</w:t>
            </w:r>
          </w:p>
        </w:tc>
      </w:tr>
      <w:tr>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Document Owner</w:t>
            </w:r>
          </w:p>
        </w:tc>
        <w:tc>
          <w:tcPr>
            <w:tcW w:type="dxa" w:w="6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CISO / vCISO</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Approved By</w:t>
            </w:r>
          </w:p>
        </w:tc>
        <w:tc>
          <w:tcPr>
            <w:tcW w:type="dxa" w:w="69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[Name / Title]</w:t>
            </w:r>
          </w:p>
        </w:tc>
      </w:tr>
      <w:tr>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Next Review Date</w:t>
            </w:r>
          </w:p>
        </w:tc>
        <w:tc>
          <w:tcPr>
            <w:tcW w:type="dxa" w:w="6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June 2027</w:t>
            </w:r>
          </w:p>
        </w:tc>
      </w:tr>
    </w:tbl>
    <w:p>
      <w:pPr>
        <w:spacing w:after="60" w:before="0"/>
      </w:pPr>
      <w:r>
        <w:rPr>
          <w:sz w:val="22"/>
          <w:szCs w:val="22"/>
        </w:rPr>
        <w:t xml:space="preserve"/>
      </w:r>
    </w:p>
    <w:p>
      <w:pPr>
        <w:spacing w:after="80" w:before="60"/>
      </w:pPr>
      <w:r>
        <w:rPr>
          <w:rFonts w:ascii="Arial" w:cs="Arial" w:eastAsia="Arial" w:hAnsi="Arial"/>
          <w:b w:val="false"/>
          <w:bCs w:val="false"/>
          <w:color w:val="1A2340"/>
          <w:sz w:val="22"/>
          <w:szCs w:val="22"/>
        </w:rPr>
        <w:t xml:space="preserve">By reading this policy you confirm that you understand your responsibilities for classifying and handling organizational data. Your manager may ask you to sign an acknowledgement as part of annual security training.</w:t>
      </w:r>
    </w:p>
    <w:p>
      <w:pPr>
        <w:spacing w:after="60" w:before="0"/>
      </w:pPr>
      <w:r>
        <w:rPr>
          <w:sz w:val="22"/>
          <w:szCs w:val="22"/>
        </w:rPr>
        <w:t xml:space="preserve"/>
      </w:r>
    </w:p>
    <w:p>
      <w:pPr>
        <w:pBdr>
          <w:left w:val="single" w:color="152168" w:sz="12"/>
        </w:pBdr>
        <w:shd w:fill="EBF0FA" w:val="clear"/>
        <w:spacing w:after="80" w:before="80"/>
        <w:ind w:left="360" w:right="360"/>
      </w:pPr>
      <w:r>
        <w:rPr>
          <w:rFonts w:ascii="Arial" w:cs="Arial" w:eastAsia="Arial" w:hAnsi="Arial"/>
          <w:b/>
          <w:bCs/>
          <w:color w:val="152168"/>
          <w:sz w:val="22"/>
          <w:szCs w:val="22"/>
        </w:rPr>
        <w:t xml:space="preserve">Questions? </w:t>
      </w:r>
      <w:r>
        <w:rPr>
          <w:rFonts w:ascii="Arial" w:cs="Arial" w:eastAsia="Arial" w:hAnsi="Arial"/>
          <w:color w:val="1A2340"/>
          <w:sz w:val="22"/>
          <w:szCs w:val="22"/>
        </w:rPr>
        <w:t xml:space="preserve">Contact your IT team or your manager. They are here to help. Asking a question is always the right thing to do.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7B4D9" w:sz="6"/>
      </w:pBdr>
      <w:spacing w:before="80"/>
      <w:jc w:val="center"/>
    </w:pPr>
    <w:r>
      <w:rPr>
        <w:rFonts w:ascii="Arial" w:cs="Arial" w:eastAsia="Arial" w:hAnsi="Arial"/>
        <w:color w:val="5A6A8A"/>
        <w:sz w:val="16"/>
        <w:szCs w:val="16"/>
      </w:rPr>
      <w:t xml:space="preserve">INTERNAL — CONFIDENTIAL | © [ORGANIZATION NAME]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7B4D9" w:sz="6"/>
      </w:pBdr>
      <w:tabs>
        <w:tab w:val="right" w:pos="9360"/>
      </w:tabs>
      <w:spacing w:after="80"/>
    </w:pPr>
    <w:r>
      <w:rPr>
        <w:rFonts w:ascii="Arial" w:cs="Arial" w:eastAsia="Arial" w:hAnsi="Arial"/>
        <w:color w:val="5A6A8A"/>
        <w:sz w:val="16"/>
        <w:szCs w:val="16"/>
      </w:rPr>
      <w:t xml:space="preserve">ENT-Draft-POL-Data Classification and Handling-SMB-6.26</w:t>
    </w:r>
    <w:r>
      <w:rPr>
        <w:sz w:val="16"/>
        <w:szCs w:val="16"/>
      </w:rPr>
      <w:t xml:space="preserve">	</w:t>
    </w:r>
    <w:r>
      <w:rPr>
        <w:rFonts w:ascii="Arial" w:cs="Arial" w:eastAsia="Arial" w:hAnsi="Arial"/>
        <w:color w:val="5A6A8A"/>
        <w:sz w:val="16"/>
        <w:szCs w:val="16"/>
      </w:rPr>
      <w:t xml:space="preserve">Page </w:t>
    </w:r>
    <w:r>
      <w:rPr>
        <w:rFonts w:ascii="Arial" w:cs="Arial" w:eastAsia="Arial" w:hAnsi="Arial"/>
        <w:color w:val="5A6A8A"/>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2026-06-19T04:22:17.572Z</dcterms:created>
  <dcterms:modified xsi:type="dcterms:W3CDTF">2026-06-19T04:22:17.572Z</dcterms:modified>
</cp:coreProperties>
</file>

<file path=docProps/custom.xml><?xml version="1.0" encoding="utf-8"?>
<Properties xmlns="http://schemas.openxmlformats.org/officeDocument/2006/custom-properties" xmlns:vt="http://schemas.openxmlformats.org/officeDocument/2006/docPropsVTypes"/>
</file>