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color w:val="5A6A8A"/>
          <w:sz w:val="18"/>
          <w:szCs w:val="18"/>
        </w:rPr>
        <w:t xml:space="preserve">ENT-Draft-POL-Incident Response-Comprehensive-6.26</w:t>
      </w:r>
    </w:p>
    <w:p>
      <w:pPr>
        <w:spacing w:after="80" w:before="0"/>
      </w:pPr>
      <w:r>
        <w:rPr>
          <w:rFonts w:ascii="Arial" w:cs="Arial" w:eastAsia="Arial" w:hAnsi="Arial"/>
          <w:b/>
          <w:bCs/>
          <w:color w:val="152168"/>
          <w:sz w:val="52"/>
          <w:szCs w:val="52"/>
        </w:rPr>
        <w:t xml:space="preserve">Information Security</w:t>
      </w:r>
    </w:p>
    <w:p>
      <w:pPr>
        <w:spacing w:after="240" w:before="0"/>
      </w:pPr>
      <w:r>
        <w:rPr>
          <w:rFonts w:ascii="Arial" w:cs="Arial" w:eastAsia="Arial" w:hAnsi="Arial"/>
          <w:b/>
          <w:bCs/>
          <w:color w:val="07B4D9"/>
          <w:sz w:val="52"/>
          <w:szCs w:val="52"/>
        </w:rPr>
        <w:t xml:space="preserve">Incident Response Policy</w:t>
      </w:r>
    </w:p>
    <w:p>
      <w:pPr>
        <w:pBdr>
          <w:bottom w:val="single" w:color="152168" w:sz="6" w:space="1"/>
        </w:pBdr>
        <w:spacing w:after="0" w:before="0"/>
      </w:pP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5A6A8A"/>
                <w:sz w:val="20"/>
                <w:szCs w:val="20"/>
              </w:rPr>
              <w:t xml:space="preserve">Organization:</w:t>
            </w:r>
          </w:p>
          <w:p>
            <w:r>
              <w:rPr>
                <w:rFonts w:ascii="Arial" w:cs="Arial" w:eastAsia="Arial" w:hAnsi="Arial"/>
                <w:color w:val="1A2340"/>
                <w:sz w:val="20"/>
                <w:szCs w:val="20"/>
              </w:rPr>
              <w:t xml:space="preserve">[ORGANIZATION NAME]</w:t>
            </w:r>
          </w:p>
          <w:p>
            <w:pPr>
              <w:spacing w:after="60" w:before="60"/>
            </w:pPr>
          </w:p>
          <w:p>
            <w:r>
              <w:rPr>
                <w:rFonts w:ascii="Arial" w:cs="Arial" w:eastAsia="Arial" w:hAnsi="Arial"/>
                <w:b/>
                <w:bCs/>
                <w:color w:val="5A6A8A"/>
                <w:sz w:val="20"/>
                <w:szCs w:val="20"/>
              </w:rPr>
              <w:t xml:space="preserve">Policy Owner:</w:t>
            </w:r>
          </w:p>
          <w:p>
            <w:r>
              <w:rPr>
                <w:rFonts w:ascii="Arial" w:cs="Arial" w:eastAsia="Arial" w:hAnsi="Arial"/>
                <w:color w:val="1A2340"/>
                <w:sz w:val="20"/>
                <w:szCs w:val="20"/>
              </w:rPr>
              <w:t xml:space="preserve">CISO / vCISO</w:t>
            </w:r>
          </w:p>
          <w:p>
            <w:pPr>
              <w:spacing w:after="60" w:before="60"/>
            </w:pPr>
          </w:p>
          <w:p>
            <w:r>
              <w:rPr>
                <w:rFonts w:ascii="Arial" w:cs="Arial" w:eastAsia="Arial" w:hAnsi="Arial"/>
                <w:b/>
                <w:bCs/>
                <w:color w:val="5A6A8A"/>
                <w:sz w:val="20"/>
                <w:szCs w:val="20"/>
              </w:rPr>
              <w:t xml:space="preserve">Classification:</w:t>
            </w:r>
          </w:p>
          <w:p>
            <w:r>
              <w:rPr>
                <w:rFonts w:ascii="Arial" w:cs="Arial" w:eastAsia="Arial" w:hAnsi="Arial"/>
                <w:color w:val="1A2340"/>
                <w:sz w:val="20"/>
                <w:szCs w:val="20"/>
              </w:rPr>
              <w:t xml:space="preserve">INTERNAL — CONFIDENTIAL</w:t>
            </w:r>
          </w:p>
        </w:tc>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5A6A8A"/>
                <w:sz w:val="20"/>
                <w:szCs w:val="20"/>
              </w:rPr>
              <w:t xml:space="preserve">Version:</w:t>
            </w:r>
          </w:p>
          <w:p>
            <w:r>
              <w:rPr>
                <w:rFonts w:ascii="Arial" w:cs="Arial" w:eastAsia="Arial" w:hAnsi="Arial"/>
                <w:color w:val="1A2340"/>
                <w:sz w:val="20"/>
                <w:szCs w:val="20"/>
              </w:rPr>
              <w:t xml:space="preserve">1.0</w:t>
            </w:r>
          </w:p>
          <w:p>
            <w:pPr>
              <w:spacing w:after="60" w:before="60"/>
            </w:pPr>
          </w:p>
          <w:p>
            <w:r>
              <w:rPr>
                <w:rFonts w:ascii="Arial" w:cs="Arial" w:eastAsia="Arial" w:hAnsi="Arial"/>
                <w:b/>
                <w:bCs/>
                <w:color w:val="5A6A8A"/>
                <w:sz w:val="20"/>
                <w:szCs w:val="20"/>
              </w:rPr>
              <w:t xml:space="preserve">Effective Date:</w:t>
            </w:r>
          </w:p>
          <w:p>
            <w:r>
              <w:rPr>
                <w:rFonts w:ascii="Arial" w:cs="Arial" w:eastAsia="Arial" w:hAnsi="Arial"/>
                <w:color w:val="1A2340"/>
                <w:sz w:val="20"/>
                <w:szCs w:val="20"/>
              </w:rPr>
              <w:t xml:space="preserve">[DATE]</w:t>
            </w:r>
          </w:p>
          <w:p>
            <w:pPr>
              <w:spacing w:after="60" w:before="60"/>
            </w:pPr>
          </w:p>
          <w:p>
            <w:r>
              <w:rPr>
                <w:rFonts w:ascii="Arial" w:cs="Arial" w:eastAsia="Arial" w:hAnsi="Arial"/>
                <w:b/>
                <w:bCs/>
                <w:color w:val="5A6A8A"/>
                <w:sz w:val="20"/>
                <w:szCs w:val="20"/>
              </w:rPr>
              <w:t xml:space="preserve">Next Review:</w:t>
            </w:r>
          </w:p>
          <w:p>
            <w:r>
              <w:rPr>
                <w:rFonts w:ascii="Arial" w:cs="Arial" w:eastAsia="Arial" w:hAnsi="Arial"/>
                <w:color w:val="1A2340"/>
                <w:sz w:val="20"/>
                <w:szCs w:val="20"/>
              </w:rPr>
              <w:t xml:space="preserve">[DATE + 1 YEAR]</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20"/>
              <w:left w:type="dxa" w:w="180"/>
              <w:bottom w:type="dxa" w:w="120"/>
              <w:right w:type="dxa" w:w="180"/>
            </w:tcMar>
          </w:tcPr>
          <w:p>
            <w:r>
              <w:rPr>
                <w:rFonts w:ascii="Arial" w:cs="Arial" w:eastAsia="Arial" w:hAnsi="Arial"/>
                <w:b/>
                <w:bCs/>
                <w:color w:val="152168"/>
                <w:sz w:val="22"/>
                <w:szCs w:val="22"/>
              </w:rPr>
              <w:t xml:space="preserve">Framework Alignment</w:t>
            </w:r>
          </w:p>
          <w:p>
            <w:pPr>
              <w:spacing w:after="40" w:before="40"/>
            </w:pPr>
          </w:p>
          <w:p>
            <w:r>
              <w:rPr>
                <w:rFonts w:ascii="Arial" w:cs="Arial" w:eastAsia="Arial" w:hAnsi="Arial"/>
                <w:color w:val="1A2340"/>
                <w:sz w:val="20"/>
                <w:szCs w:val="20"/>
              </w:rPr>
              <w:t xml:space="preserve">NIST CSF 2.0: RS.MA, RS.CO, RC.RP  |  ISO/IEC 27001:2022 Annex A 5.24-5.28  |  NIST SP 800-61 Rev 2</w:t>
            </w:r>
          </w:p>
        </w:tc>
      </w:tr>
    </w:tbl>
    <w:p>
      <w:pPr>
        <w:spacing w:after="0" w:before="240"/>
      </w:pPr>
    </w:p>
    <w:p>
      <w:r>
        <w:br w:type="page"/>
      </w:r>
    </w:p>
    <w:p>
      <w:pPr>
        <w:pStyle w:val="Heading1"/>
        <w:spacing w:after="120" w:before="320"/>
      </w:pPr>
      <w:r>
        <w:rPr>
          <w:rFonts w:ascii="Arial" w:cs="Arial" w:eastAsia="Arial" w:hAnsi="Arial"/>
          <w:b/>
          <w:bCs/>
          <w:color w:val="152168"/>
          <w:sz w:val="28"/>
          <w:szCs w:val="28"/>
        </w:rPr>
        <w:t xml:space="preserve">1.  Purpose</w:t>
      </w:r>
    </w:p>
    <w:p>
      <w:pPr>
        <w:spacing w:after="80" w:before="80"/>
      </w:pPr>
      <w:r>
        <w:rPr>
          <w:rFonts w:ascii="Arial" w:cs="Arial" w:eastAsia="Arial" w:hAnsi="Arial"/>
          <w:color w:val="1A2340"/>
          <w:sz w:val="22"/>
          <w:szCs w:val="22"/>
        </w:rPr>
        <w:t xml:space="preserve">This policy establishes [ORGANIZATION NAME]'s framework for identifying, responding to, and recovering from information security incidents. It defines responsibilities, response procedures, escalation paths, and communication requirements to minimize harm to the organization, its clients, and partners.</w:t>
      </w:r>
    </w:p>
    <w:p>
      <w:pPr>
        <w:spacing w:after="80" w:before="80"/>
      </w:pPr>
      <w:r>
        <w:rPr>
          <w:rFonts w:ascii="Arial" w:cs="Arial" w:eastAsia="Arial" w:hAnsi="Arial"/>
          <w:color w:val="1A2340"/>
          <w:sz w:val="22"/>
          <w:szCs w:val="22"/>
        </w:rPr>
        <w:t xml:space="preserve">This policy supports the organization's obligations under applicable privacy legislation, payment card standards, and cyber insurance requirements, and aligns with industry-recognized incident response frameworks including NIST SP 800-61 Rev 2 and ISO/IEC 27001:2022.</w:t>
      </w:r>
    </w:p>
    <w:p>
      <w:pPr>
        <w:spacing w:after="80" w:before="80"/>
      </w:pPr>
    </w:p>
    <w:p>
      <w:pPr>
        <w:pStyle w:val="Heading1"/>
        <w:spacing w:after="120" w:before="320"/>
      </w:pPr>
      <w:r>
        <w:rPr>
          <w:rFonts w:ascii="Arial" w:cs="Arial" w:eastAsia="Arial" w:hAnsi="Arial"/>
          <w:b/>
          <w:bCs/>
          <w:color w:val="152168"/>
          <w:sz w:val="28"/>
          <w:szCs w:val="28"/>
        </w:rPr>
        <w:t xml:space="preserve">2.  Scope</w:t>
      </w:r>
    </w:p>
    <w:p>
      <w:pPr>
        <w:spacing w:after="80" w:before="80"/>
      </w:pPr>
      <w:r>
        <w:rPr>
          <w:rFonts w:ascii="Arial" w:cs="Arial" w:eastAsia="Arial" w:hAnsi="Arial"/>
          <w:color w:val="1A2340"/>
          <w:sz w:val="22"/>
          <w:szCs w:val="22"/>
        </w:rPr>
        <w:t xml:space="preserve">This policy applies to:</w:t>
      </w:r>
    </w:p>
    <w:p>
      <w:pPr>
        <w:pStyle w:val="ListParagraph"/>
        <w:numPr>
          <w:ilvl w:val="0"/>
          <w:numId w:val="2"/>
        </w:numPr>
        <w:spacing w:after="40" w:before="40"/>
      </w:pPr>
      <w:r>
        <w:rPr>
          <w:rFonts w:ascii="Arial" w:cs="Arial" w:eastAsia="Arial" w:hAnsi="Arial"/>
          <w:color w:val="1A2340"/>
          <w:sz w:val="22"/>
          <w:szCs w:val="22"/>
        </w:rPr>
        <w:t xml:space="preserve">All cybersecurity incidents affecting organizational systems, data, networks, or operations — regardless of where systems are hosted (on-premises, cloud, or third-party managed)</w:t>
      </w:r>
    </w:p>
    <w:p>
      <w:pPr>
        <w:pStyle w:val="ListParagraph"/>
        <w:numPr>
          <w:ilvl w:val="0"/>
          <w:numId w:val="2"/>
        </w:numPr>
        <w:spacing w:after="40" w:before="40"/>
      </w:pPr>
      <w:r>
        <w:rPr>
          <w:rFonts w:ascii="Arial" w:cs="Arial" w:eastAsia="Arial" w:hAnsi="Arial"/>
          <w:color w:val="1A2340"/>
          <w:sz w:val="22"/>
          <w:szCs w:val="22"/>
        </w:rPr>
        <w:t xml:space="preserve">All personnel including employees, contractors, temporary staff, and third-party vendors with access to organizational systems or data</w:t>
      </w:r>
    </w:p>
    <w:p>
      <w:pPr>
        <w:pStyle w:val="ListParagraph"/>
        <w:numPr>
          <w:ilvl w:val="0"/>
          <w:numId w:val="2"/>
        </w:numPr>
        <w:spacing w:after="40" w:before="40"/>
      </w:pPr>
      <w:r>
        <w:rPr>
          <w:rFonts w:ascii="Arial" w:cs="Arial" w:eastAsia="Arial" w:hAnsi="Arial"/>
          <w:color w:val="1A2340"/>
          <w:sz w:val="22"/>
          <w:szCs w:val="22"/>
        </w:rPr>
        <w:t xml:space="preserve">All incidents involving personal information, payment card data, health data, or other sensitive or regulated information</w:t>
      </w:r>
    </w:p>
    <w:p>
      <w:pPr>
        <w:pStyle w:val="ListParagraph"/>
        <w:numPr>
          <w:ilvl w:val="0"/>
          <w:numId w:val="2"/>
        </w:numPr>
        <w:spacing w:after="40" w:before="40"/>
      </w:pPr>
      <w:r>
        <w:rPr>
          <w:rFonts w:ascii="Arial" w:cs="Arial" w:eastAsia="Arial" w:hAnsi="Arial"/>
          <w:color w:val="1A2340"/>
          <w:sz w:val="22"/>
          <w:szCs w:val="22"/>
        </w:rPr>
        <w:t xml:space="preserve">All systems and services under the organization's operational control, including those managed by Managed Service Providers (MSPs)</w:t>
      </w:r>
    </w:p>
    <w:p>
      <w:pPr>
        <w:spacing w:after="80" w:before="80"/>
      </w:pPr>
    </w:p>
    <w:p>
      <w:pPr>
        <w:pStyle w:val="Heading1"/>
        <w:spacing w:after="120" w:before="320"/>
      </w:pPr>
      <w:r>
        <w:rPr>
          <w:rFonts w:ascii="Arial" w:cs="Arial" w:eastAsia="Arial" w:hAnsi="Arial"/>
          <w:b/>
          <w:bCs/>
          <w:color w:val="152168"/>
          <w:sz w:val="28"/>
          <w:szCs w:val="28"/>
        </w:rPr>
        <w:t xml:space="preserve">3.  Policy Statement</w:t>
      </w:r>
    </w:p>
    <w:p>
      <w:pPr>
        <w:spacing w:after="80" w:before="80"/>
      </w:pPr>
      <w:r>
        <w:rPr>
          <w:rFonts w:ascii="Arial" w:cs="Arial" w:eastAsia="Arial" w:hAnsi="Arial"/>
          <w:color w:val="1A2340"/>
          <w:sz w:val="22"/>
          <w:szCs w:val="22"/>
        </w:rPr>
        <w:t xml:space="preserve">[ORGANIZATION NAME] is committed to managing information security incidents in a manner that protects its people, data, systems, and reputation. The organization's incident response approach is grounded in five core principles: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7B4D9" w:val="clear"/>
            <w:tcMar>
              <w:top w:type="dxa" w:w="100"/>
              <w:left w:type="dxa" w:w="120"/>
              <w:bottom w:type="dxa" w:w="100"/>
              <w:right w:type="dxa" w:w="120"/>
            </w:tcMar>
            <w:vAlign w:val="top"/>
          </w:tcPr>
          <w:p>
            <w:r>
              <w:rPr>
                <w:rFonts w:ascii="Arial" w:cs="Arial" w:eastAsia="Arial" w:hAnsi="Arial"/>
                <w:b/>
                <w:bCs/>
                <w:color w:val="FFFFFF"/>
                <w:sz w:val="22"/>
                <w:szCs w:val="22"/>
              </w:rPr>
              <w:t xml:space="preserve">1.</w:t>
            </w:r>
          </w:p>
        </w:tc>
        <w:tc>
          <w:tcPr>
            <w:tcW w:type="dxa" w:w="8860"/>
            <w:tcBorders>
              <w:top w:val="none" w:color="FFFFFF" w:sz="0"/>
              <w:left w:val="none" w:color="FFFFFF" w:sz="0"/>
              <w:bottom w:val="single" w:color="DDE3EF" w:sz="2"/>
              <w:right w:val="none" w:color="FFFFFF" w:sz="0"/>
            </w:tcBorders>
            <w:shd w:fill="FFFFFF" w:val="clear"/>
            <w:tcMar>
              <w:top w:type="dxa" w:w="100"/>
              <w:left w:type="dxa" w:w="160"/>
              <w:bottom w:type="dxa" w:w="100"/>
              <w:right w:type="dxa" w:w="120"/>
            </w:tcMar>
            <w:vAlign w:val="top"/>
          </w:tcPr>
          <w:p>
            <w:r>
              <w:rPr>
                <w:rFonts w:ascii="Arial" w:cs="Arial" w:eastAsia="Arial" w:hAnsi="Arial"/>
                <w:b/>
                <w:bCs/>
                <w:color w:val="152168"/>
                <w:sz w:val="22"/>
                <w:szCs w:val="22"/>
              </w:rPr>
              <w:t xml:space="preserve">Prompt Detection: </w:t>
            </w:r>
            <w:r>
              <w:rPr>
                <w:rFonts w:ascii="Arial" w:cs="Arial" w:eastAsia="Arial" w:hAnsi="Arial"/>
                <w:color w:val="1A2340"/>
                <w:sz w:val="22"/>
                <w:szCs w:val="22"/>
              </w:rPr>
              <w:t xml:space="preserve">Security incidents will be identified as quickly as possible through proactive monitoring, staff awareness, and effective use of security tooling.</w:t>
            </w:r>
          </w:p>
        </w:tc>
      </w:tr>
      <w:tr>
        <w:tc>
          <w:tcPr>
            <w:tcW w:type="dxa" w:w="500"/>
            <w:tcBorders>
              <w:top w:val="none" w:color="FFFFFF" w:sz="0"/>
              <w:left w:val="none" w:color="FFFFFF" w:sz="0"/>
              <w:bottom w:val="none" w:color="FFFFFF" w:sz="0"/>
              <w:right w:val="none" w:color="FFFFFF" w:sz="0"/>
            </w:tcBorders>
            <w:shd w:fill="07B4D9" w:val="clear"/>
            <w:tcMar>
              <w:top w:type="dxa" w:w="100"/>
              <w:left w:type="dxa" w:w="120"/>
              <w:bottom w:type="dxa" w:w="100"/>
              <w:right w:type="dxa" w:w="120"/>
            </w:tcMar>
            <w:vAlign w:val="top"/>
          </w:tcPr>
          <w:p>
            <w:r>
              <w:rPr>
                <w:rFonts w:ascii="Arial" w:cs="Arial" w:eastAsia="Arial" w:hAnsi="Arial"/>
                <w:b/>
                <w:bCs/>
                <w:color w:val="FFFFFF"/>
                <w:sz w:val="22"/>
                <w:szCs w:val="22"/>
              </w:rPr>
              <w:t xml:space="preserve">2.</w:t>
            </w:r>
          </w:p>
        </w:tc>
        <w:tc>
          <w:tcPr>
            <w:tcW w:type="dxa" w:w="8860"/>
            <w:tcBorders>
              <w:top w:val="none" w:color="FFFFFF" w:sz="0"/>
              <w:left w:val="none" w:color="FFFFFF" w:sz="0"/>
              <w:bottom w:val="single" w:color="DDE3EF" w:sz="2"/>
              <w:right w:val="none" w:color="FFFFFF" w:sz="0"/>
            </w:tcBorders>
            <w:shd w:fill="EBF0FA" w:val="clear"/>
            <w:tcMar>
              <w:top w:type="dxa" w:w="100"/>
              <w:left w:type="dxa" w:w="160"/>
              <w:bottom w:type="dxa" w:w="100"/>
              <w:right w:type="dxa" w:w="120"/>
            </w:tcMar>
            <w:vAlign w:val="top"/>
          </w:tcPr>
          <w:p>
            <w:r>
              <w:rPr>
                <w:rFonts w:ascii="Arial" w:cs="Arial" w:eastAsia="Arial" w:hAnsi="Arial"/>
                <w:b/>
                <w:bCs/>
                <w:color w:val="152168"/>
                <w:sz w:val="22"/>
                <w:szCs w:val="22"/>
              </w:rPr>
              <w:t xml:space="preserve">Structured Response: </w:t>
            </w:r>
            <w:r>
              <w:rPr>
                <w:rFonts w:ascii="Arial" w:cs="Arial" w:eastAsia="Arial" w:hAnsi="Arial"/>
                <w:color w:val="1A2340"/>
                <w:sz w:val="22"/>
                <w:szCs w:val="22"/>
              </w:rPr>
              <w:t xml:space="preserve">All incidents will be responded to using a consistent, documented process aligned with NIST SP 800-61 phases: Preparation, Detection and Analysis, Containment, Eradication, Recovery, and Post-Incident Activity.</w:t>
            </w:r>
          </w:p>
        </w:tc>
      </w:tr>
      <w:tr>
        <w:tc>
          <w:tcPr>
            <w:tcW w:type="dxa" w:w="500"/>
            <w:tcBorders>
              <w:top w:val="none" w:color="FFFFFF" w:sz="0"/>
              <w:left w:val="none" w:color="FFFFFF" w:sz="0"/>
              <w:bottom w:val="none" w:color="FFFFFF" w:sz="0"/>
              <w:right w:val="none" w:color="FFFFFF" w:sz="0"/>
            </w:tcBorders>
            <w:shd w:fill="07B4D9" w:val="clear"/>
            <w:tcMar>
              <w:top w:type="dxa" w:w="100"/>
              <w:left w:type="dxa" w:w="120"/>
              <w:bottom w:type="dxa" w:w="100"/>
              <w:right w:type="dxa" w:w="120"/>
            </w:tcMar>
            <w:vAlign w:val="top"/>
          </w:tcPr>
          <w:p>
            <w:r>
              <w:rPr>
                <w:rFonts w:ascii="Arial" w:cs="Arial" w:eastAsia="Arial" w:hAnsi="Arial"/>
                <w:b/>
                <w:bCs/>
                <w:color w:val="FFFFFF"/>
                <w:sz w:val="22"/>
                <w:szCs w:val="22"/>
              </w:rPr>
              <w:t xml:space="preserve">3.</w:t>
            </w:r>
          </w:p>
        </w:tc>
        <w:tc>
          <w:tcPr>
            <w:tcW w:type="dxa" w:w="8860"/>
            <w:tcBorders>
              <w:top w:val="none" w:color="FFFFFF" w:sz="0"/>
              <w:left w:val="none" w:color="FFFFFF" w:sz="0"/>
              <w:bottom w:val="single" w:color="DDE3EF" w:sz="2"/>
              <w:right w:val="none" w:color="FFFFFF" w:sz="0"/>
            </w:tcBorders>
            <w:shd w:fill="FFFFFF" w:val="clear"/>
            <w:tcMar>
              <w:top w:type="dxa" w:w="100"/>
              <w:left w:type="dxa" w:w="160"/>
              <w:bottom w:type="dxa" w:w="100"/>
              <w:right w:type="dxa" w:w="120"/>
            </w:tcMar>
            <w:vAlign w:val="top"/>
          </w:tcPr>
          <w:p>
            <w:r>
              <w:rPr>
                <w:rFonts w:ascii="Arial" w:cs="Arial" w:eastAsia="Arial" w:hAnsi="Arial"/>
                <w:b/>
                <w:bCs/>
                <w:color w:val="152168"/>
                <w:sz w:val="22"/>
                <w:szCs w:val="22"/>
              </w:rPr>
              <w:t xml:space="preserve">Evidence Integrity: </w:t>
            </w:r>
            <w:r>
              <w:rPr>
                <w:rFonts w:ascii="Arial" w:cs="Arial" w:eastAsia="Arial" w:hAnsi="Arial"/>
                <w:color w:val="1A2340"/>
                <w:sz w:val="22"/>
                <w:szCs w:val="22"/>
              </w:rPr>
              <w:t xml:space="preserve">Digital evidence will be preserved with chain of custody documentation to support forensic investigation, insurance claims, and potential legal proceedings.</w:t>
            </w:r>
          </w:p>
        </w:tc>
      </w:tr>
      <w:tr>
        <w:tc>
          <w:tcPr>
            <w:tcW w:type="dxa" w:w="500"/>
            <w:tcBorders>
              <w:top w:val="none" w:color="FFFFFF" w:sz="0"/>
              <w:left w:val="none" w:color="FFFFFF" w:sz="0"/>
              <w:bottom w:val="none" w:color="FFFFFF" w:sz="0"/>
              <w:right w:val="none" w:color="FFFFFF" w:sz="0"/>
            </w:tcBorders>
            <w:shd w:fill="07B4D9" w:val="clear"/>
            <w:tcMar>
              <w:top w:type="dxa" w:w="100"/>
              <w:left w:type="dxa" w:w="120"/>
              <w:bottom w:type="dxa" w:w="100"/>
              <w:right w:type="dxa" w:w="120"/>
            </w:tcMar>
            <w:vAlign w:val="top"/>
          </w:tcPr>
          <w:p>
            <w:r>
              <w:rPr>
                <w:rFonts w:ascii="Arial" w:cs="Arial" w:eastAsia="Arial" w:hAnsi="Arial"/>
                <w:b/>
                <w:bCs/>
                <w:color w:val="FFFFFF"/>
                <w:sz w:val="22"/>
                <w:szCs w:val="22"/>
              </w:rPr>
              <w:t xml:space="preserve">4.</w:t>
            </w:r>
          </w:p>
        </w:tc>
        <w:tc>
          <w:tcPr>
            <w:tcW w:type="dxa" w:w="8860"/>
            <w:tcBorders>
              <w:top w:val="none" w:color="FFFFFF" w:sz="0"/>
              <w:left w:val="none" w:color="FFFFFF" w:sz="0"/>
              <w:bottom w:val="single" w:color="DDE3EF" w:sz="2"/>
              <w:right w:val="none" w:color="FFFFFF" w:sz="0"/>
            </w:tcBorders>
            <w:shd w:fill="EBF0FA" w:val="clear"/>
            <w:tcMar>
              <w:top w:type="dxa" w:w="100"/>
              <w:left w:type="dxa" w:w="160"/>
              <w:bottom w:type="dxa" w:w="100"/>
              <w:right w:type="dxa" w:w="120"/>
            </w:tcMar>
            <w:vAlign w:val="top"/>
          </w:tcPr>
          <w:p>
            <w:r>
              <w:rPr>
                <w:rFonts w:ascii="Arial" w:cs="Arial" w:eastAsia="Arial" w:hAnsi="Arial"/>
                <w:b/>
                <w:bCs/>
                <w:color w:val="152168"/>
                <w:sz w:val="22"/>
                <w:szCs w:val="22"/>
              </w:rPr>
              <w:t xml:space="preserve">Stakeholder Communication: </w:t>
            </w:r>
            <w:r>
              <w:rPr>
                <w:rFonts w:ascii="Arial" w:cs="Arial" w:eastAsia="Arial" w:hAnsi="Arial"/>
                <w:color w:val="1A2340"/>
                <w:sz w:val="22"/>
                <w:szCs w:val="22"/>
              </w:rPr>
              <w:t xml:space="preserve">Affected parties — including employees, clients, regulators, and insurers — will be notified promptly and accurately, in compliance with legal obligations and contractual requirements.</w:t>
            </w:r>
          </w:p>
        </w:tc>
      </w:tr>
      <w:tr>
        <w:tc>
          <w:tcPr>
            <w:tcW w:type="dxa" w:w="500"/>
            <w:tcBorders>
              <w:top w:val="none" w:color="FFFFFF" w:sz="0"/>
              <w:left w:val="none" w:color="FFFFFF" w:sz="0"/>
              <w:bottom w:val="none" w:color="FFFFFF" w:sz="0"/>
              <w:right w:val="none" w:color="FFFFFF" w:sz="0"/>
            </w:tcBorders>
            <w:shd w:fill="07B4D9" w:val="clear"/>
            <w:tcMar>
              <w:top w:type="dxa" w:w="100"/>
              <w:left w:type="dxa" w:w="120"/>
              <w:bottom w:type="dxa" w:w="100"/>
              <w:right w:type="dxa" w:w="120"/>
            </w:tcMar>
            <w:vAlign w:val="top"/>
          </w:tcPr>
          <w:p>
            <w:r>
              <w:rPr>
                <w:rFonts w:ascii="Arial" w:cs="Arial" w:eastAsia="Arial" w:hAnsi="Arial"/>
                <w:b/>
                <w:bCs/>
                <w:color w:val="FFFFFF"/>
                <w:sz w:val="22"/>
                <w:szCs w:val="22"/>
              </w:rPr>
              <w:t xml:space="preserve">5.</w:t>
            </w:r>
          </w:p>
        </w:tc>
        <w:tc>
          <w:tcPr>
            <w:tcW w:type="dxa" w:w="8860"/>
            <w:tcBorders>
              <w:top w:val="none" w:color="FFFFFF" w:sz="0"/>
              <w:left w:val="none" w:color="FFFFFF" w:sz="0"/>
              <w:bottom w:val="single" w:color="DDE3EF" w:sz="2"/>
              <w:right w:val="none" w:color="FFFFFF" w:sz="0"/>
            </w:tcBorders>
            <w:shd w:fill="FFFFFF" w:val="clear"/>
            <w:tcMar>
              <w:top w:type="dxa" w:w="100"/>
              <w:left w:type="dxa" w:w="160"/>
              <w:bottom w:type="dxa" w:w="100"/>
              <w:right w:type="dxa" w:w="120"/>
            </w:tcMar>
            <w:vAlign w:val="top"/>
          </w:tcPr>
          <w:p>
            <w:r>
              <w:rPr>
                <w:rFonts w:ascii="Arial" w:cs="Arial" w:eastAsia="Arial" w:hAnsi="Arial"/>
                <w:b/>
                <w:bCs/>
                <w:color w:val="152168"/>
                <w:sz w:val="22"/>
                <w:szCs w:val="22"/>
              </w:rPr>
              <w:t xml:space="preserve">Continual Learning: </w:t>
            </w:r>
            <w:r>
              <w:rPr>
                <w:rFonts w:ascii="Arial" w:cs="Arial" w:eastAsia="Arial" w:hAnsi="Arial"/>
                <w:color w:val="1A2340"/>
                <w:sz w:val="22"/>
                <w:szCs w:val="22"/>
              </w:rPr>
              <w:t xml:space="preserve">Every significant incident will result in a documented Post-Incident Review (PIR) to identify root causes, improve controls, and reduce the likelihood and impact of future incidents.</w:t>
            </w:r>
          </w:p>
        </w:tc>
      </w:tr>
    </w:tbl>
    <w:p>
      <w:pPr>
        <w:spacing w:after="80" w:before="160"/>
      </w:pPr>
    </w:p>
    <w:p>
      <w:pPr>
        <w:pStyle w:val="Heading1"/>
        <w:spacing w:after="120" w:before="320"/>
      </w:pPr>
      <w:r>
        <w:rPr>
          <w:rFonts w:ascii="Arial" w:cs="Arial" w:eastAsia="Arial" w:hAnsi="Arial"/>
          <w:b/>
          <w:bCs/>
          <w:color w:val="152168"/>
          <w:sz w:val="28"/>
          <w:szCs w:val="28"/>
        </w:rPr>
        <w:t xml:space="preserve">4.  Definitions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Security Event</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Any observable occurrence in a system or network. Not all security events are incidents.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Security Incident</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 security event (or series of events) that has or may adversely affect the confidentiality, integrity, or availability of organizational information or systems.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Data Breach</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An incident resulting in unauthorized access to, disclosure of, or loss of personal or sensitive data.</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Incident Severity (P1-P4)</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 four-tier classification system used to prioritize response based on impact, urgency, and potential regulatory exposure. See Section 6.1.</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Incident Commander (IC)</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The individual with overall authority and accountability for the incident response effort. Typically the CISO or vCISO.</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Incident Response Team (IRT)</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The cross-functional team activated during an incident, including IT/Security, Legal, HR, Communications, and Executive Sponsor as required.</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Evidence</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Logs, files, images, emails, or other artifacts collected during incident response that may be used to investigate the incident or support legal proceedings.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Chain of Custody</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 documented record of who collected, handled, transferred, or analyzed evidence, and when.</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Containment</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Actions taken to limit the spread or further impact of an incident without necessarily eliminating its root cause.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Eradication</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The removal of the root cause of the incident from the environment, including malware removal, closing attack vectors, and resetting compromised credentials.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Recovery</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Restoration of affected systems and services to normal operation following eradication, with verification that they are clean and functioning.</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Post-Incident Review (PIR)</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 structured review conducted after an incident is resolved to assess response effectiveness, identify root cause, and capture lessons learned.</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Lessons Learned</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Documented findings from a PIR that inform improvements to security controls, policies, procedures, and training.</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Regulatory Notification</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 formal notification to a regulatory authority, privacy commissioner, or affected individuals as required by applicable law following a qualifying incident.</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Personal Data Breach</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 breach of security leading to the accidental or unlawful destruction, loss, alteration, unauthorized disclosure of, or access to, personal data.</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Indicators of Compromise (IoC)</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Technical artifacts — such as IP addresses, domain names, file hashes, or behavioral patterns — that indicate a system has been compromised.</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Forensic Preservation</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The process of capturing a complete and accurate copy of digital evidence in a manner that preserves its integrity for investigation or legal use.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2"/>
                <w:szCs w:val="22"/>
              </w:rPr>
              <w:t xml:space="preserve">After Action Report (AAR)</w:t>
            </w:r>
          </w:p>
        </w:tc>
        <w:tc>
          <w:tcPr>
            <w:tcW w:type="dxa" w:w="6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2"/>
                <w:szCs w:val="22"/>
              </w:rPr>
              <w:t xml:space="preserve">A formal report produced following the PIR summarizing the incident, response, root cause, and corrective actions. May be shared with the board, insurer, or regulators.</w:t>
            </w:r>
          </w:p>
        </w:tc>
      </w:tr>
    </w:tbl>
    <w:p>
      <w:pPr>
        <w:spacing w:after="80" w:before="160"/>
      </w:pPr>
    </w:p>
    <w:p>
      <w:pPr>
        <w:pStyle w:val="Heading1"/>
        <w:spacing w:after="120" w:before="320"/>
      </w:pPr>
      <w:r>
        <w:rPr>
          <w:rFonts w:ascii="Arial" w:cs="Arial" w:eastAsia="Arial" w:hAnsi="Arial"/>
          <w:b/>
          <w:bCs/>
          <w:color w:val="152168"/>
          <w:sz w:val="28"/>
          <w:szCs w:val="28"/>
        </w:rPr>
        <w:t xml:space="preserve">5.  Roles and Responsibilities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none" w:color="FFFFFF" w:sz="0"/>
              <w:right w:val="single" w:color="DDE3EF" w:sz="2"/>
            </w:tcBorders>
            <w:shd w:fill="EBF0FA" w:val="clear"/>
            <w:tcMar>
              <w:top w:type="dxa" w:w="80"/>
              <w:left w:type="dxa" w:w="160"/>
              <w:bottom w:type="dxa" w:w="80"/>
              <w:right w:type="dxa" w:w="120"/>
            </w:tcMar>
          </w:tcPr>
          <w:p>
            <w:r>
              <w:rPr>
                <w:rFonts w:ascii="Arial" w:cs="Arial" w:eastAsia="Arial" w:hAnsi="Arial"/>
                <w:b/>
                <w:bCs/>
                <w:color w:val="152168"/>
                <w:sz w:val="22"/>
                <w:szCs w:val="22"/>
              </w:rPr>
              <w:t xml:space="preserve">Incident Commander (CISO / vCISO or delegate)</w:t>
            </w:r>
          </w:p>
        </w:tc>
      </w:tr>
      <w:tr>
        <w:tc>
          <w:tcPr>
            <w:tcW w:type="dxa" w:w="9360"/>
            <w:tcBorders>
              <w:top w:val="none" w:color="FFFFFF" w:sz="0"/>
              <w:left w:val="single" w:color="07B4D9"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Declares incidents and activates the IRT</w:t>
            </w:r>
          </w:p>
          <w:p>
            <w:pPr>
              <w:pStyle w:val="ListParagraph"/>
              <w:numPr>
                <w:ilvl w:val="0"/>
                <w:numId w:val="2"/>
              </w:numPr>
              <w:spacing w:after="40" w:before="40"/>
            </w:pPr>
            <w:r>
              <w:rPr>
                <w:rFonts w:ascii="Arial" w:cs="Arial" w:eastAsia="Arial" w:hAnsi="Arial"/>
                <w:color w:val="1A2340"/>
                <w:sz w:val="22"/>
                <w:szCs w:val="22"/>
              </w:rPr>
              <w:t xml:space="preserve">Holds overall authority and accountability for incident response</w:t>
            </w:r>
          </w:p>
          <w:p>
            <w:pPr>
              <w:pStyle w:val="ListParagraph"/>
              <w:numPr>
                <w:ilvl w:val="0"/>
                <w:numId w:val="2"/>
              </w:numPr>
              <w:spacing w:after="40" w:before="40"/>
            </w:pPr>
            <w:r>
              <w:rPr>
                <w:rFonts w:ascii="Arial" w:cs="Arial" w:eastAsia="Arial" w:hAnsi="Arial"/>
                <w:color w:val="1A2340"/>
                <w:sz w:val="22"/>
                <w:szCs w:val="22"/>
              </w:rPr>
              <w:t xml:space="preserve">Makes key decisions including containment strategy, regulatory notification, and insurer engagement</w:t>
            </w:r>
          </w:p>
          <w:p>
            <w:pPr>
              <w:pStyle w:val="ListParagraph"/>
              <w:numPr>
                <w:ilvl w:val="0"/>
                <w:numId w:val="2"/>
              </w:numPr>
              <w:spacing w:after="40" w:before="40"/>
            </w:pPr>
            <w:r>
              <w:rPr>
                <w:rFonts w:ascii="Arial" w:cs="Arial" w:eastAsia="Arial" w:hAnsi="Arial"/>
                <w:color w:val="1A2340"/>
                <w:sz w:val="22"/>
                <w:szCs w:val="22"/>
              </w:rPr>
              <w:t xml:space="preserve">Chairs the Post-Incident Review</w:t>
            </w:r>
          </w:p>
          <w:p>
            <w:pPr>
              <w:pStyle w:val="ListParagraph"/>
              <w:numPr>
                <w:ilvl w:val="0"/>
                <w:numId w:val="2"/>
              </w:numPr>
              <w:spacing w:after="40" w:before="40"/>
            </w:pPr>
            <w:r>
              <w:rPr>
                <w:rFonts w:ascii="Arial" w:cs="Arial" w:eastAsia="Arial" w:hAnsi="Arial"/>
                <w:color w:val="1A2340"/>
                <w:sz w:val="22"/>
                <w:szCs w:val="22"/>
              </w:rPr>
              <w:t xml:space="preserve">Reports to the Executive Sponsor on P1/P2 incidents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none" w:color="FFFFFF" w:sz="0"/>
              <w:right w:val="single" w:color="DDE3EF" w:sz="2"/>
            </w:tcBorders>
            <w:shd w:fill="EBF0FA" w:val="clear"/>
            <w:tcMar>
              <w:top w:type="dxa" w:w="80"/>
              <w:left w:type="dxa" w:w="160"/>
              <w:bottom w:type="dxa" w:w="80"/>
              <w:right w:type="dxa" w:w="120"/>
            </w:tcMar>
          </w:tcPr>
          <w:p>
            <w:r>
              <w:rPr>
                <w:rFonts w:ascii="Arial" w:cs="Arial" w:eastAsia="Arial" w:hAnsi="Arial"/>
                <w:b/>
                <w:bCs/>
                <w:color w:val="152168"/>
                <w:sz w:val="22"/>
                <w:szCs w:val="22"/>
              </w:rPr>
              <w:t xml:space="preserve">IT / Security Lead</w:t>
            </w:r>
          </w:p>
        </w:tc>
      </w:tr>
      <w:tr>
        <w:tc>
          <w:tcPr>
            <w:tcW w:type="dxa" w:w="9360"/>
            <w:tcBorders>
              <w:top w:val="none" w:color="FFFFFF" w:sz="0"/>
              <w:left w:val="single" w:color="07B4D9"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Leads technical investigation, forensic evidence collection, and analysis</w:t>
            </w:r>
          </w:p>
          <w:p>
            <w:pPr>
              <w:pStyle w:val="ListParagraph"/>
              <w:numPr>
                <w:ilvl w:val="0"/>
                <w:numId w:val="2"/>
              </w:numPr>
              <w:spacing w:after="40" w:before="40"/>
            </w:pPr>
            <w:r>
              <w:rPr>
                <w:rFonts w:ascii="Arial" w:cs="Arial" w:eastAsia="Arial" w:hAnsi="Arial"/>
                <w:color w:val="1A2340"/>
                <w:sz w:val="22"/>
                <w:szCs w:val="22"/>
              </w:rPr>
              <w:t xml:space="preserve">Implements containment and eradication measures</w:t>
            </w:r>
          </w:p>
          <w:p>
            <w:pPr>
              <w:pStyle w:val="ListParagraph"/>
              <w:numPr>
                <w:ilvl w:val="0"/>
                <w:numId w:val="2"/>
              </w:numPr>
              <w:spacing w:after="40" w:before="40"/>
            </w:pPr>
            <w:r>
              <w:rPr>
                <w:rFonts w:ascii="Arial" w:cs="Arial" w:eastAsia="Arial" w:hAnsi="Arial"/>
                <w:color w:val="1A2340"/>
                <w:sz w:val="22"/>
                <w:szCs w:val="22"/>
              </w:rPr>
              <w:t xml:space="preserve">Coordinates recovery and verification of system integrity</w:t>
            </w:r>
          </w:p>
          <w:p>
            <w:pPr>
              <w:pStyle w:val="ListParagraph"/>
              <w:numPr>
                <w:ilvl w:val="0"/>
                <w:numId w:val="2"/>
              </w:numPr>
              <w:spacing w:after="40" w:before="40"/>
            </w:pPr>
            <w:r>
              <w:rPr>
                <w:rFonts w:ascii="Arial" w:cs="Arial" w:eastAsia="Arial" w:hAnsi="Arial"/>
                <w:color w:val="1A2340"/>
                <w:sz w:val="22"/>
                <w:szCs w:val="22"/>
              </w:rPr>
              <w:t xml:space="preserve">Maintains the incident log and technical timeline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none" w:color="FFFFFF" w:sz="0"/>
              <w:right w:val="single" w:color="DDE3EF" w:sz="2"/>
            </w:tcBorders>
            <w:shd w:fill="EBF0FA" w:val="clear"/>
            <w:tcMar>
              <w:top w:type="dxa" w:w="80"/>
              <w:left w:type="dxa" w:w="160"/>
              <w:bottom w:type="dxa" w:w="80"/>
              <w:right w:type="dxa" w:w="120"/>
            </w:tcMar>
          </w:tcPr>
          <w:p>
            <w:r>
              <w:rPr>
                <w:rFonts w:ascii="Arial" w:cs="Arial" w:eastAsia="Arial" w:hAnsi="Arial"/>
                <w:b/>
                <w:bCs/>
                <w:color w:val="152168"/>
                <w:sz w:val="22"/>
                <w:szCs w:val="22"/>
              </w:rPr>
              <w:t xml:space="preserve">Legal / Compliance</w:t>
            </w:r>
          </w:p>
        </w:tc>
      </w:tr>
      <w:tr>
        <w:tc>
          <w:tcPr>
            <w:tcW w:type="dxa" w:w="9360"/>
            <w:tcBorders>
              <w:top w:val="none" w:color="FFFFFF" w:sz="0"/>
              <w:left w:val="single" w:color="07B4D9"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Advises on regulatory notification obligations (PIPEDA, GDPR, PCI DSS, etc.)</w:t>
            </w:r>
          </w:p>
          <w:p>
            <w:pPr>
              <w:pStyle w:val="ListParagraph"/>
              <w:numPr>
                <w:ilvl w:val="0"/>
                <w:numId w:val="2"/>
              </w:numPr>
              <w:spacing w:after="40" w:before="40"/>
            </w:pPr>
            <w:r>
              <w:rPr>
                <w:rFonts w:ascii="Arial" w:cs="Arial" w:eastAsia="Arial" w:hAnsi="Arial"/>
                <w:color w:val="1A2340"/>
                <w:sz w:val="22"/>
                <w:szCs w:val="22"/>
              </w:rPr>
              <w:t xml:space="preserve">Manages legal hold requirements and evidence preservation for potential litigation</w:t>
            </w:r>
          </w:p>
          <w:p>
            <w:pPr>
              <w:pStyle w:val="ListParagraph"/>
              <w:numPr>
                <w:ilvl w:val="0"/>
                <w:numId w:val="2"/>
              </w:numPr>
              <w:spacing w:after="40" w:before="40"/>
            </w:pPr>
            <w:r>
              <w:rPr>
                <w:rFonts w:ascii="Arial" w:cs="Arial" w:eastAsia="Arial" w:hAnsi="Arial"/>
                <w:color w:val="1A2340"/>
                <w:sz w:val="22"/>
                <w:szCs w:val="22"/>
              </w:rPr>
              <w:t xml:space="preserve">Reviews external communications for legal risk</w:t>
            </w:r>
          </w:p>
          <w:p>
            <w:pPr>
              <w:pStyle w:val="ListParagraph"/>
              <w:numPr>
                <w:ilvl w:val="0"/>
                <w:numId w:val="2"/>
              </w:numPr>
              <w:spacing w:after="40" w:before="40"/>
            </w:pPr>
            <w:r>
              <w:rPr>
                <w:rFonts w:ascii="Arial" w:cs="Arial" w:eastAsia="Arial" w:hAnsi="Arial"/>
                <w:color w:val="1A2340"/>
                <w:sz w:val="22"/>
                <w:szCs w:val="22"/>
              </w:rPr>
              <w:t xml:space="preserve">Engages law enforcement if required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none" w:color="FFFFFF" w:sz="0"/>
              <w:right w:val="single" w:color="DDE3EF" w:sz="2"/>
            </w:tcBorders>
            <w:shd w:fill="EBF0FA" w:val="clear"/>
            <w:tcMar>
              <w:top w:type="dxa" w:w="80"/>
              <w:left w:type="dxa" w:w="160"/>
              <w:bottom w:type="dxa" w:w="80"/>
              <w:right w:type="dxa" w:w="120"/>
            </w:tcMar>
          </w:tcPr>
          <w:p>
            <w:r>
              <w:rPr>
                <w:rFonts w:ascii="Arial" w:cs="Arial" w:eastAsia="Arial" w:hAnsi="Arial"/>
                <w:b/>
                <w:bCs/>
                <w:color w:val="152168"/>
                <w:sz w:val="22"/>
                <w:szCs w:val="22"/>
              </w:rPr>
              <w:t xml:space="preserve">HR</w:t>
            </w:r>
          </w:p>
        </w:tc>
      </w:tr>
      <w:tr>
        <w:tc>
          <w:tcPr>
            <w:tcW w:type="dxa" w:w="9360"/>
            <w:tcBorders>
              <w:top w:val="none" w:color="FFFFFF" w:sz="0"/>
              <w:left w:val="single" w:color="07B4D9"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Manages response to incidents involving employee conduct or insider threat</w:t>
            </w:r>
          </w:p>
          <w:p>
            <w:pPr>
              <w:pStyle w:val="ListParagraph"/>
              <w:numPr>
                <w:ilvl w:val="0"/>
                <w:numId w:val="2"/>
              </w:numPr>
              <w:spacing w:after="40" w:before="40"/>
            </w:pPr>
            <w:r>
              <w:rPr>
                <w:rFonts w:ascii="Arial" w:cs="Arial" w:eastAsia="Arial" w:hAnsi="Arial"/>
                <w:color w:val="1A2340"/>
                <w:sz w:val="22"/>
                <w:szCs w:val="22"/>
              </w:rPr>
              <w:t xml:space="preserve">Coordinates disciplinary action where applicable</w:t>
            </w:r>
          </w:p>
          <w:p>
            <w:pPr>
              <w:pStyle w:val="ListParagraph"/>
              <w:numPr>
                <w:ilvl w:val="0"/>
                <w:numId w:val="2"/>
              </w:numPr>
              <w:spacing w:after="40" w:before="40"/>
            </w:pPr>
            <w:r>
              <w:rPr>
                <w:rFonts w:ascii="Arial" w:cs="Arial" w:eastAsia="Arial" w:hAnsi="Arial"/>
                <w:color w:val="1A2340"/>
                <w:sz w:val="22"/>
                <w:szCs w:val="22"/>
              </w:rPr>
              <w:t xml:space="preserve">Supports staff communication and welfare during incidents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none" w:color="FFFFFF" w:sz="0"/>
              <w:right w:val="single" w:color="DDE3EF" w:sz="2"/>
            </w:tcBorders>
            <w:shd w:fill="EBF0FA" w:val="clear"/>
            <w:tcMar>
              <w:top w:type="dxa" w:w="80"/>
              <w:left w:type="dxa" w:w="160"/>
              <w:bottom w:type="dxa" w:w="80"/>
              <w:right w:type="dxa" w:w="120"/>
            </w:tcMar>
          </w:tcPr>
          <w:p>
            <w:r>
              <w:rPr>
                <w:rFonts w:ascii="Arial" w:cs="Arial" w:eastAsia="Arial" w:hAnsi="Arial"/>
                <w:b/>
                <w:bCs/>
                <w:color w:val="152168"/>
                <w:sz w:val="22"/>
                <w:szCs w:val="22"/>
              </w:rPr>
              <w:t xml:space="preserve">Communications Lead</w:t>
            </w:r>
          </w:p>
        </w:tc>
      </w:tr>
      <w:tr>
        <w:tc>
          <w:tcPr>
            <w:tcW w:type="dxa" w:w="9360"/>
            <w:tcBorders>
              <w:top w:val="none" w:color="FFFFFF" w:sz="0"/>
              <w:left w:val="single" w:color="07B4D9"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Drafts and coordinates all internal and external communications</w:t>
            </w:r>
          </w:p>
          <w:p>
            <w:pPr>
              <w:pStyle w:val="ListParagraph"/>
              <w:numPr>
                <w:ilvl w:val="0"/>
                <w:numId w:val="2"/>
              </w:numPr>
              <w:spacing w:after="40" w:before="40"/>
            </w:pPr>
            <w:r>
              <w:rPr>
                <w:rFonts w:ascii="Arial" w:cs="Arial" w:eastAsia="Arial" w:hAnsi="Arial"/>
                <w:color w:val="1A2340"/>
                <w:sz w:val="22"/>
                <w:szCs w:val="22"/>
              </w:rPr>
              <w:t xml:space="preserve">Manages media inquiries (in coordination with legal)</w:t>
            </w:r>
          </w:p>
          <w:p>
            <w:pPr>
              <w:pStyle w:val="ListParagraph"/>
              <w:numPr>
                <w:ilvl w:val="0"/>
                <w:numId w:val="2"/>
              </w:numPr>
              <w:spacing w:after="40" w:before="40"/>
            </w:pPr>
            <w:r>
              <w:rPr>
                <w:rFonts w:ascii="Arial" w:cs="Arial" w:eastAsia="Arial" w:hAnsi="Arial"/>
                <w:color w:val="1A2340"/>
                <w:sz w:val="22"/>
                <w:szCs w:val="22"/>
              </w:rPr>
              <w:t xml:space="preserve">Prepares client and partner notifications as required</w:t>
            </w:r>
          </w:p>
          <w:p>
            <w:pPr>
              <w:pStyle w:val="ListParagraph"/>
              <w:numPr>
                <w:ilvl w:val="0"/>
                <w:numId w:val="2"/>
              </w:numPr>
              <w:spacing w:after="40" w:before="40"/>
            </w:pPr>
            <w:r>
              <w:rPr>
                <w:rFonts w:ascii="Arial" w:cs="Arial" w:eastAsia="Arial" w:hAnsi="Arial"/>
                <w:color w:val="1A2340"/>
                <w:sz w:val="22"/>
                <w:szCs w:val="22"/>
              </w:rPr>
              <w:t xml:space="preserve">Ensures unauthorized disclosures do not occur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none" w:color="FFFFFF" w:sz="0"/>
              <w:right w:val="single" w:color="DDE3EF" w:sz="2"/>
            </w:tcBorders>
            <w:shd w:fill="EBF0FA" w:val="clear"/>
            <w:tcMar>
              <w:top w:type="dxa" w:w="80"/>
              <w:left w:type="dxa" w:w="160"/>
              <w:bottom w:type="dxa" w:w="80"/>
              <w:right w:type="dxa" w:w="120"/>
            </w:tcMar>
          </w:tcPr>
          <w:p>
            <w:r>
              <w:rPr>
                <w:rFonts w:ascii="Arial" w:cs="Arial" w:eastAsia="Arial" w:hAnsi="Arial"/>
                <w:b/>
                <w:bCs/>
                <w:color w:val="152168"/>
                <w:sz w:val="22"/>
                <w:szCs w:val="22"/>
              </w:rPr>
              <w:t xml:space="preserve">Executive Sponsor</w:t>
            </w:r>
          </w:p>
        </w:tc>
      </w:tr>
      <w:tr>
        <w:tc>
          <w:tcPr>
            <w:tcW w:type="dxa" w:w="9360"/>
            <w:tcBorders>
              <w:top w:val="none" w:color="FFFFFF" w:sz="0"/>
              <w:left w:val="single" w:color="07B4D9"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P1 and P2 escalation point — receives briefings and approves major decisions</w:t>
            </w:r>
          </w:p>
          <w:p>
            <w:pPr>
              <w:pStyle w:val="ListParagraph"/>
              <w:numPr>
                <w:ilvl w:val="0"/>
                <w:numId w:val="2"/>
              </w:numPr>
              <w:spacing w:after="40" w:before="40"/>
            </w:pPr>
            <w:r>
              <w:rPr>
                <w:rFonts w:ascii="Arial" w:cs="Arial" w:eastAsia="Arial" w:hAnsi="Arial"/>
                <w:color w:val="1A2340"/>
                <w:sz w:val="22"/>
                <w:szCs w:val="22"/>
              </w:rPr>
              <w:t xml:space="preserve">Authorizes significant expenditures (e.g., external forensics, legal counsel)</w:t>
            </w:r>
          </w:p>
          <w:p>
            <w:pPr>
              <w:pStyle w:val="ListParagraph"/>
              <w:numPr>
                <w:ilvl w:val="0"/>
                <w:numId w:val="2"/>
              </w:numPr>
              <w:spacing w:after="40" w:before="40"/>
            </w:pPr>
            <w:r>
              <w:rPr>
                <w:rFonts w:ascii="Arial" w:cs="Arial" w:eastAsia="Arial" w:hAnsi="Arial"/>
                <w:color w:val="1A2340"/>
                <w:sz w:val="22"/>
                <w:szCs w:val="22"/>
              </w:rPr>
              <w:t xml:space="preserve">Ensures board-level visibility on material incidents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07B4D9" w:sz="12"/>
              <w:bottom w:val="none" w:color="FFFFFF" w:sz="0"/>
              <w:right w:val="single" w:color="DDE3EF" w:sz="2"/>
            </w:tcBorders>
            <w:shd w:fill="EBF0FA" w:val="clear"/>
            <w:tcMar>
              <w:top w:type="dxa" w:w="80"/>
              <w:left w:type="dxa" w:w="160"/>
              <w:bottom w:type="dxa" w:w="80"/>
              <w:right w:type="dxa" w:w="120"/>
            </w:tcMar>
          </w:tcPr>
          <w:p>
            <w:r>
              <w:rPr>
                <w:rFonts w:ascii="Arial" w:cs="Arial" w:eastAsia="Arial" w:hAnsi="Arial"/>
                <w:b/>
                <w:bCs/>
                <w:color w:val="152168"/>
                <w:sz w:val="22"/>
                <w:szCs w:val="22"/>
              </w:rPr>
              <w:t xml:space="preserve">All Staff</w:t>
            </w:r>
          </w:p>
        </w:tc>
      </w:tr>
      <w:tr>
        <w:tc>
          <w:tcPr>
            <w:tcW w:type="dxa" w:w="9360"/>
            <w:tcBorders>
              <w:top w:val="none" w:color="FFFFFF" w:sz="0"/>
              <w:left w:val="single" w:color="07B4D9"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First line of defense: detect and report suspicious activity immediately</w:t>
            </w:r>
          </w:p>
          <w:p>
            <w:pPr>
              <w:pStyle w:val="ListParagraph"/>
              <w:numPr>
                <w:ilvl w:val="0"/>
                <w:numId w:val="2"/>
              </w:numPr>
              <w:spacing w:after="40" w:before="40"/>
            </w:pPr>
            <w:r>
              <w:rPr>
                <w:rFonts w:ascii="Arial" w:cs="Arial" w:eastAsia="Arial" w:hAnsi="Arial"/>
                <w:color w:val="1A2340"/>
                <w:sz w:val="22"/>
                <w:szCs w:val="22"/>
              </w:rPr>
              <w:t xml:space="preserve">Report security events to IT/Security helpdesk without delay</w:t>
            </w:r>
          </w:p>
          <w:p>
            <w:pPr>
              <w:pStyle w:val="ListParagraph"/>
              <w:numPr>
                <w:ilvl w:val="0"/>
                <w:numId w:val="2"/>
              </w:numPr>
              <w:spacing w:after="40" w:before="40"/>
            </w:pPr>
            <w:r>
              <w:rPr>
                <w:rFonts w:ascii="Arial" w:cs="Arial" w:eastAsia="Arial" w:hAnsi="Arial"/>
                <w:color w:val="1A2340"/>
                <w:sz w:val="22"/>
                <w:szCs w:val="22"/>
              </w:rPr>
              <w:t xml:space="preserve">Cooperate fully with investigation and containment measures</w:t>
            </w:r>
          </w:p>
          <w:p>
            <w:pPr>
              <w:pStyle w:val="ListParagraph"/>
              <w:numPr>
                <w:ilvl w:val="0"/>
                <w:numId w:val="2"/>
              </w:numPr>
              <w:spacing w:after="40" w:before="40"/>
            </w:pPr>
            <w:r>
              <w:rPr>
                <w:rFonts w:ascii="Arial" w:cs="Arial" w:eastAsia="Arial" w:hAnsi="Arial"/>
                <w:color w:val="1A2340"/>
                <w:sz w:val="22"/>
                <w:szCs w:val="22"/>
              </w:rPr>
              <w:t xml:space="preserve">Do not attempt to handle incidents independently or share information externally</w:t>
            </w:r>
          </w:p>
        </w:tc>
      </w:tr>
    </w:tbl>
    <w:p>
      <w:pPr>
        <w:spacing w:after="0" w:before="80"/>
      </w:pPr>
    </w:p>
    <w:p>
      <w:pPr>
        <w:spacing w:after="80" w:before="80"/>
      </w:pPr>
    </w:p>
    <w:p>
      <w:pPr>
        <w:pStyle w:val="Heading1"/>
        <w:spacing w:after="120" w:before="320"/>
      </w:pPr>
      <w:r>
        <w:rPr>
          <w:rFonts w:ascii="Arial" w:cs="Arial" w:eastAsia="Arial" w:hAnsi="Arial"/>
          <w:b/>
          <w:bCs/>
          <w:color w:val="152168"/>
          <w:sz w:val="28"/>
          <w:szCs w:val="28"/>
        </w:rPr>
        <w:t xml:space="preserve">6.  Policy Requirements</w:t>
      </w:r>
    </w:p>
    <w:p>
      <w:pPr>
        <w:pStyle w:val="Heading2"/>
        <w:spacing w:after="80" w:before="240"/>
      </w:pPr>
      <w:r>
        <w:rPr>
          <w:rFonts w:ascii="Arial" w:cs="Arial" w:eastAsia="Arial" w:hAnsi="Arial"/>
          <w:b/>
          <w:bCs/>
          <w:color w:val="152168"/>
          <w:sz w:val="24"/>
          <w:szCs w:val="24"/>
        </w:rPr>
        <w:t xml:space="preserve">6.1  Incident Classification</w:t>
      </w:r>
    </w:p>
    <w:p>
      <w:pPr>
        <w:spacing w:after="80" w:before="80"/>
      </w:pPr>
      <w:r>
        <w:rPr>
          <w:rFonts w:ascii="Arial" w:cs="Arial" w:eastAsia="Arial" w:hAnsi="Arial"/>
          <w:color w:val="1A2340"/>
          <w:sz w:val="22"/>
          <w:szCs w:val="22"/>
        </w:rPr>
        <w:t xml:space="preserve">All incidents will be classified at the earliest opportunity using the following severity framework. Initial classification may be updated as investigation progresses.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Description / Examples</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P1 — Critical</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Confirmed breach of PII or payment data; active ransomware encrypting systems; system unavailability affecting core business operations; threat actor confirmed in environment</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24/7 all-hands — IC declared immediately</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P2 — High</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Suspected data breach under investigation; significant system compromise (admin account taken over); ransomware contained but scope unknown; external party reports compromise</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Business-hours priority — IRT activated within 1 hour</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color w:val="1A2340"/>
                <w:sz w:val="20"/>
                <w:szCs w:val="20"/>
              </w:rPr>
              <w:t xml:space="preserve">P3 — Medium</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Malware isolated to a single system; unauthorized access contained with no confirmed data exposure; policy violation with potential security impact</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Next business day — assigned to IT/Security Lead</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color w:val="1A2340"/>
                <w:sz w:val="20"/>
                <w:szCs w:val="20"/>
              </w:rPr>
              <w:t xml:space="preserve">P4 — Low</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Failed phishing attempt reported by staff; suspicious email under analysis; minor policy violation; security tool alert requiring investigation</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color w:val="1A2340"/>
                <w:sz w:val="20"/>
                <w:szCs w:val="20"/>
              </w:rPr>
              <w:t xml:space="preserve">Standard queue — resolved within 5 business days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20"/>
              <w:left w:type="dxa" w:w="180"/>
              <w:bottom w:type="dxa" w:w="120"/>
              <w:right w:type="dxa" w:w="180"/>
            </w:tcMar>
          </w:tcPr>
          <w:p>
            <w:r>
              <w:rPr>
                <w:rFonts w:ascii="Arial" w:cs="Arial" w:eastAsia="Arial" w:hAnsi="Arial"/>
                <w:b/>
                <w:bCs/>
                <w:color w:val="152168"/>
                <w:sz w:val="22"/>
                <w:szCs w:val="22"/>
              </w:rPr>
              <w:t xml:space="preserve">Classification Guidance</w:t>
            </w:r>
          </w:p>
          <w:p>
            <w:pPr>
              <w:spacing w:after="40" w:before="40"/>
            </w:pPr>
          </w:p>
          <w:p>
            <w:r>
              <w:rPr>
                <w:rFonts w:ascii="Arial" w:cs="Arial" w:eastAsia="Arial" w:hAnsi="Arial"/>
                <w:color w:val="1A2340"/>
                <w:sz w:val="20"/>
                <w:szCs w:val="20"/>
              </w:rPr>
              <w:t xml:space="preserve">When in doubt, classify higher and downgrade once more information is available. It is always safer to over-respond to a P3 than to under-respond to a P2.</w:t>
            </w:r>
          </w:p>
        </w:tc>
      </w:tr>
    </w:tbl>
    <w:p>
      <w:pPr>
        <w:spacing w:after="80" w:before="160"/>
      </w:pPr>
    </w:p>
    <w:p>
      <w:pPr>
        <w:pStyle w:val="Heading2"/>
        <w:spacing w:after="80" w:before="240"/>
      </w:pPr>
      <w:r>
        <w:rPr>
          <w:rFonts w:ascii="Arial" w:cs="Arial" w:eastAsia="Arial" w:hAnsi="Arial"/>
          <w:b/>
          <w:bCs/>
          <w:color w:val="152168"/>
          <w:sz w:val="24"/>
          <w:szCs w:val="24"/>
        </w:rPr>
        <w:t xml:space="preserve">6.2  Incident Detection and Reporting</w:t>
      </w:r>
    </w:p>
    <w:p>
      <w:pPr>
        <w:spacing w:after="80" w:before="80"/>
      </w:pPr>
      <w:r>
        <w:rPr>
          <w:rFonts w:ascii="Arial" w:cs="Arial" w:eastAsia="Arial" w:hAnsi="Arial"/>
          <w:color w:val="1A2340"/>
          <w:sz w:val="22"/>
          <w:szCs w:val="22"/>
        </w:rPr>
        <w:t xml:space="preserve">Incidents may be detected through the following sources:</w:t>
      </w:r>
    </w:p>
    <w:p>
      <w:pPr>
        <w:pStyle w:val="ListParagraph"/>
        <w:numPr>
          <w:ilvl w:val="0"/>
          <w:numId w:val="2"/>
        </w:numPr>
        <w:spacing w:after="40" w:before="40"/>
      </w:pPr>
      <w:r>
        <w:rPr>
          <w:rFonts w:ascii="Arial" w:cs="Arial" w:eastAsia="Arial" w:hAnsi="Arial"/>
          <w:color w:val="1A2340"/>
          <w:sz w:val="22"/>
          <w:szCs w:val="22"/>
        </w:rPr>
        <w:t xml:space="preserve">Security monitoring tools (SIEM, EDR, IDS/IPS, email gateway alerts)</w:t>
      </w:r>
    </w:p>
    <w:p>
      <w:pPr>
        <w:pStyle w:val="ListParagraph"/>
        <w:numPr>
          <w:ilvl w:val="0"/>
          <w:numId w:val="2"/>
        </w:numPr>
        <w:spacing w:after="40" w:before="40"/>
      </w:pPr>
      <w:r>
        <w:rPr>
          <w:rFonts w:ascii="Arial" w:cs="Arial" w:eastAsia="Arial" w:hAnsi="Arial"/>
          <w:color w:val="1A2340"/>
          <w:sz w:val="22"/>
          <w:szCs w:val="22"/>
        </w:rPr>
        <w:t xml:space="preserve">Staff reports via the IT/Security helpdesk</w:t>
      </w:r>
    </w:p>
    <w:p>
      <w:pPr>
        <w:pStyle w:val="ListParagraph"/>
        <w:numPr>
          <w:ilvl w:val="0"/>
          <w:numId w:val="2"/>
        </w:numPr>
        <w:spacing w:after="40" w:before="40"/>
      </w:pPr>
      <w:r>
        <w:rPr>
          <w:rFonts w:ascii="Arial" w:cs="Arial" w:eastAsia="Arial" w:hAnsi="Arial"/>
          <w:color w:val="1A2340"/>
          <w:sz w:val="22"/>
          <w:szCs w:val="22"/>
        </w:rPr>
        <w:t xml:space="preserve">Vendor or MSP notifications</w:t>
      </w:r>
    </w:p>
    <w:p>
      <w:pPr>
        <w:pStyle w:val="ListParagraph"/>
        <w:numPr>
          <w:ilvl w:val="0"/>
          <w:numId w:val="2"/>
        </w:numPr>
        <w:spacing w:after="40" w:before="40"/>
      </w:pPr>
      <w:r>
        <w:rPr>
          <w:rFonts w:ascii="Arial" w:cs="Arial" w:eastAsia="Arial" w:hAnsi="Arial"/>
          <w:color w:val="1A2340"/>
          <w:sz w:val="22"/>
          <w:szCs w:val="22"/>
        </w:rPr>
        <w:t xml:space="preserve">Third-party notifications (clients, partners, law enforcement, threat intelligence feeds)</w:t>
      </w:r>
    </w:p>
    <w:p>
      <w:pPr>
        <w:pStyle w:val="ListParagraph"/>
        <w:numPr>
          <w:ilvl w:val="0"/>
          <w:numId w:val="2"/>
        </w:numPr>
        <w:spacing w:after="40" w:before="40"/>
      </w:pPr>
      <w:r>
        <w:rPr>
          <w:rFonts w:ascii="Arial" w:cs="Arial" w:eastAsia="Arial" w:hAnsi="Arial"/>
          <w:color w:val="1A2340"/>
          <w:sz w:val="22"/>
          <w:szCs w:val="22"/>
        </w:rPr>
        <w:t xml:space="preserve">Cyber insurance or external security researchers</w:t>
      </w:r>
    </w:p>
    <w:p>
      <w:pPr>
        <w:spacing w:after="80" w:before="80"/>
      </w:pPr>
    </w:p>
    <w:p>
      <w:pPr>
        <w:spacing w:after="80" w:before="80"/>
      </w:pPr>
      <w:r>
        <w:rPr>
          <w:rFonts w:ascii="Arial" w:cs="Arial" w:eastAsia="Arial" w:hAnsi="Arial"/>
          <w:color w:val="1A2340"/>
          <w:sz w:val="22"/>
          <w:szCs w:val="22"/>
        </w:rPr>
        <w:t xml:space="preserve">Reporting requirements:</w:t>
      </w:r>
    </w:p>
    <w:p>
      <w:pPr>
        <w:pStyle w:val="ListParagraph"/>
        <w:numPr>
          <w:ilvl w:val="0"/>
          <w:numId w:val="2"/>
        </w:numPr>
        <w:spacing w:after="40" w:before="40"/>
      </w:pPr>
      <w:r>
        <w:rPr>
          <w:rFonts w:ascii="Arial" w:cs="Arial" w:eastAsia="Arial" w:hAnsi="Arial"/>
          <w:color w:val="1A2340"/>
          <w:sz w:val="22"/>
          <w:szCs w:val="22"/>
        </w:rPr>
        <w:t xml:space="preserve">All staff must report suspected security events immediately to [IT/Security Helpdesk: [CONTACT/EMAIL/PHONE]]</w:t>
      </w:r>
    </w:p>
    <w:p>
      <w:pPr>
        <w:pStyle w:val="ListParagraph"/>
        <w:numPr>
          <w:ilvl w:val="0"/>
          <w:numId w:val="2"/>
        </w:numPr>
        <w:spacing w:after="40" w:before="40"/>
      </w:pPr>
      <w:r>
        <w:rPr>
          <w:rFonts w:ascii="Arial" w:cs="Arial" w:eastAsia="Arial" w:hAnsi="Arial"/>
          <w:color w:val="1A2340"/>
          <w:sz w:val="22"/>
          <w:szCs w:val="22"/>
        </w:rPr>
        <w:t xml:space="preserve">IT/Security must escalate to the CISO/vCISO within 1 hour of identifying a P1 or P2 incident</w:t>
      </w:r>
    </w:p>
    <w:p>
      <w:pPr>
        <w:pStyle w:val="ListParagraph"/>
        <w:numPr>
          <w:ilvl w:val="0"/>
          <w:numId w:val="2"/>
        </w:numPr>
        <w:spacing w:after="40" w:before="40"/>
      </w:pPr>
      <w:r>
        <w:rPr>
          <w:rFonts w:ascii="Arial" w:cs="Arial" w:eastAsia="Arial" w:hAnsi="Arial"/>
          <w:color w:val="1A2340"/>
          <w:sz w:val="22"/>
          <w:szCs w:val="22"/>
        </w:rPr>
        <w:t xml:space="preserve">P3 incidents must be escalated within 4 business hours</w:t>
      </w:r>
    </w:p>
    <w:p>
      <w:pPr>
        <w:pStyle w:val="ListParagraph"/>
        <w:numPr>
          <w:ilvl w:val="0"/>
          <w:numId w:val="2"/>
        </w:numPr>
        <w:spacing w:after="40" w:before="40"/>
      </w:pPr>
      <w:r>
        <w:rPr>
          <w:rFonts w:ascii="Arial" w:cs="Arial" w:eastAsia="Arial" w:hAnsi="Arial"/>
          <w:color w:val="1A2340"/>
          <w:sz w:val="22"/>
          <w:szCs w:val="22"/>
        </w:rPr>
        <w:t xml:space="preserve">P4 incidents must be logged and assigned within 1 business day</w:t>
      </w:r>
    </w:p>
    <w:p>
      <w:pPr>
        <w:pStyle w:val="ListParagraph"/>
        <w:numPr>
          <w:ilvl w:val="0"/>
          <w:numId w:val="2"/>
        </w:numPr>
        <w:spacing w:after="40" w:before="40"/>
      </w:pPr>
      <w:r>
        <w:rPr>
          <w:rFonts w:ascii="Arial" w:cs="Arial" w:eastAsia="Arial" w:hAnsi="Arial"/>
          <w:color w:val="1A2340"/>
          <w:sz w:val="22"/>
          <w:szCs w:val="22"/>
        </w:rPr>
        <w:t xml:space="preserve">No staff member may attempt to investigate, contain, or remediate an incident without authorization from the IT/Security Lead or Incident Commander</w:t>
      </w:r>
    </w:p>
    <w:p>
      <w:pPr>
        <w:spacing w:after="80" w:before="160"/>
      </w:pPr>
    </w:p>
    <w:p>
      <w:pPr>
        <w:pStyle w:val="Heading2"/>
        <w:spacing w:after="80" w:before="240"/>
      </w:pPr>
      <w:r>
        <w:rPr>
          <w:rFonts w:ascii="Arial" w:cs="Arial" w:eastAsia="Arial" w:hAnsi="Arial"/>
          <w:b/>
          <w:bCs/>
          <w:color w:val="152168"/>
          <w:sz w:val="24"/>
          <w:szCs w:val="24"/>
        </w:rPr>
        <w:t xml:space="preserve">6.3  Incident Response Phases</w:t>
      </w:r>
    </w:p>
    <w:p>
      <w:pPr>
        <w:spacing w:after="80" w:before="80"/>
      </w:pPr>
      <w:r>
        <w:rPr>
          <w:rFonts w:ascii="Arial" w:cs="Arial" w:eastAsia="Arial" w:hAnsi="Arial"/>
          <w:color w:val="1A2340"/>
          <w:sz w:val="22"/>
          <w:szCs w:val="22"/>
        </w:rPr>
        <w:t xml:space="preserve">The organization follows a six-phase response lifecycle aligned with NIST SP 800-61 Rev 2.</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152168" w:sz="12"/>
              <w:bottom w:val="none" w:color="FFFFFF" w:sz="0"/>
              <w:right w:val="single" w:color="DDE3EF" w:sz="2"/>
            </w:tcBorders>
            <w:shd w:fill="152168" w:val="clear"/>
            <w:tcMar>
              <w:top w:type="dxa" w:w="80"/>
              <w:left w:type="dxa" w:w="160"/>
              <w:bottom w:type="dxa" w:w="80"/>
              <w:right w:type="dxa" w:w="120"/>
            </w:tcMar>
          </w:tcPr>
          <w:p>
            <w:r>
              <w:rPr>
                <w:rFonts w:ascii="Arial" w:cs="Arial" w:eastAsia="Arial" w:hAnsi="Arial"/>
                <w:b/>
                <w:bCs/>
                <w:color w:val="FFFFFF"/>
                <w:sz w:val="22"/>
                <w:szCs w:val="22"/>
              </w:rPr>
              <w:t xml:space="preserve">Phase 1 — Preparation</w:t>
            </w:r>
            <w:r>
              <w:rPr>
                <w:rFonts w:ascii="Arial" w:cs="Arial" w:eastAsia="Arial" w:hAnsi="Arial"/>
                <w:color w:val="07B4D9"/>
                <w:sz w:val="20"/>
                <w:szCs w:val="20"/>
              </w:rPr>
              <w:t xml:space="preserve">     Ongoing</w:t>
            </w:r>
          </w:p>
        </w:tc>
      </w:tr>
      <w:tr>
        <w:tc>
          <w:tcPr>
            <w:tcW w:type="dxa" w:w="9360"/>
            <w:tcBorders>
              <w:top w:val="none" w:color="FFFFFF" w:sz="0"/>
              <w:left w:val="single" w:color="152168"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Maintain a current Incident Response Plan and contact list (IRT roster, vendor emergency contacts, insurer, legal, regulators)</w:t>
            </w:r>
          </w:p>
          <w:p>
            <w:pPr>
              <w:pStyle w:val="ListParagraph"/>
              <w:numPr>
                <w:ilvl w:val="0"/>
                <w:numId w:val="2"/>
              </w:numPr>
              <w:spacing w:after="40" w:before="40"/>
            </w:pPr>
            <w:r>
              <w:rPr>
                <w:rFonts w:ascii="Arial" w:cs="Arial" w:eastAsia="Arial" w:hAnsi="Arial"/>
                <w:color w:val="1A2340"/>
                <w:sz w:val="22"/>
                <w:szCs w:val="22"/>
              </w:rPr>
              <w:t xml:space="preserve">Provision and test incident response tools (forensic imaging, log aggregation, secure communications channel)</w:t>
            </w:r>
          </w:p>
          <w:p>
            <w:pPr>
              <w:pStyle w:val="ListParagraph"/>
              <w:numPr>
                <w:ilvl w:val="0"/>
                <w:numId w:val="2"/>
              </w:numPr>
              <w:spacing w:after="40" w:before="40"/>
            </w:pPr>
            <w:r>
              <w:rPr>
                <w:rFonts w:ascii="Arial" w:cs="Arial" w:eastAsia="Arial" w:hAnsi="Arial"/>
                <w:color w:val="1A2340"/>
                <w:sz w:val="22"/>
                <w:szCs w:val="22"/>
              </w:rPr>
              <w:t xml:space="preserve">Conduct annual IR tabletop exercises and update this policy following each exercise</w:t>
            </w:r>
          </w:p>
          <w:p>
            <w:pPr>
              <w:pStyle w:val="ListParagraph"/>
              <w:numPr>
                <w:ilvl w:val="0"/>
                <w:numId w:val="2"/>
              </w:numPr>
              <w:spacing w:after="40" w:before="40"/>
            </w:pPr>
            <w:r>
              <w:rPr>
                <w:rFonts w:ascii="Arial" w:cs="Arial" w:eastAsia="Arial" w:hAnsi="Arial"/>
                <w:color w:val="1A2340"/>
                <w:sz w:val="22"/>
                <w:szCs w:val="22"/>
              </w:rPr>
              <w:t xml:space="preserve">Ensure all staff receive annual security awareness training covering incident reporting</w:t>
            </w:r>
          </w:p>
          <w:p>
            <w:pPr>
              <w:pStyle w:val="ListParagraph"/>
              <w:numPr>
                <w:ilvl w:val="0"/>
                <w:numId w:val="2"/>
              </w:numPr>
              <w:spacing w:after="40" w:before="40"/>
            </w:pPr>
            <w:r>
              <w:rPr>
                <w:rFonts w:ascii="Arial" w:cs="Arial" w:eastAsia="Arial" w:hAnsi="Arial"/>
                <w:color w:val="1A2340"/>
                <w:sz w:val="22"/>
                <w:szCs w:val="22"/>
              </w:rPr>
              <w:t xml:space="preserve">Maintain a tested, isolated backup and recovery capability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152168" w:sz="12"/>
              <w:bottom w:val="none" w:color="FFFFFF" w:sz="0"/>
              <w:right w:val="single" w:color="DDE3EF" w:sz="2"/>
            </w:tcBorders>
            <w:shd w:fill="152168" w:val="clear"/>
            <w:tcMar>
              <w:top w:type="dxa" w:w="80"/>
              <w:left w:type="dxa" w:w="160"/>
              <w:bottom w:type="dxa" w:w="80"/>
              <w:right w:type="dxa" w:w="120"/>
            </w:tcMar>
          </w:tcPr>
          <w:p>
            <w:r>
              <w:rPr>
                <w:rFonts w:ascii="Arial" w:cs="Arial" w:eastAsia="Arial" w:hAnsi="Arial"/>
                <w:b/>
                <w:bCs/>
                <w:color w:val="FFFFFF"/>
                <w:sz w:val="22"/>
                <w:szCs w:val="22"/>
              </w:rPr>
              <w:t xml:space="preserve">Phase 2 — Detection and Analysis</w:t>
            </w:r>
            <w:r>
              <w:rPr>
                <w:rFonts w:ascii="Arial" w:cs="Arial" w:eastAsia="Arial" w:hAnsi="Arial"/>
                <w:color w:val="07B4D9"/>
                <w:sz w:val="20"/>
                <w:szCs w:val="20"/>
              </w:rPr>
              <w:t xml:space="preserve">     0-1 hour (P1/P2)</w:t>
            </w:r>
          </w:p>
        </w:tc>
      </w:tr>
      <w:tr>
        <w:tc>
          <w:tcPr>
            <w:tcW w:type="dxa" w:w="9360"/>
            <w:tcBorders>
              <w:top w:val="none" w:color="FFFFFF" w:sz="0"/>
              <w:left w:val="single" w:color="152168"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Receive and triage the reported event; confirm it meets the definition of a security incident</w:t>
            </w:r>
          </w:p>
          <w:p>
            <w:pPr>
              <w:pStyle w:val="ListParagraph"/>
              <w:numPr>
                <w:ilvl w:val="0"/>
                <w:numId w:val="2"/>
              </w:numPr>
              <w:spacing w:after="40" w:before="40"/>
            </w:pPr>
            <w:r>
              <w:rPr>
                <w:rFonts w:ascii="Arial" w:cs="Arial" w:eastAsia="Arial" w:hAnsi="Arial"/>
                <w:color w:val="1A2340"/>
                <w:sz w:val="22"/>
                <w:szCs w:val="22"/>
              </w:rPr>
              <w:t xml:space="preserve">Assign initial severity classification (P1-P4)</w:t>
            </w:r>
          </w:p>
          <w:p>
            <w:pPr>
              <w:pStyle w:val="ListParagraph"/>
              <w:numPr>
                <w:ilvl w:val="0"/>
                <w:numId w:val="2"/>
              </w:numPr>
              <w:spacing w:after="40" w:before="40"/>
            </w:pPr>
            <w:r>
              <w:rPr>
                <w:rFonts w:ascii="Arial" w:cs="Arial" w:eastAsia="Arial" w:hAnsi="Arial"/>
                <w:color w:val="1A2340"/>
                <w:sz w:val="22"/>
                <w:szCs w:val="22"/>
              </w:rPr>
              <w:t xml:space="preserve">Activate the Incident Response Team appropriate to severity</w:t>
            </w:r>
          </w:p>
          <w:p>
            <w:pPr>
              <w:pStyle w:val="ListParagraph"/>
              <w:numPr>
                <w:ilvl w:val="0"/>
                <w:numId w:val="2"/>
              </w:numPr>
              <w:spacing w:after="40" w:before="40"/>
            </w:pPr>
            <w:r>
              <w:rPr>
                <w:rFonts w:ascii="Arial" w:cs="Arial" w:eastAsia="Arial" w:hAnsi="Arial"/>
                <w:color w:val="1A2340"/>
                <w:sz w:val="22"/>
                <w:szCs w:val="22"/>
              </w:rPr>
              <w:t xml:space="preserve">Establish secure communications channel for IRT (do not use potentially compromised systems)</w:t>
            </w:r>
          </w:p>
          <w:p>
            <w:pPr>
              <w:pStyle w:val="ListParagraph"/>
              <w:numPr>
                <w:ilvl w:val="0"/>
                <w:numId w:val="2"/>
              </w:numPr>
              <w:spacing w:after="40" w:before="40"/>
            </w:pPr>
            <w:r>
              <w:rPr>
                <w:rFonts w:ascii="Arial" w:cs="Arial" w:eastAsia="Arial" w:hAnsi="Arial"/>
                <w:color w:val="1A2340"/>
                <w:sz w:val="22"/>
                <w:szCs w:val="22"/>
              </w:rPr>
              <w:t xml:space="preserve">Begin the incident log — record all actions, decisions, and timestamps</w:t>
            </w:r>
          </w:p>
          <w:p>
            <w:pPr>
              <w:pStyle w:val="ListParagraph"/>
              <w:numPr>
                <w:ilvl w:val="0"/>
                <w:numId w:val="2"/>
              </w:numPr>
              <w:spacing w:after="40" w:before="40"/>
            </w:pPr>
            <w:r>
              <w:rPr>
                <w:rFonts w:ascii="Arial" w:cs="Arial" w:eastAsia="Arial" w:hAnsi="Arial"/>
                <w:color w:val="1A2340"/>
                <w:sz w:val="22"/>
                <w:szCs w:val="22"/>
              </w:rPr>
              <w:t xml:space="preserve">Identify initial scope: which systems, data, and individuals may be affected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152168" w:sz="12"/>
              <w:bottom w:val="none" w:color="FFFFFF" w:sz="0"/>
              <w:right w:val="single" w:color="DDE3EF" w:sz="2"/>
            </w:tcBorders>
            <w:shd w:fill="152168" w:val="clear"/>
            <w:tcMar>
              <w:top w:type="dxa" w:w="80"/>
              <w:left w:type="dxa" w:w="160"/>
              <w:bottom w:type="dxa" w:w="80"/>
              <w:right w:type="dxa" w:w="120"/>
            </w:tcMar>
          </w:tcPr>
          <w:p>
            <w:r>
              <w:rPr>
                <w:rFonts w:ascii="Arial" w:cs="Arial" w:eastAsia="Arial" w:hAnsi="Arial"/>
                <w:b/>
                <w:bCs/>
                <w:color w:val="FFFFFF"/>
                <w:sz w:val="22"/>
                <w:szCs w:val="22"/>
              </w:rPr>
              <w:t xml:space="preserve">Phase 3 — Containment</w:t>
            </w:r>
            <w:r>
              <w:rPr>
                <w:rFonts w:ascii="Arial" w:cs="Arial" w:eastAsia="Arial" w:hAnsi="Arial"/>
                <w:color w:val="07B4D9"/>
                <w:sz w:val="20"/>
                <w:szCs w:val="20"/>
              </w:rPr>
              <w:t xml:space="preserve">     1-4 hours</w:t>
            </w:r>
          </w:p>
        </w:tc>
      </w:tr>
      <w:tr>
        <w:tc>
          <w:tcPr>
            <w:tcW w:type="dxa" w:w="9360"/>
            <w:tcBorders>
              <w:top w:val="none" w:color="FFFFFF" w:sz="0"/>
              <w:left w:val="single" w:color="152168"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Short-term containment: isolate affected systems, disable compromised accounts, block malicious IPs at the firewall</w:t>
            </w:r>
          </w:p>
          <w:p>
            <w:pPr>
              <w:pStyle w:val="ListParagraph"/>
              <w:numPr>
                <w:ilvl w:val="0"/>
                <w:numId w:val="2"/>
              </w:numPr>
              <w:spacing w:after="40" w:before="40"/>
            </w:pPr>
            <w:r>
              <w:rPr>
                <w:rFonts w:ascii="Arial" w:cs="Arial" w:eastAsia="Arial" w:hAnsi="Arial"/>
                <w:color w:val="1A2340"/>
                <w:sz w:val="22"/>
                <w:szCs w:val="22"/>
              </w:rPr>
              <w:t xml:space="preserve">Preserve evidence before making system changes (take memory and disk images if forensically relevant)</w:t>
            </w:r>
          </w:p>
          <w:p>
            <w:pPr>
              <w:pStyle w:val="ListParagraph"/>
              <w:numPr>
                <w:ilvl w:val="0"/>
                <w:numId w:val="2"/>
              </w:numPr>
              <w:spacing w:after="40" w:before="40"/>
            </w:pPr>
            <w:r>
              <w:rPr>
                <w:rFonts w:ascii="Arial" w:cs="Arial" w:eastAsia="Arial" w:hAnsi="Arial"/>
                <w:color w:val="1A2340"/>
                <w:sz w:val="22"/>
                <w:szCs w:val="22"/>
              </w:rPr>
              <w:t xml:space="preserve">Long-term containment: apply patches, reset all potentially compromised credentials, segment affected network segments</w:t>
            </w:r>
          </w:p>
          <w:p>
            <w:pPr>
              <w:pStyle w:val="ListParagraph"/>
              <w:numPr>
                <w:ilvl w:val="0"/>
                <w:numId w:val="2"/>
              </w:numPr>
              <w:spacing w:after="40" w:before="40"/>
            </w:pPr>
            <w:r>
              <w:rPr>
                <w:rFonts w:ascii="Arial" w:cs="Arial" w:eastAsia="Arial" w:hAnsi="Arial"/>
                <w:color w:val="1A2340"/>
                <w:sz w:val="22"/>
                <w:szCs w:val="22"/>
              </w:rPr>
              <w:t xml:space="preserve">Document all containment actions with timestamps in the incident log</w:t>
            </w:r>
          </w:p>
          <w:p>
            <w:pPr>
              <w:pStyle w:val="ListParagraph"/>
              <w:numPr>
                <w:ilvl w:val="0"/>
                <w:numId w:val="2"/>
              </w:numPr>
              <w:spacing w:after="40" w:before="40"/>
            </w:pPr>
            <w:r>
              <w:rPr>
                <w:rFonts w:ascii="Arial" w:cs="Arial" w:eastAsia="Arial" w:hAnsi="Arial"/>
                <w:color w:val="1A2340"/>
                <w:sz w:val="22"/>
                <w:szCs w:val="22"/>
              </w:rPr>
              <w:t xml:space="preserve">Assess whether insurer notification timeframe is approaching and initiate if required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152168" w:sz="12"/>
              <w:bottom w:val="none" w:color="FFFFFF" w:sz="0"/>
              <w:right w:val="single" w:color="DDE3EF" w:sz="2"/>
            </w:tcBorders>
            <w:shd w:fill="152168" w:val="clear"/>
            <w:tcMar>
              <w:top w:type="dxa" w:w="80"/>
              <w:left w:type="dxa" w:w="160"/>
              <w:bottom w:type="dxa" w:w="80"/>
              <w:right w:type="dxa" w:w="120"/>
            </w:tcMar>
          </w:tcPr>
          <w:p>
            <w:r>
              <w:rPr>
                <w:rFonts w:ascii="Arial" w:cs="Arial" w:eastAsia="Arial" w:hAnsi="Arial"/>
                <w:b/>
                <w:bCs/>
                <w:color w:val="FFFFFF"/>
                <w:sz w:val="22"/>
                <w:szCs w:val="22"/>
              </w:rPr>
              <w:t xml:space="preserve">Phase 4 — Eradication</w:t>
            </w:r>
            <w:r>
              <w:rPr>
                <w:rFonts w:ascii="Arial" w:cs="Arial" w:eastAsia="Arial" w:hAnsi="Arial"/>
                <w:color w:val="07B4D9"/>
                <w:sz w:val="20"/>
                <w:szCs w:val="20"/>
              </w:rPr>
              <w:t xml:space="preserve">     4-24 hours</w:t>
            </w:r>
          </w:p>
        </w:tc>
      </w:tr>
      <w:tr>
        <w:tc>
          <w:tcPr>
            <w:tcW w:type="dxa" w:w="9360"/>
            <w:tcBorders>
              <w:top w:val="none" w:color="FFFFFF" w:sz="0"/>
              <w:left w:val="single" w:color="152168"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Remove malware and attacker artifacts from all affected systems</w:t>
            </w:r>
          </w:p>
          <w:p>
            <w:pPr>
              <w:pStyle w:val="ListParagraph"/>
              <w:numPr>
                <w:ilvl w:val="0"/>
                <w:numId w:val="2"/>
              </w:numPr>
              <w:spacing w:after="40" w:before="40"/>
            </w:pPr>
            <w:r>
              <w:rPr>
                <w:rFonts w:ascii="Arial" w:cs="Arial" w:eastAsia="Arial" w:hAnsi="Arial"/>
                <w:color w:val="1A2340"/>
                <w:sz w:val="22"/>
                <w:szCs w:val="22"/>
              </w:rPr>
              <w:t xml:space="preserve">Close the identified attack vector (patch vulnerability, close exposed port, revoke compromised API key)</w:t>
            </w:r>
          </w:p>
          <w:p>
            <w:pPr>
              <w:pStyle w:val="ListParagraph"/>
              <w:numPr>
                <w:ilvl w:val="0"/>
                <w:numId w:val="2"/>
              </w:numPr>
              <w:spacing w:after="40" w:before="40"/>
            </w:pPr>
            <w:r>
              <w:rPr>
                <w:rFonts w:ascii="Arial" w:cs="Arial" w:eastAsia="Arial" w:hAnsi="Arial"/>
                <w:color w:val="1A2340"/>
                <w:sz w:val="22"/>
                <w:szCs w:val="22"/>
              </w:rPr>
              <w:t xml:space="preserve">Verify all affected systems are clean through antivirus/EDR scans and manual inspection</w:t>
            </w:r>
          </w:p>
          <w:p>
            <w:pPr>
              <w:pStyle w:val="ListParagraph"/>
              <w:numPr>
                <w:ilvl w:val="0"/>
                <w:numId w:val="2"/>
              </w:numPr>
              <w:spacing w:after="40" w:before="40"/>
            </w:pPr>
            <w:r>
              <w:rPr>
                <w:rFonts w:ascii="Arial" w:cs="Arial" w:eastAsia="Arial" w:hAnsi="Arial"/>
                <w:color w:val="1A2340"/>
                <w:sz w:val="22"/>
                <w:szCs w:val="22"/>
              </w:rPr>
              <w:t xml:space="preserve">Reset all credentials that were or may have been exposed</w:t>
            </w:r>
          </w:p>
          <w:p>
            <w:pPr>
              <w:pStyle w:val="ListParagraph"/>
              <w:numPr>
                <w:ilvl w:val="0"/>
                <w:numId w:val="2"/>
              </w:numPr>
              <w:spacing w:after="40" w:before="40"/>
            </w:pPr>
            <w:r>
              <w:rPr>
                <w:rFonts w:ascii="Arial" w:cs="Arial" w:eastAsia="Arial" w:hAnsi="Arial"/>
                <w:color w:val="1A2340"/>
                <w:sz w:val="22"/>
                <w:szCs w:val="22"/>
              </w:rPr>
              <w:t xml:space="preserve">Confirm no persistence mechanisms remain (scheduled tasks, backdoors, unauthorized accounts)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152168" w:sz="12"/>
              <w:bottom w:val="none" w:color="FFFFFF" w:sz="0"/>
              <w:right w:val="single" w:color="DDE3EF" w:sz="2"/>
            </w:tcBorders>
            <w:shd w:fill="152168" w:val="clear"/>
            <w:tcMar>
              <w:top w:type="dxa" w:w="80"/>
              <w:left w:type="dxa" w:w="160"/>
              <w:bottom w:type="dxa" w:w="80"/>
              <w:right w:type="dxa" w:w="120"/>
            </w:tcMar>
          </w:tcPr>
          <w:p>
            <w:r>
              <w:rPr>
                <w:rFonts w:ascii="Arial" w:cs="Arial" w:eastAsia="Arial" w:hAnsi="Arial"/>
                <w:b/>
                <w:bCs/>
                <w:color w:val="FFFFFF"/>
                <w:sz w:val="22"/>
                <w:szCs w:val="22"/>
              </w:rPr>
              <w:t xml:space="preserve">Phase 5 — Recovery</w:t>
            </w:r>
            <w:r>
              <w:rPr>
                <w:rFonts w:ascii="Arial" w:cs="Arial" w:eastAsia="Arial" w:hAnsi="Arial"/>
                <w:color w:val="07B4D9"/>
                <w:sz w:val="20"/>
                <w:szCs w:val="20"/>
              </w:rPr>
              <w:t xml:space="preserve">     24-72 hours</w:t>
            </w:r>
          </w:p>
        </w:tc>
      </w:tr>
      <w:tr>
        <w:tc>
          <w:tcPr>
            <w:tcW w:type="dxa" w:w="9360"/>
            <w:tcBorders>
              <w:top w:val="none" w:color="FFFFFF" w:sz="0"/>
              <w:left w:val="single" w:color="152168"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Restore affected systems from verified clean backups</w:t>
            </w:r>
          </w:p>
          <w:p>
            <w:pPr>
              <w:pStyle w:val="ListParagraph"/>
              <w:numPr>
                <w:ilvl w:val="0"/>
                <w:numId w:val="2"/>
              </w:numPr>
              <w:spacing w:after="40" w:before="40"/>
            </w:pPr>
            <w:r>
              <w:rPr>
                <w:rFonts w:ascii="Arial" w:cs="Arial" w:eastAsia="Arial" w:hAnsi="Arial"/>
                <w:color w:val="1A2340"/>
                <w:sz w:val="22"/>
                <w:szCs w:val="22"/>
              </w:rPr>
              <w:t xml:space="preserve">Validate restored systems are functioning correctly before returning to production</w:t>
            </w:r>
          </w:p>
          <w:p>
            <w:pPr>
              <w:pStyle w:val="ListParagraph"/>
              <w:numPr>
                <w:ilvl w:val="0"/>
                <w:numId w:val="2"/>
              </w:numPr>
              <w:spacing w:after="40" w:before="40"/>
            </w:pPr>
            <w:r>
              <w:rPr>
                <w:rFonts w:ascii="Arial" w:cs="Arial" w:eastAsia="Arial" w:hAnsi="Arial"/>
                <w:color w:val="1A2340"/>
                <w:sz w:val="22"/>
                <w:szCs w:val="22"/>
              </w:rPr>
              <w:t xml:space="preserve">Implement enhanced monitoring on recovered systems for a minimum of 30 days</w:t>
            </w:r>
          </w:p>
          <w:p>
            <w:pPr>
              <w:pStyle w:val="ListParagraph"/>
              <w:numPr>
                <w:ilvl w:val="0"/>
                <w:numId w:val="2"/>
              </w:numPr>
              <w:spacing w:after="40" w:before="40"/>
            </w:pPr>
            <w:r>
              <w:rPr>
                <w:rFonts w:ascii="Arial" w:cs="Arial" w:eastAsia="Arial" w:hAnsi="Arial"/>
                <w:color w:val="1A2340"/>
                <w:sz w:val="22"/>
                <w:szCs w:val="22"/>
              </w:rPr>
              <w:t xml:space="preserve">Confirm with business stakeholders that operations have returned to normal</w:t>
            </w:r>
          </w:p>
          <w:p>
            <w:pPr>
              <w:pStyle w:val="ListParagraph"/>
              <w:numPr>
                <w:ilvl w:val="0"/>
                <w:numId w:val="2"/>
              </w:numPr>
              <w:spacing w:after="40" w:before="40"/>
            </w:pPr>
            <w:r>
              <w:rPr>
                <w:rFonts w:ascii="Arial" w:cs="Arial" w:eastAsia="Arial" w:hAnsi="Arial"/>
                <w:color w:val="1A2340"/>
                <w:sz w:val="22"/>
                <w:szCs w:val="22"/>
              </w:rPr>
              <w:t xml:space="preserve">Document recovery completion and close the active incident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152168" w:sz="12"/>
              <w:bottom w:val="none" w:color="FFFFFF" w:sz="0"/>
              <w:right w:val="single" w:color="DDE3EF" w:sz="2"/>
            </w:tcBorders>
            <w:shd w:fill="152168" w:val="clear"/>
            <w:tcMar>
              <w:top w:type="dxa" w:w="80"/>
              <w:left w:type="dxa" w:w="160"/>
              <w:bottom w:type="dxa" w:w="80"/>
              <w:right w:type="dxa" w:w="120"/>
            </w:tcMar>
          </w:tcPr>
          <w:p>
            <w:r>
              <w:rPr>
                <w:rFonts w:ascii="Arial" w:cs="Arial" w:eastAsia="Arial" w:hAnsi="Arial"/>
                <w:b/>
                <w:bCs/>
                <w:color w:val="FFFFFF"/>
                <w:sz w:val="22"/>
                <w:szCs w:val="22"/>
              </w:rPr>
              <w:t xml:space="preserve">Phase 6 — Post-Incident Review</w:t>
            </w:r>
            <w:r>
              <w:rPr>
                <w:rFonts w:ascii="Arial" w:cs="Arial" w:eastAsia="Arial" w:hAnsi="Arial"/>
                <w:color w:val="07B4D9"/>
                <w:sz w:val="20"/>
                <w:szCs w:val="20"/>
              </w:rPr>
              <w:t xml:space="preserve">     Within 5 business days of resolution</w:t>
            </w:r>
          </w:p>
        </w:tc>
      </w:tr>
      <w:tr>
        <w:tc>
          <w:tcPr>
            <w:tcW w:type="dxa" w:w="9360"/>
            <w:tcBorders>
              <w:top w:val="none" w:color="FFFFFF" w:sz="0"/>
              <w:left w:val="single" w:color="152168" w:sz="12"/>
              <w:bottom w:val="single" w:color="DDE3EF" w:sz="2"/>
              <w:right w:val="single" w:color="DDE3EF" w:sz="2"/>
            </w:tcBorders>
            <w:tcMar>
              <w:top w:type="dxa" w:w="80"/>
              <w:left w:type="dxa" w:w="160"/>
              <w:bottom w:type="dxa" w:w="120"/>
              <w:right w:type="dxa" w:w="120"/>
            </w:tcMar>
          </w:tcPr>
          <w:p>
            <w:pPr>
              <w:pStyle w:val="ListParagraph"/>
              <w:numPr>
                <w:ilvl w:val="0"/>
                <w:numId w:val="2"/>
              </w:numPr>
              <w:spacing w:after="40" w:before="40"/>
            </w:pPr>
            <w:r>
              <w:rPr>
                <w:rFonts w:ascii="Arial" w:cs="Arial" w:eastAsia="Arial" w:hAnsi="Arial"/>
                <w:color w:val="1A2340"/>
                <w:sz w:val="22"/>
                <w:szCs w:val="22"/>
              </w:rPr>
              <w:t xml:space="preserve">Mandatory for all P1 and P2 incidents; strongly recommended for P3</w:t>
            </w:r>
          </w:p>
          <w:p>
            <w:pPr>
              <w:pStyle w:val="ListParagraph"/>
              <w:numPr>
                <w:ilvl w:val="0"/>
                <w:numId w:val="2"/>
              </w:numPr>
              <w:spacing w:after="40" w:before="40"/>
            </w:pPr>
            <w:r>
              <w:rPr>
                <w:rFonts w:ascii="Arial" w:cs="Arial" w:eastAsia="Arial" w:hAnsi="Arial"/>
                <w:color w:val="1A2340"/>
                <w:sz w:val="22"/>
                <w:szCs w:val="22"/>
              </w:rPr>
              <w:t xml:space="preserve">Produce a timeline of the incident and response</w:t>
            </w:r>
          </w:p>
          <w:p>
            <w:pPr>
              <w:pStyle w:val="ListParagraph"/>
              <w:numPr>
                <w:ilvl w:val="0"/>
                <w:numId w:val="2"/>
              </w:numPr>
              <w:spacing w:after="40" w:before="40"/>
            </w:pPr>
            <w:r>
              <w:rPr>
                <w:rFonts w:ascii="Arial" w:cs="Arial" w:eastAsia="Arial" w:hAnsi="Arial"/>
                <w:color w:val="1A2340"/>
                <w:sz w:val="22"/>
                <w:szCs w:val="22"/>
              </w:rPr>
              <w:t xml:space="preserve">Identify root cause and contributing factors</w:t>
            </w:r>
          </w:p>
          <w:p>
            <w:pPr>
              <w:pStyle w:val="ListParagraph"/>
              <w:numPr>
                <w:ilvl w:val="0"/>
                <w:numId w:val="2"/>
              </w:numPr>
              <w:spacing w:after="40" w:before="40"/>
            </w:pPr>
            <w:r>
              <w:rPr>
                <w:rFonts w:ascii="Arial" w:cs="Arial" w:eastAsia="Arial" w:hAnsi="Arial"/>
                <w:color w:val="1A2340"/>
                <w:sz w:val="22"/>
                <w:szCs w:val="22"/>
              </w:rPr>
              <w:t xml:space="preserve">Assess what worked well and what did not</w:t>
            </w:r>
          </w:p>
          <w:p>
            <w:pPr>
              <w:pStyle w:val="ListParagraph"/>
              <w:numPr>
                <w:ilvl w:val="0"/>
                <w:numId w:val="2"/>
              </w:numPr>
              <w:spacing w:after="40" w:before="40"/>
            </w:pPr>
            <w:r>
              <w:rPr>
                <w:rFonts w:ascii="Arial" w:cs="Arial" w:eastAsia="Arial" w:hAnsi="Arial"/>
                <w:color w:val="1A2340"/>
                <w:sz w:val="22"/>
                <w:szCs w:val="22"/>
              </w:rPr>
              <w:t xml:space="preserve">Define action items with owners and due dates</w:t>
            </w:r>
          </w:p>
          <w:p>
            <w:pPr>
              <w:pStyle w:val="ListParagraph"/>
              <w:numPr>
                <w:ilvl w:val="0"/>
                <w:numId w:val="2"/>
              </w:numPr>
              <w:spacing w:after="40" w:before="40"/>
            </w:pPr>
            <w:r>
              <w:rPr>
                <w:rFonts w:ascii="Arial" w:cs="Arial" w:eastAsia="Arial" w:hAnsi="Arial"/>
                <w:color w:val="1A2340"/>
                <w:sz w:val="22"/>
                <w:szCs w:val="22"/>
              </w:rPr>
              <w:t xml:space="preserve">Feed lessons learned back into the risk register and security program</w:t>
            </w:r>
          </w:p>
          <w:p>
            <w:pPr>
              <w:pStyle w:val="ListParagraph"/>
              <w:numPr>
                <w:ilvl w:val="0"/>
                <w:numId w:val="2"/>
              </w:numPr>
              <w:spacing w:after="40" w:before="40"/>
            </w:pPr>
            <w:r>
              <w:rPr>
                <w:rFonts w:ascii="Arial" w:cs="Arial" w:eastAsia="Arial" w:hAnsi="Arial"/>
                <w:color w:val="1A2340"/>
                <w:sz w:val="22"/>
                <w:szCs w:val="22"/>
              </w:rPr>
              <w:t xml:space="preserve">Produce an After Action Report (AAR) for P1 incidents</w:t>
            </w:r>
          </w:p>
        </w:tc>
      </w:tr>
    </w:tbl>
    <w:p>
      <w:pPr>
        <w:spacing w:after="0" w:before="80"/>
      </w:pPr>
    </w:p>
    <w:p>
      <w:pPr>
        <w:spacing w:after="80" w:before="160"/>
      </w:pPr>
    </w:p>
    <w:p>
      <w:pPr>
        <w:pStyle w:val="Heading2"/>
        <w:spacing w:after="80" w:before="240"/>
      </w:pPr>
      <w:r>
        <w:rPr>
          <w:rFonts w:ascii="Arial" w:cs="Arial" w:eastAsia="Arial" w:hAnsi="Arial"/>
          <w:b/>
          <w:bCs/>
          <w:color w:val="152168"/>
          <w:sz w:val="24"/>
          <w:szCs w:val="24"/>
        </w:rPr>
        <w:t xml:space="preserve">6.4  Evidence Preservation</w:t>
      </w:r>
    </w:p>
    <w:p>
      <w:pPr>
        <w:spacing w:after="80" w:before="80"/>
      </w:pPr>
      <w:r>
        <w:rPr>
          <w:rFonts w:ascii="Arial" w:cs="Arial" w:eastAsia="Arial" w:hAnsi="Arial"/>
          <w:color w:val="1A2340"/>
          <w:sz w:val="22"/>
          <w:szCs w:val="22"/>
        </w:rPr>
        <w:t xml:space="preserve">Proper evidence preservation is essential for forensic investigation, insurance claims, and potential legal proceedings. The following requirements apply to all P1-P3 incidents:</w:t>
      </w:r>
    </w:p>
    <w:p>
      <w:pPr>
        <w:spacing w:after="40" w:before="80"/>
      </w:pPr>
    </w:p>
    <w:p>
      <w:pPr>
        <w:spacing w:after="80" w:before="80"/>
      </w:pPr>
      <w:r>
        <w:rPr>
          <w:rFonts w:ascii="Arial" w:cs="Arial" w:eastAsia="Arial" w:hAnsi="Arial"/>
          <w:b/>
          <w:bCs/>
          <w:color w:val="1A2340"/>
          <w:sz w:val="22"/>
          <w:szCs w:val="22"/>
        </w:rPr>
        <w:t xml:space="preserve">What to collect:</w:t>
      </w:r>
    </w:p>
    <w:p>
      <w:pPr>
        <w:pStyle w:val="ListParagraph"/>
        <w:numPr>
          <w:ilvl w:val="0"/>
          <w:numId w:val="2"/>
        </w:numPr>
        <w:spacing w:after="40" w:before="40"/>
      </w:pPr>
      <w:r>
        <w:rPr>
          <w:rFonts w:ascii="Arial" w:cs="Arial" w:eastAsia="Arial" w:hAnsi="Arial"/>
          <w:color w:val="1A2340"/>
          <w:sz w:val="22"/>
          <w:szCs w:val="22"/>
        </w:rPr>
        <w:t xml:space="preserve">System and application logs from affected systems (preserve originals; do not modify)</w:t>
      </w:r>
    </w:p>
    <w:p>
      <w:pPr>
        <w:pStyle w:val="ListParagraph"/>
        <w:numPr>
          <w:ilvl w:val="0"/>
          <w:numId w:val="2"/>
        </w:numPr>
        <w:spacing w:after="40" w:before="40"/>
      </w:pPr>
      <w:r>
        <w:rPr>
          <w:rFonts w:ascii="Arial" w:cs="Arial" w:eastAsia="Arial" w:hAnsi="Arial"/>
          <w:color w:val="1A2340"/>
          <w:sz w:val="22"/>
          <w:szCs w:val="22"/>
        </w:rPr>
        <w:t xml:space="preserve">Memory (RAM) captures from live systems before shutdown, where forensically relevant</w:t>
      </w:r>
    </w:p>
    <w:p>
      <w:pPr>
        <w:pStyle w:val="ListParagraph"/>
        <w:numPr>
          <w:ilvl w:val="0"/>
          <w:numId w:val="2"/>
        </w:numPr>
        <w:spacing w:after="40" w:before="40"/>
      </w:pPr>
      <w:r>
        <w:rPr>
          <w:rFonts w:ascii="Arial" w:cs="Arial" w:eastAsia="Arial" w:hAnsi="Arial"/>
          <w:color w:val="1A2340"/>
          <w:sz w:val="22"/>
          <w:szCs w:val="22"/>
        </w:rPr>
        <w:t xml:space="preserve">Disk images using forensic imaging tools (write-protected to prevent modification)</w:t>
      </w:r>
    </w:p>
    <w:p>
      <w:pPr>
        <w:pStyle w:val="ListParagraph"/>
        <w:numPr>
          <w:ilvl w:val="0"/>
          <w:numId w:val="2"/>
        </w:numPr>
        <w:spacing w:after="40" w:before="40"/>
      </w:pPr>
      <w:r>
        <w:rPr>
          <w:rFonts w:ascii="Arial" w:cs="Arial" w:eastAsia="Arial" w:hAnsi="Arial"/>
          <w:color w:val="1A2340"/>
          <w:sz w:val="22"/>
          <w:szCs w:val="22"/>
        </w:rPr>
        <w:t xml:space="preserve">Network traffic captures, firewall logs, and proxy logs</w:t>
      </w:r>
    </w:p>
    <w:p>
      <w:pPr>
        <w:pStyle w:val="ListParagraph"/>
        <w:numPr>
          <w:ilvl w:val="0"/>
          <w:numId w:val="2"/>
        </w:numPr>
        <w:spacing w:after="40" w:before="40"/>
      </w:pPr>
      <w:r>
        <w:rPr>
          <w:rFonts w:ascii="Arial" w:cs="Arial" w:eastAsia="Arial" w:hAnsi="Arial"/>
          <w:color w:val="1A2340"/>
          <w:sz w:val="22"/>
          <w:szCs w:val="22"/>
        </w:rPr>
        <w:t xml:space="preserve">Email headers and message content relating to the incident</w:t>
      </w:r>
    </w:p>
    <w:p>
      <w:pPr>
        <w:pStyle w:val="ListParagraph"/>
        <w:numPr>
          <w:ilvl w:val="0"/>
          <w:numId w:val="2"/>
        </w:numPr>
        <w:spacing w:after="40" w:before="40"/>
      </w:pPr>
      <w:r>
        <w:rPr>
          <w:rFonts w:ascii="Arial" w:cs="Arial" w:eastAsia="Arial" w:hAnsi="Arial"/>
          <w:color w:val="1A2340"/>
          <w:sz w:val="22"/>
          <w:szCs w:val="22"/>
        </w:rPr>
        <w:t xml:space="preserve">Screenshots and contemporaneous notes from the incident response timeline</w:t>
      </w:r>
    </w:p>
    <w:p>
      <w:pPr>
        <w:spacing w:after="40" w:before="80"/>
      </w:pPr>
    </w:p>
    <w:p>
      <w:pPr>
        <w:spacing w:after="80" w:before="80"/>
      </w:pPr>
      <w:r>
        <w:rPr>
          <w:rFonts w:ascii="Arial" w:cs="Arial" w:eastAsia="Arial" w:hAnsi="Arial"/>
          <w:b/>
          <w:bCs/>
          <w:color w:val="1A2340"/>
          <w:sz w:val="22"/>
          <w:szCs w:val="22"/>
        </w:rPr>
        <w:t xml:space="preserve">Chain of custody requirements:</w:t>
      </w:r>
    </w:p>
    <w:p>
      <w:pPr>
        <w:pStyle w:val="ListParagraph"/>
        <w:numPr>
          <w:ilvl w:val="0"/>
          <w:numId w:val="2"/>
        </w:numPr>
        <w:spacing w:after="40" w:before="40"/>
      </w:pPr>
      <w:r>
        <w:rPr>
          <w:rFonts w:ascii="Arial" w:cs="Arial" w:eastAsia="Arial" w:hAnsi="Arial"/>
          <w:color w:val="1A2340"/>
          <w:sz w:val="22"/>
          <w:szCs w:val="22"/>
        </w:rPr>
        <w:t xml:space="preserve">Every piece of evidence must be documented at collection: what was collected, who collected it, when, from which system, and how it was stored</w:t>
      </w:r>
    </w:p>
    <w:p>
      <w:pPr>
        <w:pStyle w:val="ListParagraph"/>
        <w:numPr>
          <w:ilvl w:val="0"/>
          <w:numId w:val="2"/>
        </w:numPr>
        <w:spacing w:after="40" w:before="40"/>
      </w:pPr>
      <w:r>
        <w:rPr>
          <w:rFonts w:ascii="Arial" w:cs="Arial" w:eastAsia="Arial" w:hAnsi="Arial"/>
          <w:color w:val="1A2340"/>
          <w:sz w:val="22"/>
          <w:szCs w:val="22"/>
        </w:rPr>
        <w:t xml:space="preserve">Evidence must be stored in a secure, access-controlled location separate from production systems</w:t>
      </w:r>
    </w:p>
    <w:p>
      <w:pPr>
        <w:pStyle w:val="ListParagraph"/>
        <w:numPr>
          <w:ilvl w:val="0"/>
          <w:numId w:val="2"/>
        </w:numPr>
        <w:spacing w:after="40" w:before="40"/>
      </w:pPr>
      <w:r>
        <w:rPr>
          <w:rFonts w:ascii="Arial" w:cs="Arial" w:eastAsia="Arial" w:hAnsi="Arial"/>
          <w:color w:val="1A2340"/>
          <w:sz w:val="22"/>
          <w:szCs w:val="22"/>
        </w:rPr>
        <w:t xml:space="preserve">No evidence may be deleted, modified, or overwritten without explicit authorization from Legal/Compliance</w:t>
      </w:r>
    </w:p>
    <w:p>
      <w:pPr>
        <w:spacing w:after="40" w:before="80"/>
      </w:pPr>
    </w:p>
    <w:p>
      <w:pPr>
        <w:spacing w:after="80" w:before="80"/>
      </w:pPr>
      <w:r>
        <w:rPr>
          <w:rFonts w:ascii="Arial" w:cs="Arial" w:eastAsia="Arial" w:hAnsi="Arial"/>
          <w:b/>
          <w:bCs/>
          <w:color w:val="1A2340"/>
          <w:sz w:val="22"/>
          <w:szCs w:val="22"/>
        </w:rPr>
        <w:t xml:space="preserve">Retention:</w:t>
      </w:r>
    </w:p>
    <w:p>
      <w:pPr>
        <w:pStyle w:val="ListParagraph"/>
        <w:numPr>
          <w:ilvl w:val="0"/>
          <w:numId w:val="2"/>
        </w:numPr>
        <w:spacing w:after="40" w:before="40"/>
      </w:pPr>
      <w:r>
        <w:rPr>
          <w:rFonts w:ascii="Arial" w:cs="Arial" w:eastAsia="Arial" w:hAnsi="Arial"/>
          <w:color w:val="1A2340"/>
          <w:sz w:val="22"/>
          <w:szCs w:val="22"/>
        </w:rPr>
        <w:t xml:space="preserve">All incident evidence must be retained for a minimum of 3 years, or longer if required by applicable law or regulation</w:t>
      </w:r>
    </w:p>
    <w:p>
      <w:pPr>
        <w:pStyle w:val="ListParagraph"/>
        <w:numPr>
          <w:ilvl w:val="0"/>
          <w:numId w:val="2"/>
        </w:numPr>
        <w:spacing w:after="40" w:before="40"/>
      </w:pPr>
      <w:r>
        <w:rPr>
          <w:rFonts w:ascii="Arial" w:cs="Arial" w:eastAsia="Arial" w:hAnsi="Arial"/>
          <w:color w:val="1A2340"/>
          <w:sz w:val="22"/>
          <w:szCs w:val="22"/>
        </w:rPr>
        <w:t xml:space="preserve">Legal hold: if litigation or regulatory investigation is anticipated, Legal/Compliance will issue a legal hold order requiring indefinite preservation of relevant evidence</w:t>
      </w:r>
    </w:p>
    <w:p>
      <w:pPr>
        <w:spacing w:after="80" w:before="160"/>
      </w:pPr>
    </w:p>
    <w:p>
      <w:pPr>
        <w:pStyle w:val="Heading2"/>
        <w:spacing w:after="80" w:before="240"/>
      </w:pPr>
      <w:r>
        <w:rPr>
          <w:rFonts w:ascii="Arial" w:cs="Arial" w:eastAsia="Arial" w:hAnsi="Arial"/>
          <w:b/>
          <w:bCs/>
          <w:color w:val="152168"/>
          <w:sz w:val="24"/>
          <w:szCs w:val="24"/>
        </w:rPr>
        <w:t xml:space="preserve">6.5  Communication Requirements</w:t>
      </w:r>
    </w:p>
    <w:p>
      <w:pPr>
        <w:spacing w:after="80" w:before="80"/>
      </w:pPr>
      <w:r>
        <w:rPr>
          <w:rFonts w:ascii="Arial" w:cs="Arial" w:eastAsia="Arial" w:hAnsi="Arial"/>
          <w:color w:val="1A2340"/>
          <w:sz w:val="22"/>
          <w:szCs w:val="22"/>
        </w:rPr>
        <w:t xml:space="preserve">Clear, controlled communication is critical during an incident to avoid panic, unauthorized disclosure, and reputational harm.</w:t>
      </w:r>
    </w:p>
    <w:p>
      <w:pPr>
        <w:spacing w:after="40" w:before="80"/>
      </w:pPr>
    </w:p>
    <w:p>
      <w:pPr>
        <w:spacing w:after="80" w:before="80"/>
      </w:pPr>
      <w:r>
        <w:rPr>
          <w:rFonts w:ascii="Arial" w:cs="Arial" w:eastAsia="Arial" w:hAnsi="Arial"/>
          <w:b/>
          <w:bCs/>
          <w:color w:val="1A2340"/>
          <w:sz w:val="22"/>
          <w:szCs w:val="22"/>
        </w:rPr>
        <w:t xml:space="preserve">Internal communications:</w:t>
      </w:r>
    </w:p>
    <w:p>
      <w:pPr>
        <w:pStyle w:val="ListParagraph"/>
        <w:numPr>
          <w:ilvl w:val="0"/>
          <w:numId w:val="2"/>
        </w:numPr>
        <w:spacing w:after="40" w:before="40"/>
      </w:pPr>
      <w:r>
        <w:rPr>
          <w:rFonts w:ascii="Arial" w:cs="Arial" w:eastAsia="Arial" w:hAnsi="Arial"/>
          <w:color w:val="1A2340"/>
          <w:sz w:val="22"/>
          <w:szCs w:val="22"/>
        </w:rPr>
        <w:t xml:space="preserve">All IRT communications during an incident must use a designated secure channel (do not use email systems that may be compromised)</w:t>
      </w:r>
    </w:p>
    <w:p>
      <w:pPr>
        <w:pStyle w:val="ListParagraph"/>
        <w:numPr>
          <w:ilvl w:val="0"/>
          <w:numId w:val="2"/>
        </w:numPr>
        <w:spacing w:after="40" w:before="40"/>
      </w:pPr>
      <w:r>
        <w:rPr>
          <w:rFonts w:ascii="Arial" w:cs="Arial" w:eastAsia="Arial" w:hAnsi="Arial"/>
          <w:color w:val="1A2340"/>
          <w:sz w:val="22"/>
          <w:szCs w:val="22"/>
        </w:rPr>
        <w:t xml:space="preserve">The Incident Commander is the sole authorized source of incident status updates within the organization</w:t>
      </w:r>
    </w:p>
    <w:p>
      <w:pPr>
        <w:pStyle w:val="ListParagraph"/>
        <w:numPr>
          <w:ilvl w:val="0"/>
          <w:numId w:val="2"/>
        </w:numPr>
        <w:spacing w:after="40" w:before="40"/>
      </w:pPr>
      <w:r>
        <w:rPr>
          <w:rFonts w:ascii="Arial" w:cs="Arial" w:eastAsia="Arial" w:hAnsi="Arial"/>
          <w:color w:val="1A2340"/>
          <w:sz w:val="22"/>
          <w:szCs w:val="22"/>
        </w:rPr>
        <w:t xml:space="preserve">Staff who discover or report an incident must not discuss it beyond what is required to make the report</w:t>
      </w:r>
    </w:p>
    <w:p>
      <w:pPr>
        <w:pStyle w:val="ListParagraph"/>
        <w:numPr>
          <w:ilvl w:val="0"/>
          <w:numId w:val="2"/>
        </w:numPr>
        <w:spacing w:after="40" w:before="40"/>
      </w:pPr>
      <w:r>
        <w:rPr>
          <w:rFonts w:ascii="Arial" w:cs="Arial" w:eastAsia="Arial" w:hAnsi="Arial"/>
          <w:color w:val="1A2340"/>
          <w:sz w:val="22"/>
          <w:szCs w:val="22"/>
        </w:rPr>
        <w:t xml:space="preserve">Regular situation reports (SITREPs) will be issued by the IC to IRT members and the Executive Sponsor at defined intervals during P1/P2 incidents</w:t>
      </w:r>
    </w:p>
    <w:p>
      <w:pPr>
        <w:spacing w:after="40" w:before="80"/>
      </w:pPr>
    </w:p>
    <w:p>
      <w:pPr>
        <w:spacing w:after="80" w:before="80"/>
      </w:pPr>
      <w:r>
        <w:rPr>
          <w:rFonts w:ascii="Arial" w:cs="Arial" w:eastAsia="Arial" w:hAnsi="Arial"/>
          <w:b/>
          <w:bCs/>
          <w:color w:val="1A2340"/>
          <w:sz w:val="22"/>
          <w:szCs w:val="22"/>
        </w:rPr>
        <w:t xml:space="preserve">External communications:</w:t>
      </w:r>
    </w:p>
    <w:p>
      <w:pPr>
        <w:pStyle w:val="ListParagraph"/>
        <w:numPr>
          <w:ilvl w:val="0"/>
          <w:numId w:val="2"/>
        </w:numPr>
        <w:spacing w:after="40" w:before="40"/>
      </w:pPr>
      <w:r>
        <w:rPr>
          <w:rFonts w:ascii="Arial" w:cs="Arial" w:eastAsia="Arial" w:hAnsi="Arial"/>
          <w:color w:val="1A2340"/>
          <w:sz w:val="22"/>
          <w:szCs w:val="22"/>
        </w:rPr>
        <w:t xml:space="preserve">No unauthorized external disclosures: only designated spokespersons (Communications Lead, Legal) may communicate about an incident externally</w:t>
      </w:r>
    </w:p>
    <w:p>
      <w:pPr>
        <w:pStyle w:val="ListParagraph"/>
        <w:numPr>
          <w:ilvl w:val="0"/>
          <w:numId w:val="2"/>
        </w:numPr>
        <w:spacing w:after="40" w:before="40"/>
      </w:pPr>
      <w:r>
        <w:rPr>
          <w:rFonts w:ascii="Arial" w:cs="Arial" w:eastAsia="Arial" w:hAnsi="Arial"/>
          <w:color w:val="1A2340"/>
          <w:sz w:val="22"/>
          <w:szCs w:val="22"/>
        </w:rPr>
        <w:t xml:space="preserve">Media inquiries must be directed to the Communications Lead; no other staff may respond to media</w:t>
      </w:r>
    </w:p>
    <w:p>
      <w:pPr>
        <w:pStyle w:val="ListParagraph"/>
        <w:numPr>
          <w:ilvl w:val="0"/>
          <w:numId w:val="2"/>
        </w:numPr>
        <w:spacing w:after="40" w:before="40"/>
      </w:pPr>
      <w:r>
        <w:rPr>
          <w:rFonts w:ascii="Arial" w:cs="Arial" w:eastAsia="Arial" w:hAnsi="Arial"/>
          <w:color w:val="1A2340"/>
          <w:sz w:val="22"/>
          <w:szCs w:val="22"/>
        </w:rPr>
        <w:t xml:space="preserve">Client and partner notifications must be approved by Legal/Compliance before release</w:t>
      </w:r>
    </w:p>
    <w:p>
      <w:pPr>
        <w:pStyle w:val="ListParagraph"/>
        <w:numPr>
          <w:ilvl w:val="0"/>
          <w:numId w:val="2"/>
        </w:numPr>
        <w:spacing w:after="40" w:before="40"/>
      </w:pPr>
      <w:r>
        <w:rPr>
          <w:rFonts w:ascii="Arial" w:cs="Arial" w:eastAsia="Arial" w:hAnsi="Arial"/>
          <w:color w:val="1A2340"/>
          <w:sz w:val="22"/>
          <w:szCs w:val="22"/>
        </w:rPr>
        <w:t xml:space="preserve">Approved language templates for common scenarios are maintained in Appendix B</w:t>
      </w:r>
    </w:p>
    <w:p>
      <w:pPr>
        <w:spacing w:after="80" w:before="160"/>
      </w:pPr>
    </w:p>
    <w:p>
      <w:pPr>
        <w:pStyle w:val="Heading2"/>
        <w:spacing w:after="80" w:before="240"/>
      </w:pPr>
      <w:r>
        <w:rPr>
          <w:rFonts w:ascii="Arial" w:cs="Arial" w:eastAsia="Arial" w:hAnsi="Arial"/>
          <w:b/>
          <w:bCs/>
          <w:color w:val="152168"/>
          <w:sz w:val="24"/>
          <w:szCs w:val="24"/>
        </w:rPr>
        <w:t xml:space="preserve">6.6  Regulatory Notification Matrix</w:t>
      </w:r>
    </w:p>
    <w:p>
      <w:pPr>
        <w:spacing w:after="80" w:before="80"/>
      </w:pPr>
      <w:r>
        <w:rPr>
          <w:rFonts w:ascii="Arial" w:cs="Arial" w:eastAsia="Arial" w:hAnsi="Arial"/>
          <w:color w:val="1A2340"/>
          <w:sz w:val="22"/>
          <w:szCs w:val="22"/>
        </w:rPr>
        <w:t xml:space="preserve">The following table summarizes notification obligations for common incident types. Legal/Compliance is responsible for determining applicability and managing notifications.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1660"/>
        <w:gridCol w:w="2200"/>
      </w:tblGrid>
      <w:tr>
        <w:trPr>
          <w:tblHeader/>
        </w:trPr>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Incident Type</w:t>
            </w:r>
          </w:p>
        </w:tc>
        <w:tc>
          <w:tcPr>
            <w:tcW w:type="dxa" w:w="17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Regulation</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6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Notified Party</w:t>
            </w:r>
          </w:p>
        </w:tc>
      </w:tr>
      <w:tr>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Personal data breach (10+ individuals)</w:t>
            </w:r>
          </w:p>
        </w:tc>
        <w:tc>
          <w:tcPr>
            <w:tcW w:type="dxa" w:w="1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PIPEDA (Canada)</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Real risk of significant harm to individuals</w:t>
            </w:r>
          </w:p>
        </w:tc>
        <w:tc>
          <w:tcPr>
            <w:tcW w:type="dxa" w:w="16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Without unreasonable delay</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OPC + affected individuals</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Payment card data compromise</w:t>
            </w:r>
          </w:p>
        </w:tc>
        <w:tc>
          <w:tcPr>
            <w:tcW w:type="dxa" w:w="1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PCI DSS</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Any confirmed or suspected compromise of cardholder data</w:t>
            </w:r>
          </w:p>
        </w:tc>
        <w:tc>
          <w:tcPr>
            <w:tcW w:type="dxa" w:w="16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Immediately upon confirmation</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Card brands + acquiring bank</w:t>
            </w:r>
          </w:p>
        </w:tc>
      </w:tr>
      <w:tr>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Health information breach</w:t>
            </w:r>
          </w:p>
        </w:tc>
        <w:tc>
          <w:tcPr>
            <w:tcW w:type="dxa" w:w="1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Provincial health privacy legislation (e.g., BC PIPA, PHIPA)</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Unauthorized access or disclosure of personal health information</w:t>
            </w:r>
          </w:p>
        </w:tc>
        <w:tc>
          <w:tcPr>
            <w:tcW w:type="dxa" w:w="16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As required by applicable legislation</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color w:val="1A2340"/>
                <w:sz w:val="18"/>
                <w:szCs w:val="18"/>
              </w:rPr>
              <w:t xml:space="preserve">Privacy Commissioner + affected individuals</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EU/UK residents affected</w:t>
            </w:r>
          </w:p>
        </w:tc>
        <w:tc>
          <w:tcPr>
            <w:tcW w:type="dxa" w:w="1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GDPR / UK GDPR</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Breach likely to result in risk to natural persons</w:t>
            </w:r>
          </w:p>
        </w:tc>
        <w:tc>
          <w:tcPr>
            <w:tcW w:type="dxa" w:w="16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Within 72 hours of awareness</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color w:val="1A2340"/>
                <w:sz w:val="18"/>
                <w:szCs w:val="18"/>
              </w:rPr>
              <w:t xml:space="preserve">Lead supervisory authority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20"/>
              <w:left w:type="dxa" w:w="180"/>
              <w:bottom w:type="dxa" w:w="120"/>
              <w:right w:type="dxa" w:w="180"/>
            </w:tcMar>
          </w:tcPr>
          <w:p>
            <w:r>
              <w:rPr>
                <w:rFonts w:ascii="Arial" w:cs="Arial" w:eastAsia="Arial" w:hAnsi="Arial"/>
                <w:b/>
                <w:bCs/>
                <w:color w:val="152168"/>
                <w:sz w:val="22"/>
                <w:szCs w:val="22"/>
              </w:rPr>
              <w:t xml:space="preserve">Important Note</w:t>
            </w:r>
          </w:p>
          <w:p>
            <w:pPr>
              <w:spacing w:after="40" w:before="40"/>
            </w:pPr>
          </w:p>
          <w:p>
            <w:r>
              <w:rPr>
                <w:rFonts w:ascii="Arial" w:cs="Arial" w:eastAsia="Arial" w:hAnsi="Arial"/>
                <w:color w:val="1A2340"/>
                <w:sz w:val="20"/>
                <w:szCs w:val="20"/>
              </w:rPr>
              <w:t xml:space="preserve">Regulatory notification requirements change. Legal/Compliance must assess each incident against current legislation. This matrix is maintained as part of the annual policy review.</w:t>
            </w:r>
          </w:p>
        </w:tc>
      </w:tr>
    </w:tbl>
    <w:p>
      <w:pPr>
        <w:spacing w:after="80" w:before="160"/>
      </w:pPr>
    </w:p>
    <w:p>
      <w:pPr>
        <w:pStyle w:val="Heading2"/>
        <w:spacing w:after="80" w:before="240"/>
      </w:pPr>
      <w:r>
        <w:rPr>
          <w:rFonts w:ascii="Arial" w:cs="Arial" w:eastAsia="Arial" w:hAnsi="Arial"/>
          <w:b/>
          <w:bCs/>
          <w:color w:val="152168"/>
          <w:sz w:val="24"/>
          <w:szCs w:val="24"/>
        </w:rPr>
        <w:t xml:space="preserve">6.7  Cyber Insurance Obligations</w:t>
      </w:r>
    </w:p>
    <w:p>
      <w:pPr>
        <w:spacing w:after="80" w:before="80"/>
      </w:pPr>
      <w:r>
        <w:rPr>
          <w:rFonts w:ascii="Arial" w:cs="Arial" w:eastAsia="Arial" w:hAnsi="Arial"/>
          <w:color w:val="1A2340"/>
          <w:sz w:val="22"/>
          <w:szCs w:val="22"/>
        </w:rPr>
        <w:t xml:space="preserve">The organization maintains a cyber insurance policy. Incident response obligations related to the policy include:</w:t>
      </w:r>
    </w:p>
    <w:p>
      <w:pPr>
        <w:pStyle w:val="ListParagraph"/>
        <w:numPr>
          <w:ilvl w:val="0"/>
          <w:numId w:val="2"/>
        </w:numPr>
        <w:spacing w:after="40" w:before="40"/>
      </w:pPr>
      <w:r>
        <w:rPr>
          <w:rFonts w:ascii="Arial" w:cs="Arial" w:eastAsia="Arial" w:hAnsi="Arial"/>
          <w:color w:val="1A2340"/>
          <w:sz w:val="22"/>
          <w:szCs w:val="22"/>
        </w:rPr>
        <w:t xml:space="preserve">Notify the insurer within the timeframe specified in the policy (typically 72 hours of becoming aware of a qualifying incident)</w:t>
      </w:r>
    </w:p>
    <w:p>
      <w:pPr>
        <w:pStyle w:val="ListParagraph"/>
        <w:numPr>
          <w:ilvl w:val="0"/>
          <w:numId w:val="2"/>
        </w:numPr>
        <w:spacing w:after="40" w:before="40"/>
      </w:pPr>
      <w:r>
        <w:rPr>
          <w:rFonts w:ascii="Arial" w:cs="Arial" w:eastAsia="Arial" w:hAnsi="Arial"/>
          <w:color w:val="1A2340"/>
          <w:sz w:val="22"/>
          <w:szCs w:val="22"/>
        </w:rPr>
        <w:t xml:space="preserve">The Incident Commander is responsible for initiating insurer notification</w:t>
      </w:r>
    </w:p>
    <w:p>
      <w:pPr>
        <w:pStyle w:val="ListParagraph"/>
        <w:numPr>
          <w:ilvl w:val="0"/>
          <w:numId w:val="2"/>
        </w:numPr>
        <w:spacing w:after="40" w:before="40"/>
      </w:pPr>
      <w:r>
        <w:rPr>
          <w:rFonts w:ascii="Arial" w:cs="Arial" w:eastAsia="Arial" w:hAnsi="Arial"/>
          <w:color w:val="1A2340"/>
          <w:sz w:val="22"/>
          <w:szCs w:val="22"/>
        </w:rPr>
        <w:t xml:space="preserve">Preserve all evidence in a manner acceptable to the insurer — consult the insurer's IR requirements before making significant changes to affected systems</w:t>
      </w:r>
    </w:p>
    <w:p>
      <w:pPr>
        <w:pStyle w:val="ListParagraph"/>
        <w:numPr>
          <w:ilvl w:val="0"/>
          <w:numId w:val="2"/>
        </w:numPr>
        <w:spacing w:after="40" w:before="40"/>
      </w:pPr>
      <w:r>
        <w:rPr>
          <w:rFonts w:ascii="Arial" w:cs="Arial" w:eastAsia="Arial" w:hAnsi="Arial"/>
          <w:color w:val="1A2340"/>
          <w:sz w:val="22"/>
          <w:szCs w:val="22"/>
        </w:rPr>
        <w:t xml:space="preserve">Do not pay a ransom without first consulting the insurer and legal counsel — unauthorized payments may void coverage</w:t>
      </w:r>
    </w:p>
    <w:p>
      <w:pPr>
        <w:pStyle w:val="ListParagraph"/>
        <w:numPr>
          <w:ilvl w:val="0"/>
          <w:numId w:val="2"/>
        </w:numPr>
        <w:spacing w:after="40" w:before="40"/>
      </w:pPr>
      <w:r>
        <w:rPr>
          <w:rFonts w:ascii="Arial" w:cs="Arial" w:eastAsia="Arial" w:hAnsi="Arial"/>
          <w:color w:val="1A2340"/>
          <w:sz w:val="22"/>
          <w:szCs w:val="22"/>
        </w:rPr>
        <w:t xml:space="preserve">Engage only insurer-approved or insurer-acceptable forensic and legal vendors unless prior written approval is obtained</w:t>
      </w:r>
    </w:p>
    <w:p>
      <w:pPr>
        <w:pStyle w:val="ListParagraph"/>
        <w:numPr>
          <w:ilvl w:val="0"/>
          <w:numId w:val="2"/>
        </w:numPr>
        <w:spacing w:after="40" w:before="40"/>
      </w:pPr>
      <w:r>
        <w:rPr>
          <w:rFonts w:ascii="Arial" w:cs="Arial" w:eastAsia="Arial" w:hAnsi="Arial"/>
          <w:color w:val="1A2340"/>
          <w:sz w:val="22"/>
          <w:szCs w:val="22"/>
        </w:rPr>
        <w:t xml:space="preserve">Maintain documentation of all response costs (internal time, vendor costs, legal fees) for claims submission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20"/>
              <w:left w:type="dxa" w:w="180"/>
              <w:bottom w:type="dxa" w:w="120"/>
              <w:right w:type="dxa" w:w="180"/>
            </w:tcMar>
          </w:tcPr>
          <w:p>
            <w:r>
              <w:rPr>
                <w:rFonts w:ascii="Arial" w:cs="Arial" w:eastAsia="Arial" w:hAnsi="Arial"/>
                <w:b/>
                <w:bCs/>
                <w:color w:val="152168"/>
                <w:sz w:val="22"/>
                <w:szCs w:val="22"/>
              </w:rPr>
              <w:t xml:space="preserve">Cyber Insurance Contact</w:t>
            </w:r>
          </w:p>
          <w:p>
            <w:pPr>
              <w:spacing w:after="40" w:before="40"/>
            </w:pPr>
          </w:p>
          <w:p>
            <w:r>
              <w:rPr>
                <w:rFonts w:ascii="Arial" w:cs="Arial" w:eastAsia="Arial" w:hAnsi="Arial"/>
                <w:color w:val="1A2340"/>
                <w:sz w:val="20"/>
                <w:szCs w:val="20"/>
              </w:rPr>
              <w:t xml:space="preserve">Insurer: [INSURER NAME]</w:t>
            </w:r>
          </w:p>
          <w:p>
            <w:r>
              <w:rPr>
                <w:rFonts w:ascii="Arial" w:cs="Arial" w:eastAsia="Arial" w:hAnsi="Arial"/>
                <w:color w:val="1A2340"/>
                <w:sz w:val="20"/>
                <w:szCs w:val="20"/>
              </w:rPr>
              <w:t xml:space="preserve">Policy Number: [POLICY NUMBER]</w:t>
            </w:r>
          </w:p>
          <w:p>
            <w:r>
              <w:rPr>
                <w:rFonts w:ascii="Arial" w:cs="Arial" w:eastAsia="Arial" w:hAnsi="Arial"/>
                <w:color w:val="1A2340"/>
                <w:sz w:val="20"/>
                <w:szCs w:val="20"/>
              </w:rPr>
              <w:t xml:space="preserve">24/7 Claims Line: [PHONE NUMBER]</w:t>
            </w:r>
          </w:p>
          <w:p>
            <w:r>
              <w:rPr>
                <w:rFonts w:ascii="Arial" w:cs="Arial" w:eastAsia="Arial" w:hAnsi="Arial"/>
                <w:color w:val="1A2340"/>
                <w:sz w:val="20"/>
                <w:szCs w:val="20"/>
              </w:rPr>
              <w:t xml:space="preserve">Claims Email: [EMAIL ADDRESS]</w:t>
            </w:r>
          </w:p>
        </w:tc>
      </w:tr>
    </w:tbl>
    <w:p>
      <w:pPr>
        <w:spacing w:after="80" w:before="160"/>
      </w:pPr>
    </w:p>
    <w:p>
      <w:pPr>
        <w:pStyle w:val="Heading2"/>
        <w:spacing w:after="80" w:before="240"/>
      </w:pPr>
      <w:r>
        <w:rPr>
          <w:rFonts w:ascii="Arial" w:cs="Arial" w:eastAsia="Arial" w:hAnsi="Arial"/>
          <w:b/>
          <w:bCs/>
          <w:color w:val="152168"/>
          <w:sz w:val="24"/>
          <w:szCs w:val="24"/>
        </w:rPr>
        <w:t xml:space="preserve">6.8  Post-Incident Review</w:t>
      </w:r>
    </w:p>
    <w:p>
      <w:pPr>
        <w:spacing w:after="80" w:before="80"/>
      </w:pPr>
      <w:r>
        <w:rPr>
          <w:rFonts w:ascii="Arial" w:cs="Arial" w:eastAsia="Arial" w:hAnsi="Arial"/>
          <w:color w:val="1A2340"/>
          <w:sz w:val="22"/>
          <w:szCs w:val="22"/>
        </w:rPr>
        <w:t xml:space="preserve">A structured Post-Incident Review (PIR) must be conducted following all P1 and P2 incidents, and is strongly recommended for P3 incidents. The PIR must be completed within 5 business days of incident resolution.</w:t>
      </w:r>
    </w:p>
    <w:p>
      <w:pPr>
        <w:spacing w:after="40" w:before="80"/>
      </w:pPr>
    </w:p>
    <w:p>
      <w:pPr>
        <w:spacing w:after="80" w:before="80"/>
      </w:pPr>
      <w:r>
        <w:rPr>
          <w:rFonts w:ascii="Arial" w:cs="Arial" w:eastAsia="Arial" w:hAnsi="Arial"/>
          <w:b/>
          <w:bCs/>
          <w:color w:val="1A2340"/>
          <w:sz w:val="22"/>
          <w:szCs w:val="22"/>
        </w:rPr>
        <w:t xml:space="preserve">The PIR must address:</w:t>
      </w:r>
    </w:p>
    <w:p>
      <w:pPr>
        <w:pStyle w:val="ListParagraph"/>
        <w:numPr>
          <w:ilvl w:val="0"/>
          <w:numId w:val="2"/>
        </w:numPr>
        <w:spacing w:after="40" w:before="40"/>
      </w:pPr>
      <w:r>
        <w:rPr>
          <w:rFonts w:ascii="Arial" w:cs="Arial" w:eastAsia="Arial" w:hAnsi="Arial"/>
          <w:color w:val="1A2340"/>
          <w:sz w:val="22"/>
          <w:szCs w:val="22"/>
        </w:rPr>
        <w:t xml:space="preserve">Incident timeline: from first detection through to full resolution, with timestamps</w:t>
      </w:r>
    </w:p>
    <w:p>
      <w:pPr>
        <w:pStyle w:val="ListParagraph"/>
        <w:numPr>
          <w:ilvl w:val="0"/>
          <w:numId w:val="2"/>
        </w:numPr>
        <w:spacing w:after="40" w:before="40"/>
      </w:pPr>
      <w:r>
        <w:rPr>
          <w:rFonts w:ascii="Arial" w:cs="Arial" w:eastAsia="Arial" w:hAnsi="Arial"/>
          <w:color w:val="1A2340"/>
          <w:sz w:val="22"/>
          <w:szCs w:val="22"/>
        </w:rPr>
        <w:t xml:space="preserve">Root cause analysis: what vulnerability, misconfiguration, or human error enabled the incident</w:t>
      </w:r>
    </w:p>
    <w:p>
      <w:pPr>
        <w:pStyle w:val="ListParagraph"/>
        <w:numPr>
          <w:ilvl w:val="0"/>
          <w:numId w:val="2"/>
        </w:numPr>
        <w:spacing w:after="40" w:before="40"/>
      </w:pPr>
      <w:r>
        <w:rPr>
          <w:rFonts w:ascii="Arial" w:cs="Arial" w:eastAsia="Arial" w:hAnsi="Arial"/>
          <w:color w:val="1A2340"/>
          <w:sz w:val="22"/>
          <w:szCs w:val="22"/>
        </w:rPr>
        <w:t xml:space="preserve">What worked well: effective controls, response actions, and team coordination</w:t>
      </w:r>
    </w:p>
    <w:p>
      <w:pPr>
        <w:pStyle w:val="ListParagraph"/>
        <w:numPr>
          <w:ilvl w:val="0"/>
          <w:numId w:val="2"/>
        </w:numPr>
        <w:spacing w:after="40" w:before="40"/>
      </w:pPr>
      <w:r>
        <w:rPr>
          <w:rFonts w:ascii="Arial" w:cs="Arial" w:eastAsia="Arial" w:hAnsi="Arial"/>
          <w:color w:val="1A2340"/>
          <w:sz w:val="22"/>
          <w:szCs w:val="22"/>
        </w:rPr>
        <w:t xml:space="preserve">What did not work: gaps in detection, response, communication, or documentation</w:t>
      </w:r>
    </w:p>
    <w:p>
      <w:pPr>
        <w:pStyle w:val="ListParagraph"/>
        <w:numPr>
          <w:ilvl w:val="0"/>
          <w:numId w:val="2"/>
        </w:numPr>
        <w:spacing w:after="40" w:before="40"/>
      </w:pPr>
      <w:r>
        <w:rPr>
          <w:rFonts w:ascii="Arial" w:cs="Arial" w:eastAsia="Arial" w:hAnsi="Arial"/>
          <w:color w:val="1A2340"/>
          <w:sz w:val="22"/>
          <w:szCs w:val="22"/>
        </w:rPr>
        <w:t xml:space="preserve">Action items: specific, measurable improvements with named owners and completion dates</w:t>
      </w:r>
    </w:p>
    <w:p>
      <w:pPr>
        <w:spacing w:after="40" w:before="80"/>
      </w:pPr>
    </w:p>
    <w:p>
      <w:pPr>
        <w:spacing w:after="80" w:before="80"/>
      </w:pPr>
      <w:r>
        <w:rPr>
          <w:rFonts w:ascii="Arial" w:cs="Arial" w:eastAsia="Arial" w:hAnsi="Arial"/>
          <w:b/>
          <w:bCs/>
          <w:color w:val="1A2340"/>
          <w:sz w:val="22"/>
          <w:szCs w:val="22"/>
        </w:rPr>
        <w:t xml:space="preserve">Outputs of the PIR:</w:t>
      </w:r>
    </w:p>
    <w:p>
      <w:pPr>
        <w:pStyle w:val="ListParagraph"/>
        <w:numPr>
          <w:ilvl w:val="0"/>
          <w:numId w:val="2"/>
        </w:numPr>
        <w:spacing w:after="40" w:before="40"/>
      </w:pPr>
      <w:r>
        <w:rPr>
          <w:rFonts w:ascii="Arial" w:cs="Arial" w:eastAsia="Arial" w:hAnsi="Arial"/>
          <w:color w:val="1A2340"/>
          <w:sz w:val="22"/>
          <w:szCs w:val="22"/>
        </w:rPr>
        <w:t xml:space="preserve">Lessons learned documented and shared with the IRT</w:t>
      </w:r>
    </w:p>
    <w:p>
      <w:pPr>
        <w:pStyle w:val="ListParagraph"/>
        <w:numPr>
          <w:ilvl w:val="0"/>
          <w:numId w:val="2"/>
        </w:numPr>
        <w:spacing w:after="40" w:before="40"/>
      </w:pPr>
      <w:r>
        <w:rPr>
          <w:rFonts w:ascii="Arial" w:cs="Arial" w:eastAsia="Arial" w:hAnsi="Arial"/>
          <w:color w:val="1A2340"/>
          <w:sz w:val="22"/>
          <w:szCs w:val="22"/>
        </w:rPr>
        <w:t xml:space="preserve">Risk register updated to reflect identified gaps and residual risks</w:t>
      </w:r>
    </w:p>
    <w:p>
      <w:pPr>
        <w:pStyle w:val="ListParagraph"/>
        <w:numPr>
          <w:ilvl w:val="0"/>
          <w:numId w:val="2"/>
        </w:numPr>
        <w:spacing w:after="40" w:before="40"/>
      </w:pPr>
      <w:r>
        <w:rPr>
          <w:rFonts w:ascii="Arial" w:cs="Arial" w:eastAsia="Arial" w:hAnsi="Arial"/>
          <w:color w:val="1A2340"/>
          <w:sz w:val="22"/>
          <w:szCs w:val="22"/>
        </w:rPr>
        <w:t xml:space="preserve">Security program updated where control gaps were identified</w:t>
      </w:r>
    </w:p>
    <w:p>
      <w:pPr>
        <w:pStyle w:val="ListParagraph"/>
        <w:numPr>
          <w:ilvl w:val="0"/>
          <w:numId w:val="2"/>
        </w:numPr>
        <w:spacing w:after="40" w:before="40"/>
      </w:pPr>
      <w:r>
        <w:rPr>
          <w:rFonts w:ascii="Arial" w:cs="Arial" w:eastAsia="Arial" w:hAnsi="Arial"/>
          <w:color w:val="1A2340"/>
          <w:sz w:val="22"/>
          <w:szCs w:val="22"/>
        </w:rPr>
        <w:t xml:space="preserve">After Action Report (AAR) produced for P1 incidents — may be shared with the board, insurer, or regulators</w:t>
      </w:r>
    </w:p>
    <w:p>
      <w:pPr>
        <w:spacing w:after="80" w:before="160"/>
      </w:pPr>
    </w:p>
    <w:p>
      <w:pPr>
        <w:pStyle w:val="Heading1"/>
        <w:spacing w:after="120" w:before="320"/>
      </w:pPr>
      <w:r>
        <w:rPr>
          <w:rFonts w:ascii="Arial" w:cs="Arial" w:eastAsia="Arial" w:hAnsi="Arial"/>
          <w:b/>
          <w:bCs/>
          <w:color w:val="152168"/>
          <w:sz w:val="28"/>
          <w:szCs w:val="28"/>
        </w:rPr>
        <w:t xml:space="preserve">7.  Compliance and Enforcement</w:t>
      </w:r>
    </w:p>
    <w:p>
      <w:pPr>
        <w:spacing w:after="80" w:before="80"/>
      </w:pPr>
      <w:r>
        <w:rPr>
          <w:rFonts w:ascii="Arial" w:cs="Arial" w:eastAsia="Arial" w:hAnsi="Arial"/>
          <w:color w:val="1A2340"/>
          <w:sz w:val="22"/>
          <w:szCs w:val="22"/>
        </w:rPr>
        <w:t xml:space="preserve">All personnel are required to comply with this policy. Failure to report a known or suspected security incident, unauthorized disclosure of incident information, or deliberate interference with incident response activities may result in disciplinary action up to and including termination, and may expose the individual to civil or criminal liability.</w:t>
      </w:r>
    </w:p>
    <w:p>
      <w:pPr>
        <w:spacing w:after="80" w:before="80"/>
      </w:pPr>
      <w:r>
        <w:rPr>
          <w:rFonts w:ascii="Arial" w:cs="Arial" w:eastAsia="Arial" w:hAnsi="Arial"/>
          <w:color w:val="1A2340"/>
          <w:sz w:val="22"/>
          <w:szCs w:val="22"/>
        </w:rPr>
        <w:t xml:space="preserve">The CISO/vCISO is responsible for monitoring compliance with this policy and reporting material incidents to executive leadership and the board as appropriate.</w:t>
      </w:r>
    </w:p>
    <w:p>
      <w:pPr>
        <w:spacing w:after="80" w:before="80"/>
      </w:pPr>
      <w:r>
        <w:rPr>
          <w:rFonts w:ascii="Arial" w:cs="Arial" w:eastAsia="Arial" w:hAnsi="Arial"/>
          <w:color w:val="1A2340"/>
          <w:sz w:val="22"/>
          <w:szCs w:val="22"/>
        </w:rPr>
        <w:t xml:space="preserve">This policy will be reviewed annually, following any material incident, or when significant changes occur to the organization's technology environment, regulatory obligations, or business operations.</w:t>
      </w:r>
    </w:p>
    <w:p>
      <w:pPr>
        <w:spacing w:after="80" w:before="80"/>
      </w:pPr>
    </w:p>
    <w:p>
      <w:pPr>
        <w:pStyle w:val="Heading1"/>
        <w:spacing w:after="120" w:before="320"/>
      </w:pPr>
      <w:r>
        <w:rPr>
          <w:rFonts w:ascii="Arial" w:cs="Arial" w:eastAsia="Arial" w:hAnsi="Arial"/>
          <w:b/>
          <w:bCs/>
          <w:color w:val="152168"/>
          <w:sz w:val="28"/>
          <w:szCs w:val="28"/>
        </w:rPr>
        <w:t xml:space="preserve">8.  Related Documents</w:t>
      </w:r>
    </w:p>
    <w:p>
      <w:pPr>
        <w:pStyle w:val="ListParagraph"/>
        <w:numPr>
          <w:ilvl w:val="0"/>
          <w:numId w:val="2"/>
        </w:numPr>
        <w:spacing w:after="40" w:before="40"/>
      </w:pPr>
      <w:r>
        <w:rPr>
          <w:rFonts w:ascii="Arial" w:cs="Arial" w:eastAsia="Arial" w:hAnsi="Arial"/>
          <w:color w:val="1A2340"/>
          <w:sz w:val="22"/>
          <w:szCs w:val="22"/>
        </w:rPr>
        <w:t xml:space="preserve">Information Security Policy</w:t>
      </w:r>
    </w:p>
    <w:p>
      <w:pPr>
        <w:pStyle w:val="ListParagraph"/>
        <w:numPr>
          <w:ilvl w:val="0"/>
          <w:numId w:val="2"/>
        </w:numPr>
        <w:spacing w:after="40" w:before="40"/>
      </w:pPr>
      <w:r>
        <w:rPr>
          <w:rFonts w:ascii="Arial" w:cs="Arial" w:eastAsia="Arial" w:hAnsi="Arial"/>
          <w:color w:val="1A2340"/>
          <w:sz w:val="22"/>
          <w:szCs w:val="22"/>
        </w:rPr>
        <w:t xml:space="preserve">Business Continuity and Disaster Recovery Plan</w:t>
      </w:r>
    </w:p>
    <w:p>
      <w:pPr>
        <w:pStyle w:val="ListParagraph"/>
        <w:numPr>
          <w:ilvl w:val="0"/>
          <w:numId w:val="2"/>
        </w:numPr>
        <w:spacing w:after="40" w:before="40"/>
      </w:pPr>
      <w:r>
        <w:rPr>
          <w:rFonts w:ascii="Arial" w:cs="Arial" w:eastAsia="Arial" w:hAnsi="Arial"/>
          <w:color w:val="1A2340"/>
          <w:sz w:val="22"/>
          <w:szCs w:val="22"/>
        </w:rPr>
        <w:t xml:space="preserve">Data Classification Policy</w:t>
      </w:r>
    </w:p>
    <w:p>
      <w:pPr>
        <w:pStyle w:val="ListParagraph"/>
        <w:numPr>
          <w:ilvl w:val="0"/>
          <w:numId w:val="2"/>
        </w:numPr>
        <w:spacing w:after="40" w:before="40"/>
      </w:pPr>
      <w:r>
        <w:rPr>
          <w:rFonts w:ascii="Arial" w:cs="Arial" w:eastAsia="Arial" w:hAnsi="Arial"/>
          <w:color w:val="1A2340"/>
          <w:sz w:val="22"/>
          <w:szCs w:val="22"/>
        </w:rPr>
        <w:t xml:space="preserve">Acceptable Use Policy</w:t>
      </w:r>
    </w:p>
    <w:p>
      <w:pPr>
        <w:pStyle w:val="ListParagraph"/>
        <w:numPr>
          <w:ilvl w:val="0"/>
          <w:numId w:val="2"/>
        </w:numPr>
        <w:spacing w:after="40" w:before="40"/>
      </w:pPr>
      <w:r>
        <w:rPr>
          <w:rFonts w:ascii="Arial" w:cs="Arial" w:eastAsia="Arial" w:hAnsi="Arial"/>
          <w:color w:val="1A2340"/>
          <w:sz w:val="22"/>
          <w:szCs w:val="22"/>
        </w:rPr>
        <w:t xml:space="preserve">Vendor and Third-Party Risk Management Policy</w:t>
      </w:r>
    </w:p>
    <w:p>
      <w:pPr>
        <w:pStyle w:val="ListParagraph"/>
        <w:numPr>
          <w:ilvl w:val="0"/>
          <w:numId w:val="2"/>
        </w:numPr>
        <w:spacing w:after="40" w:before="40"/>
      </w:pPr>
      <w:r>
        <w:rPr>
          <w:rFonts w:ascii="Arial" w:cs="Arial" w:eastAsia="Arial" w:hAnsi="Arial"/>
          <w:color w:val="1A2340"/>
          <w:sz w:val="22"/>
          <w:szCs w:val="22"/>
        </w:rPr>
        <w:t xml:space="preserve">Privacy and Personal Data Protection Policy</w:t>
      </w:r>
    </w:p>
    <w:p>
      <w:pPr>
        <w:pStyle w:val="ListParagraph"/>
        <w:numPr>
          <w:ilvl w:val="0"/>
          <w:numId w:val="2"/>
        </w:numPr>
        <w:spacing w:after="40" w:before="40"/>
      </w:pPr>
      <w:r>
        <w:rPr>
          <w:rFonts w:ascii="Arial" w:cs="Arial" w:eastAsia="Arial" w:hAnsi="Arial"/>
          <w:color w:val="1A2340"/>
          <w:sz w:val="22"/>
          <w:szCs w:val="22"/>
        </w:rPr>
        <w:t xml:space="preserve">Cyber Insurance Policy [on file with Finance/Legal]</w:t>
      </w:r>
    </w:p>
    <w:p>
      <w:pPr>
        <w:spacing w:after="80" w:before="80"/>
      </w:pPr>
    </w:p>
    <w:p>
      <w:pPr>
        <w:pStyle w:val="Heading1"/>
        <w:spacing w:after="120" w:before="320"/>
      </w:pPr>
      <w:r>
        <w:rPr>
          <w:rFonts w:ascii="Arial" w:cs="Arial" w:eastAsia="Arial" w:hAnsi="Arial"/>
          <w:b/>
          <w:bCs/>
          <w:color w:val="152168"/>
          <w:sz w:val="28"/>
          <w:szCs w:val="28"/>
        </w:rPr>
        <w:t xml:space="preserve">9.  Document Control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0"/>
                <w:szCs w:val="20"/>
              </w:rPr>
              <w:t xml:space="preserve">1.0</w:t>
            </w:r>
          </w:p>
        </w:tc>
        <w:tc>
          <w:tcPr>
            <w:tcW w:type="dxa" w:w="200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0"/>
                <w:szCs w:val="20"/>
              </w:rPr>
              <w:t xml:space="preserve">[DATE]</w:t>
            </w:r>
          </w:p>
        </w:tc>
        <w:tc>
          <w:tcPr>
            <w:tcW w:type="dxa" w:w="200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0"/>
                <w:szCs w:val="20"/>
              </w:rPr>
              <w:t xml:space="preserve">[AUTHOR]</w:t>
            </w:r>
          </w:p>
        </w:tc>
        <w:tc>
          <w:tcPr>
            <w:tcW w:type="dxa" w:w="3960"/>
            <w:tcBorders>
              <w:top w:val="single" w:color="DDE3EF" w:sz="4"/>
              <w:left w:val="single" w:color="DDE3EF" w:sz="4"/>
              <w:bottom w:val="single" w:color="DDE3EF" w:sz="4"/>
              <w:right w:val="single" w:color="DDE3EF" w:sz="4"/>
            </w:tcBorders>
            <w:tcMar>
              <w:top w:type="dxa" w:w="80"/>
              <w:left w:type="dxa" w:w="120"/>
              <w:bottom w:type="dxa" w:w="80"/>
              <w:right w:type="dxa" w:w="120"/>
            </w:tcMar>
          </w:tcPr>
          <w:p>
            <w:r>
              <w:rPr>
                <w:rFonts w:ascii="Arial" w:cs="Arial" w:eastAsia="Arial" w:hAnsi="Arial"/>
                <w:color w:val="1A2340"/>
                <w:sz w:val="20"/>
                <w:szCs w:val="20"/>
              </w:rPr>
              <w:t xml:space="preserve">Initial release</w:t>
            </w:r>
          </w:p>
        </w:tc>
      </w:tr>
    </w:tbl>
    <w:p>
      <w:pPr>
        <w:spacing w:after="80" w:before="80"/>
      </w:pPr>
    </w:p>
    <w:p>
      <w:pPr>
        <w:spacing w:after="80" w:before="80"/>
      </w:pPr>
      <w:r>
        <w:rPr>
          <w:rFonts w:ascii="Arial" w:cs="Arial" w:eastAsia="Arial" w:hAnsi="Arial"/>
          <w:color w:val="5A6A8A"/>
          <w:sz w:val="22"/>
          <w:szCs w:val="22"/>
        </w:rPr>
        <w:t xml:space="preserve">Approved by: _______________________________     Title: ___________________     Date: __________</w:t>
      </w:r>
    </w:p>
    <w:p>
      <w:pPr>
        <w:spacing w:after="160" w:before="160"/>
      </w:pPr>
    </w:p>
    <w:p>
      <w:r>
        <w:br w:type="page"/>
      </w:r>
    </w:p>
    <w:p>
      <w:pPr>
        <w:spacing w:after="80" w:before="160"/>
      </w:pPr>
      <w:r>
        <w:rPr>
          <w:rFonts w:ascii="Arial" w:cs="Arial" w:eastAsia="Arial" w:hAnsi="Arial"/>
          <w:b/>
          <w:bCs/>
          <w:color w:val="152168"/>
          <w:sz w:val="32"/>
          <w:szCs w:val="32"/>
        </w:rPr>
        <w:t xml:space="preserve">APPENDICES</w:t>
      </w:r>
    </w:p>
    <w:p>
      <w:pPr>
        <w:pBdr>
          <w:bottom w:val="single" w:color="152168" w:sz="6" w:space="1"/>
        </w:pBdr>
        <w:spacing w:after="0" w:before="0"/>
      </w:pPr>
    </w:p>
    <w:p>
      <w:pPr>
        <w:spacing w:after="80" w:before="80"/>
      </w:pPr>
    </w:p>
    <w:p>
      <w:pPr>
        <w:pStyle w:val="Heading2"/>
        <w:spacing w:after="80" w:before="240"/>
      </w:pPr>
      <w:r>
        <w:rPr>
          <w:rFonts w:ascii="Arial" w:cs="Arial" w:eastAsia="Arial" w:hAnsi="Arial"/>
          <w:b/>
          <w:bCs/>
          <w:color w:val="152168"/>
          <w:sz w:val="24"/>
          <w:szCs w:val="24"/>
        </w:rPr>
        <w:t xml:space="preserve">Appendix A: Incident Report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20"/>
              <w:left w:type="dxa" w:w="180"/>
              <w:bottom w:type="dxa" w:w="120"/>
              <w:right w:type="dxa" w:w="180"/>
            </w:tcMar>
          </w:tcPr>
          <w:p>
            <w:r>
              <w:rPr>
                <w:rFonts w:ascii="Arial" w:cs="Arial" w:eastAsia="Arial" w:hAnsi="Arial"/>
                <w:b/>
                <w:bCs/>
                <w:color w:val="152168"/>
                <w:sz w:val="22"/>
                <w:szCs w:val="22"/>
              </w:rPr>
              <w:t xml:space="preserve">INITIAL INCIDENT REPORT</w:t>
            </w:r>
          </w:p>
          <w:p>
            <w:pPr>
              <w:spacing w:after="40" w:before="40"/>
            </w:pPr>
          </w:p>
          <w:p>
            <w:r>
              <w:rPr>
                <w:rFonts w:ascii="Arial" w:cs="Arial" w:eastAsia="Arial" w:hAnsi="Arial"/>
                <w:color w:val="1A2340"/>
                <w:sz w:val="20"/>
                <w:szCs w:val="20"/>
              </w:rPr>
              <w:t xml:space="preserve">Date/Time of Report: ___________________   Submitted By: ___________________</w:t>
            </w:r>
          </w:p>
          <w:p>
            <w:pPr>
              <w:spacing w:after="40" w:before="40"/>
            </w:pPr>
          </w:p>
          <w:p>
            <w:r>
              <w:rPr>
                <w:rFonts w:ascii="Arial" w:cs="Arial" w:eastAsia="Arial" w:hAnsi="Arial"/>
                <w:color w:val="1A2340"/>
                <w:sz w:val="20"/>
                <w:szCs w:val="20"/>
              </w:rPr>
              <w:t xml:space="preserve">Date/Time Incident Detected: ___________________   Detection Method: ___________________</w:t>
            </w:r>
          </w:p>
          <w:p>
            <w:pPr>
              <w:spacing w:after="40" w:before="40"/>
            </w:pPr>
          </w:p>
          <w:p>
            <w:r>
              <w:rPr>
                <w:rFonts w:ascii="Arial" w:cs="Arial" w:eastAsia="Arial" w:hAnsi="Arial"/>
                <w:color w:val="1A2340"/>
                <w:sz w:val="20"/>
                <w:szCs w:val="20"/>
              </w:rPr>
              <w:t xml:space="preserve">Systems/Data Affected: ___________________________________________________________________</w:t>
            </w:r>
          </w:p>
          <w:p>
            <w:pPr>
              <w:spacing w:after="40" w:before="40"/>
            </w:pPr>
          </w:p>
          <w:p>
            <w:r>
              <w:rPr>
                <w:rFonts w:ascii="Arial" w:cs="Arial" w:eastAsia="Arial" w:hAnsi="Arial"/>
                <w:b/>
                <w:bCs/>
                <w:color w:val="1A2340"/>
                <w:sz w:val="20"/>
                <w:szCs w:val="20"/>
              </w:rPr>
              <w:t xml:space="preserve">Brief Description:</w:t>
            </w:r>
          </w:p>
          <w:p>
            <w:r>
              <w:rPr>
                <w:rFonts w:ascii="Arial" w:cs="Arial" w:eastAsia="Arial" w:hAnsi="Arial"/>
                <w:color w:val="5A6A8A"/>
                <w:sz w:val="20"/>
                <w:szCs w:val="20"/>
              </w:rPr>
              <w:t xml:space="preserve">_____________________________________________________________________________</w:t>
            </w:r>
          </w:p>
          <w:p>
            <w:r>
              <w:rPr>
                <w:rFonts w:ascii="Arial" w:cs="Arial" w:eastAsia="Arial" w:hAnsi="Arial"/>
                <w:color w:val="5A6A8A"/>
                <w:sz w:val="20"/>
                <w:szCs w:val="20"/>
              </w:rPr>
              <w:t xml:space="preserve">_____________________________________________________________________________</w:t>
            </w:r>
          </w:p>
          <w:p>
            <w:pPr>
              <w:spacing w:after="40" w:before="40"/>
            </w:pPr>
          </w:p>
          <w:p>
            <w:r>
              <w:rPr>
                <w:rFonts w:ascii="Arial" w:cs="Arial" w:eastAsia="Arial" w:hAnsi="Arial"/>
                <w:color w:val="1A2340"/>
                <w:sz w:val="20"/>
                <w:szCs w:val="20"/>
              </w:rPr>
              <w:t xml:space="preserve">Initial Severity:   [ ] P1 Critical   [ ] P2 High   [ ] P3 Medium   [ ] P4 Low</w:t>
            </w:r>
          </w:p>
          <w:p>
            <w:pPr>
              <w:spacing w:after="40" w:before="40"/>
            </w:pPr>
          </w:p>
          <w:p>
            <w:r>
              <w:rPr>
                <w:rFonts w:ascii="Arial" w:cs="Arial" w:eastAsia="Arial" w:hAnsi="Arial"/>
                <w:color w:val="1A2340"/>
                <w:sz w:val="20"/>
                <w:szCs w:val="20"/>
              </w:rPr>
              <w:t xml:space="preserve">Personal Data Involved:   [ ] Yes   [ ] No   [ ] Unknown     Payment Card Data:   [ ] Yes   [ ] No   [ ] Unknown</w:t>
            </w:r>
          </w:p>
          <w:p>
            <w:pPr>
              <w:spacing w:after="40" w:before="40"/>
            </w:pPr>
          </w:p>
          <w:p>
            <w:r>
              <w:rPr>
                <w:rFonts w:ascii="Arial" w:cs="Arial" w:eastAsia="Arial" w:hAnsi="Arial"/>
                <w:color w:val="1A2340"/>
                <w:sz w:val="20"/>
                <w:szCs w:val="20"/>
              </w:rPr>
              <w:t xml:space="preserve">Immediate Actions Taken: ___________________________________________________________________</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20"/>
              <w:left w:type="dxa" w:w="180"/>
              <w:bottom w:type="dxa" w:w="120"/>
              <w:right w:type="dxa" w:w="180"/>
            </w:tcMar>
          </w:tcPr>
          <w:p>
            <w:r>
              <w:rPr>
                <w:rFonts w:ascii="Arial" w:cs="Arial" w:eastAsia="Arial" w:hAnsi="Arial"/>
                <w:b/>
                <w:bCs/>
                <w:color w:val="152168"/>
                <w:sz w:val="22"/>
                <w:szCs w:val="22"/>
              </w:rPr>
              <w:t xml:space="preserve">FOLLOW-UP / INCIDENT LOG UPDATE</w:t>
            </w:r>
          </w:p>
          <w:p>
            <w:pPr>
              <w:spacing w:after="40" w:before="40"/>
            </w:pPr>
          </w:p>
          <w:p>
            <w:r>
              <w:rPr>
                <w:rFonts w:ascii="Arial" w:cs="Arial" w:eastAsia="Arial" w:hAnsi="Arial"/>
                <w:color w:val="1A2340"/>
                <w:sz w:val="20"/>
                <w:szCs w:val="20"/>
              </w:rPr>
              <w:t xml:space="preserve">Incident Reference: ___________________   Update By: ___________________   Date/Time: ___________________</w:t>
            </w:r>
          </w:p>
          <w:p>
            <w:pPr>
              <w:spacing w:after="40" w:before="40"/>
            </w:pPr>
          </w:p>
          <w:p>
            <w:r>
              <w:rPr>
                <w:rFonts w:ascii="Arial" w:cs="Arial" w:eastAsia="Arial" w:hAnsi="Arial"/>
                <w:color w:val="1A2340"/>
                <w:sz w:val="20"/>
                <w:szCs w:val="20"/>
              </w:rPr>
              <w:t xml:space="preserve">Current Phase:   [ ] Detection   [ ] Containment   [ ] Eradication   [ ] Recovery   [ ] Closed</w:t>
            </w:r>
          </w:p>
          <w:p>
            <w:pPr>
              <w:spacing w:after="40" w:before="40"/>
            </w:pPr>
          </w:p>
          <w:p>
            <w:r>
              <w:rPr>
                <w:rFonts w:ascii="Arial" w:cs="Arial" w:eastAsia="Arial" w:hAnsi="Arial"/>
                <w:color w:val="1A2340"/>
                <w:sz w:val="20"/>
                <w:szCs w:val="20"/>
              </w:rPr>
              <w:t xml:space="preserve">Updated Severity:   [ ] P1   [ ] P2   [ ] P3   [ ] P4   Reason for change: ___________________</w:t>
            </w:r>
          </w:p>
          <w:p>
            <w:pPr>
              <w:spacing w:after="40" w:before="40"/>
            </w:pPr>
          </w:p>
          <w:p>
            <w:r>
              <w:rPr>
                <w:rFonts w:ascii="Arial" w:cs="Arial" w:eastAsia="Arial" w:hAnsi="Arial"/>
                <w:color w:val="1A2340"/>
                <w:sz w:val="20"/>
                <w:szCs w:val="20"/>
              </w:rPr>
              <w:t xml:space="preserve">Confirmed Scope: ___________________________________________________________________</w:t>
            </w:r>
          </w:p>
          <w:p>
            <w:pPr>
              <w:spacing w:after="40" w:before="40"/>
            </w:pPr>
          </w:p>
          <w:p>
            <w:r>
              <w:rPr>
                <w:rFonts w:ascii="Arial" w:cs="Arial" w:eastAsia="Arial" w:hAnsi="Arial"/>
                <w:color w:val="1A2340"/>
                <w:sz w:val="20"/>
                <w:szCs w:val="20"/>
              </w:rPr>
              <w:t xml:space="preserve">Actions Taken Since Last Update: ___________________________________________________________________</w:t>
            </w:r>
          </w:p>
          <w:p>
            <w:pPr>
              <w:spacing w:after="40" w:before="40"/>
            </w:pPr>
          </w:p>
          <w:p>
            <w:r>
              <w:rPr>
                <w:rFonts w:ascii="Arial" w:cs="Arial" w:eastAsia="Arial" w:hAnsi="Arial"/>
                <w:color w:val="1A2340"/>
                <w:sz w:val="20"/>
                <w:szCs w:val="20"/>
              </w:rPr>
              <w:t xml:space="preserve">Regulatory Notification Required:   [ ] Yes   [ ] No   [ ] Under Assessment     Regulation: ___________________</w:t>
            </w:r>
          </w:p>
          <w:p>
            <w:pPr>
              <w:spacing w:after="40" w:before="40"/>
            </w:pPr>
          </w:p>
          <w:p>
            <w:r>
              <w:rPr>
                <w:rFonts w:ascii="Arial" w:cs="Arial" w:eastAsia="Arial" w:hAnsi="Arial"/>
                <w:color w:val="1A2340"/>
                <w:sz w:val="20"/>
                <w:szCs w:val="20"/>
              </w:rPr>
              <w:t xml:space="preserve">Insurer Notified:   [ ] Yes   Date: ___________________   [ ] Not yet   [ ] Not required</w:t>
            </w:r>
          </w:p>
        </w:tc>
      </w:tr>
    </w:tbl>
    <w:p>
      <w:pPr>
        <w:spacing w:after="80" w:before="120"/>
      </w:pPr>
    </w:p>
    <w:p>
      <w:pPr>
        <w:pStyle w:val="Heading2"/>
        <w:spacing w:after="80" w:before="240"/>
      </w:pPr>
      <w:r>
        <w:rPr>
          <w:rFonts w:ascii="Arial" w:cs="Arial" w:eastAsia="Arial" w:hAnsi="Arial"/>
          <w:b/>
          <w:bCs/>
          <w:color w:val="152168"/>
          <w:sz w:val="24"/>
          <w:szCs w:val="24"/>
        </w:rPr>
        <w:t xml:space="preserve">Appendix B: Incident Response Contact List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Phone</w:t>
            </w:r>
          </w:p>
        </w:tc>
        <w:tc>
          <w:tcPr>
            <w:tcW w:type="dxa" w:w="2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Email / Notes</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Incident Commander (CISO/vCISO)</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IT/Security Lead</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Legal/Compliance</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HR Lead</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Communications Lead</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Executive Sponsor</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Cyber Insurer (24/7 Claims)</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Forensic Vendor</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Legal Counsel (external)</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Privacy Commissioner (OPC)</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Law Enforcement (if required)</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___________________</w:t>
            </w:r>
          </w:p>
        </w:tc>
      </w:tr>
    </w:tbl>
    <w:p>
      <w:pPr>
        <w:spacing w:after="80" w:before="120"/>
      </w:pPr>
    </w:p>
    <w:p>
      <w:pPr>
        <w:pStyle w:val="Heading2"/>
        <w:spacing w:after="80" w:before="240"/>
      </w:pPr>
      <w:r>
        <w:rPr>
          <w:rFonts w:ascii="Arial" w:cs="Arial" w:eastAsia="Arial" w:hAnsi="Arial"/>
          <w:b/>
          <w:bCs/>
          <w:color w:val="152168"/>
          <w:sz w:val="24"/>
          <w:szCs w:val="24"/>
        </w:rPr>
        <w:t xml:space="preserve">Appendix C: Evidence Collection Checklist</w:t>
      </w:r>
    </w:p>
    <w:p>
      <w:pPr>
        <w:pStyle w:val="ListParagraph"/>
        <w:numPr>
          <w:ilvl w:val="0"/>
          <w:numId w:val="2"/>
        </w:numPr>
        <w:spacing w:after="40" w:before="40"/>
      </w:pPr>
      <w:r>
        <w:rPr>
          <w:rFonts w:ascii="Arial" w:cs="Arial" w:eastAsia="Arial" w:hAnsi="Arial"/>
          <w:color w:val="1A2340"/>
          <w:sz w:val="22"/>
          <w:szCs w:val="22"/>
        </w:rPr>
        <w:t xml:space="preserve">System logs from affected hosts (Windows Event Log, syslog)</w:t>
      </w:r>
    </w:p>
    <w:p>
      <w:pPr>
        <w:pStyle w:val="ListParagraph"/>
        <w:numPr>
          <w:ilvl w:val="0"/>
          <w:numId w:val="2"/>
        </w:numPr>
        <w:spacing w:after="40" w:before="40"/>
      </w:pPr>
      <w:r>
        <w:rPr>
          <w:rFonts w:ascii="Arial" w:cs="Arial" w:eastAsia="Arial" w:hAnsi="Arial"/>
          <w:color w:val="1A2340"/>
          <w:sz w:val="22"/>
          <w:szCs w:val="22"/>
        </w:rPr>
        <w:t xml:space="preserve">Application logs (web server, database, email)</w:t>
      </w:r>
    </w:p>
    <w:p>
      <w:pPr>
        <w:pStyle w:val="ListParagraph"/>
        <w:numPr>
          <w:ilvl w:val="0"/>
          <w:numId w:val="2"/>
        </w:numPr>
        <w:spacing w:after="40" w:before="40"/>
      </w:pPr>
      <w:r>
        <w:rPr>
          <w:rFonts w:ascii="Arial" w:cs="Arial" w:eastAsia="Arial" w:hAnsi="Arial"/>
          <w:color w:val="1A2340"/>
          <w:sz w:val="22"/>
          <w:szCs w:val="22"/>
        </w:rPr>
        <w:t xml:space="preserve">Authentication logs (Active Directory, SSO, VPN)</w:t>
      </w:r>
    </w:p>
    <w:p>
      <w:pPr>
        <w:pStyle w:val="ListParagraph"/>
        <w:numPr>
          <w:ilvl w:val="0"/>
          <w:numId w:val="2"/>
        </w:numPr>
        <w:spacing w:after="40" w:before="40"/>
      </w:pPr>
      <w:r>
        <w:rPr>
          <w:rFonts w:ascii="Arial" w:cs="Arial" w:eastAsia="Arial" w:hAnsi="Arial"/>
          <w:color w:val="1A2340"/>
          <w:sz w:val="22"/>
          <w:szCs w:val="22"/>
        </w:rPr>
        <w:t xml:space="preserve">Network traffic captures (PCAP)</w:t>
      </w:r>
    </w:p>
    <w:p>
      <w:pPr>
        <w:pStyle w:val="ListParagraph"/>
        <w:numPr>
          <w:ilvl w:val="0"/>
          <w:numId w:val="2"/>
        </w:numPr>
        <w:spacing w:after="40" w:before="40"/>
      </w:pPr>
      <w:r>
        <w:rPr>
          <w:rFonts w:ascii="Arial" w:cs="Arial" w:eastAsia="Arial" w:hAnsi="Arial"/>
          <w:color w:val="1A2340"/>
          <w:sz w:val="22"/>
          <w:szCs w:val="22"/>
        </w:rPr>
        <w:t xml:space="preserve">Firewall and proxy logs</w:t>
      </w:r>
    </w:p>
    <w:p>
      <w:pPr>
        <w:pStyle w:val="ListParagraph"/>
        <w:numPr>
          <w:ilvl w:val="0"/>
          <w:numId w:val="2"/>
        </w:numPr>
        <w:spacing w:after="40" w:before="40"/>
      </w:pPr>
      <w:r>
        <w:rPr>
          <w:rFonts w:ascii="Arial" w:cs="Arial" w:eastAsia="Arial" w:hAnsi="Arial"/>
          <w:color w:val="1A2340"/>
          <w:sz w:val="22"/>
          <w:szCs w:val="22"/>
        </w:rPr>
        <w:t xml:space="preserve">Email headers and message content</w:t>
      </w:r>
    </w:p>
    <w:p>
      <w:pPr>
        <w:pStyle w:val="ListParagraph"/>
        <w:numPr>
          <w:ilvl w:val="0"/>
          <w:numId w:val="2"/>
        </w:numPr>
        <w:spacing w:after="40" w:before="40"/>
      </w:pPr>
      <w:r>
        <w:rPr>
          <w:rFonts w:ascii="Arial" w:cs="Arial" w:eastAsia="Arial" w:hAnsi="Arial"/>
          <w:color w:val="1A2340"/>
          <w:sz w:val="22"/>
          <w:szCs w:val="22"/>
        </w:rPr>
        <w:t xml:space="preserve">Endpoint Detection and Response (EDR) telemetry</w:t>
      </w:r>
    </w:p>
    <w:p>
      <w:pPr>
        <w:pStyle w:val="ListParagraph"/>
        <w:numPr>
          <w:ilvl w:val="0"/>
          <w:numId w:val="2"/>
        </w:numPr>
        <w:spacing w:after="40" w:before="40"/>
      </w:pPr>
      <w:r>
        <w:rPr>
          <w:rFonts w:ascii="Arial" w:cs="Arial" w:eastAsia="Arial" w:hAnsi="Arial"/>
          <w:color w:val="1A2340"/>
          <w:sz w:val="22"/>
          <w:szCs w:val="22"/>
        </w:rPr>
        <w:t xml:space="preserve">Memory (RAM) image — taken before system shutdown</w:t>
      </w:r>
    </w:p>
    <w:p>
      <w:pPr>
        <w:pStyle w:val="ListParagraph"/>
        <w:numPr>
          <w:ilvl w:val="0"/>
          <w:numId w:val="2"/>
        </w:numPr>
        <w:spacing w:after="40" w:before="40"/>
      </w:pPr>
      <w:r>
        <w:rPr>
          <w:rFonts w:ascii="Arial" w:cs="Arial" w:eastAsia="Arial" w:hAnsi="Arial"/>
          <w:color w:val="1A2340"/>
          <w:sz w:val="22"/>
          <w:szCs w:val="22"/>
        </w:rPr>
        <w:t xml:space="preserve">Disk image of affected systems — write-protected</w:t>
      </w:r>
    </w:p>
    <w:p>
      <w:pPr>
        <w:pStyle w:val="ListParagraph"/>
        <w:numPr>
          <w:ilvl w:val="0"/>
          <w:numId w:val="2"/>
        </w:numPr>
        <w:spacing w:after="40" w:before="40"/>
      </w:pPr>
      <w:r>
        <w:rPr>
          <w:rFonts w:ascii="Arial" w:cs="Arial" w:eastAsia="Arial" w:hAnsi="Arial"/>
          <w:color w:val="1A2340"/>
          <w:sz w:val="22"/>
          <w:szCs w:val="22"/>
        </w:rPr>
        <w:t xml:space="preserve">Screenshots of error messages, active processes, or attacker artifacts</w:t>
      </w:r>
    </w:p>
    <w:p>
      <w:pPr>
        <w:pStyle w:val="ListParagraph"/>
        <w:numPr>
          <w:ilvl w:val="0"/>
          <w:numId w:val="2"/>
        </w:numPr>
        <w:spacing w:after="40" w:before="40"/>
      </w:pPr>
      <w:r>
        <w:rPr>
          <w:rFonts w:ascii="Arial" w:cs="Arial" w:eastAsia="Arial" w:hAnsi="Arial"/>
          <w:color w:val="1A2340"/>
          <w:sz w:val="22"/>
          <w:szCs w:val="22"/>
        </w:rPr>
        <w:t xml:space="preserve">Cloud provider audit logs (AWS CloudTrail, Azure Monitor, etc.)</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2"/>
              <w:bottom w:val="single" w:color="DDE3EF" w:sz="2"/>
              <w:right w:val="single" w:color="DDE3EF" w:sz="2"/>
            </w:tcBorders>
            <w:shd w:fill="EBF0FA" w:val="clear"/>
            <w:tcMar>
              <w:top w:type="dxa" w:w="120"/>
              <w:left w:type="dxa" w:w="180"/>
              <w:bottom w:type="dxa" w:w="120"/>
              <w:right w:type="dxa" w:w="180"/>
            </w:tcMar>
          </w:tcPr>
          <w:p>
            <w:r>
              <w:rPr>
                <w:rFonts w:ascii="Arial" w:cs="Arial" w:eastAsia="Arial" w:hAnsi="Arial"/>
                <w:b/>
                <w:bCs/>
                <w:color w:val="152168"/>
                <w:sz w:val="20"/>
                <w:szCs w:val="20"/>
              </w:rPr>
              <w:t xml:space="preserve">Chain of Custody record per item: </w:t>
            </w:r>
            <w:r>
              <w:rPr>
                <w:rFonts w:ascii="Arial" w:cs="Arial" w:eastAsia="Arial" w:hAnsi="Arial"/>
                <w:color w:val="1A2340"/>
                <w:sz w:val="20"/>
                <w:szCs w:val="20"/>
              </w:rPr>
              <w:t xml:space="preserve">Item description  |  Collected by  |  Date/Time  |  Storage location  |  Hash (MD5/SHA256)</w:t>
            </w:r>
          </w:p>
        </w:tc>
      </w:tr>
    </w:tbl>
    <w:p>
      <w:pPr>
        <w:spacing w:after="80" w:before="120"/>
      </w:pPr>
    </w:p>
    <w:p>
      <w:pPr>
        <w:pStyle w:val="Heading2"/>
        <w:spacing w:after="80" w:before="240"/>
      </w:pPr>
      <w:r>
        <w:rPr>
          <w:rFonts w:ascii="Arial" w:cs="Arial" w:eastAsia="Arial" w:hAnsi="Arial"/>
          <w:b/>
          <w:bCs/>
          <w:color w:val="152168"/>
          <w:sz w:val="24"/>
          <w:szCs w:val="24"/>
        </w:rPr>
        <w:t xml:space="preserve">Appendix D: Regulatory Notification Decision Tree</w:t>
      </w:r>
    </w:p>
    <w:p>
      <w:pPr>
        <w:spacing w:after="80" w:before="80"/>
      </w:pPr>
      <w:r>
        <w:rPr>
          <w:rFonts w:ascii="Arial" w:cs="Arial" w:eastAsia="Arial" w:hAnsi="Arial"/>
          <w:color w:val="1A2340"/>
          <w:sz w:val="22"/>
          <w:szCs w:val="22"/>
        </w:rPr>
        <w:t xml:space="preserve">Use this decision tree to determine whether regulatory notification is required following a security incident.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4F46E5" w:sz="12"/>
              <w:bottom w:val="single" w:color="DDE3EF" w:sz="2"/>
              <w:right w:val="single" w:color="DDE3EF" w:sz="2"/>
            </w:tcBorders>
            <w:shd w:fill="EBF0FA" w:val="clear"/>
            <w:tcMar>
              <w:top w:type="dxa" w:w="100"/>
              <w:left w:type="dxa" w:w="160"/>
              <w:bottom w:type="dxa" w:w="100"/>
              <w:right w:type="dxa" w:w="120"/>
            </w:tcMar>
          </w:tcPr>
          <w:p>
            <w:r>
              <w:rPr>
                <w:rFonts w:ascii="Arial" w:cs="Arial" w:eastAsia="Arial" w:hAnsi="Arial"/>
                <w:b/>
                <w:bCs/>
                <w:color w:val="4F46E5"/>
                <w:sz w:val="22"/>
                <w:szCs w:val="22"/>
              </w:rPr>
              <w:t xml:space="preserve">Step 1: </w:t>
            </w:r>
            <w:r>
              <w:rPr>
                <w:rFonts w:ascii="Arial" w:cs="Arial" w:eastAsia="Arial" w:hAnsi="Arial"/>
                <w:color w:val="1A2340"/>
                <w:sz w:val="22"/>
                <w:szCs w:val="22"/>
              </w:rPr>
              <w:t xml:space="preserve">Was personal information accessed, disclosed, or lost without authorization?</w:t>
            </w:r>
          </w:p>
          <w:p>
            <w:pPr>
              <w:spacing w:after="60" w:before="60"/>
            </w:pPr>
          </w:p>
          <w:p>
            <w:r>
              <w:rPr>
                <w:rFonts w:ascii="Arial" w:cs="Arial" w:eastAsia="Arial" w:hAnsi="Arial"/>
                <w:b/>
                <w:bCs/>
                <w:color w:val="16a34a"/>
                <w:sz w:val="20"/>
                <w:szCs w:val="20"/>
              </w:rPr>
              <w:t xml:space="preserve">YES: </w:t>
            </w:r>
            <w:r>
              <w:rPr>
                <w:rFonts w:ascii="Arial" w:cs="Arial" w:eastAsia="Arial" w:hAnsi="Arial"/>
                <w:color w:val="1A2340"/>
                <w:sz w:val="20"/>
                <w:szCs w:val="20"/>
              </w:rPr>
              <w:t xml:space="preserve">Proceed to Step 2</w:t>
            </w:r>
          </w:p>
          <w:p>
            <w:r>
              <w:rPr>
                <w:rFonts w:ascii="Arial" w:cs="Arial" w:eastAsia="Arial" w:hAnsi="Arial"/>
                <w:b/>
                <w:bCs/>
                <w:color w:val="5A6A8A"/>
                <w:sz w:val="20"/>
                <w:szCs w:val="20"/>
              </w:rPr>
              <w:t xml:space="preserve">NO: </w:t>
            </w:r>
            <w:r>
              <w:rPr>
                <w:rFonts w:ascii="Arial" w:cs="Arial" w:eastAsia="Arial" w:hAnsi="Arial"/>
                <w:color w:val="1A2340"/>
                <w:sz w:val="20"/>
                <w:szCs w:val="20"/>
              </w:rPr>
              <w:t xml:space="preserve">No PIPEDA notification required. Assess PCI DSS and other obligations separately.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4F46E5" w:sz="12"/>
              <w:bottom w:val="single" w:color="DDE3EF" w:sz="2"/>
              <w:right w:val="single" w:color="DDE3EF" w:sz="2"/>
            </w:tcBorders>
            <w:shd w:fill="EBF0FA" w:val="clear"/>
            <w:tcMar>
              <w:top w:type="dxa" w:w="100"/>
              <w:left w:type="dxa" w:w="160"/>
              <w:bottom w:type="dxa" w:w="100"/>
              <w:right w:type="dxa" w:w="120"/>
            </w:tcMar>
          </w:tcPr>
          <w:p>
            <w:r>
              <w:rPr>
                <w:rFonts w:ascii="Arial" w:cs="Arial" w:eastAsia="Arial" w:hAnsi="Arial"/>
                <w:b/>
                <w:bCs/>
                <w:color w:val="4F46E5"/>
                <w:sz w:val="22"/>
                <w:szCs w:val="22"/>
              </w:rPr>
              <w:t xml:space="preserve">Step 2: </w:t>
            </w:r>
            <w:r>
              <w:rPr>
                <w:rFonts w:ascii="Arial" w:cs="Arial" w:eastAsia="Arial" w:hAnsi="Arial"/>
                <w:color w:val="1A2340"/>
                <w:sz w:val="22"/>
                <w:szCs w:val="22"/>
              </w:rPr>
              <w:t xml:space="preserve">Is there a real risk of significant harm to any affected individual (identity theft, financial loss, reputational harm, physical harm)?</w:t>
            </w:r>
          </w:p>
          <w:p>
            <w:pPr>
              <w:spacing w:after="60" w:before="60"/>
            </w:pPr>
          </w:p>
          <w:p>
            <w:r>
              <w:rPr>
                <w:rFonts w:ascii="Arial" w:cs="Arial" w:eastAsia="Arial" w:hAnsi="Arial"/>
                <w:b/>
                <w:bCs/>
                <w:color w:val="16a34a"/>
                <w:sz w:val="20"/>
                <w:szCs w:val="20"/>
              </w:rPr>
              <w:t xml:space="preserve">YES: </w:t>
            </w:r>
            <w:r>
              <w:rPr>
                <w:rFonts w:ascii="Arial" w:cs="Arial" w:eastAsia="Arial" w:hAnsi="Arial"/>
                <w:color w:val="1A2340"/>
                <w:sz w:val="20"/>
                <w:szCs w:val="20"/>
              </w:rPr>
              <w:t xml:space="preserve">PIPEDA notification required — notify OPC and affected individuals without unreasonable delay. Proceed to Step 3.</w:t>
            </w:r>
          </w:p>
          <w:p>
            <w:r>
              <w:rPr>
                <w:rFonts w:ascii="Arial" w:cs="Arial" w:eastAsia="Arial" w:hAnsi="Arial"/>
                <w:b/>
                <w:bCs/>
                <w:color w:val="5A6A8A"/>
                <w:sz w:val="20"/>
                <w:szCs w:val="20"/>
              </w:rPr>
              <w:t xml:space="preserve">NO: </w:t>
            </w:r>
            <w:r>
              <w:rPr>
                <w:rFonts w:ascii="Arial" w:cs="Arial" w:eastAsia="Arial" w:hAnsi="Arial"/>
                <w:color w:val="1A2340"/>
                <w:sz w:val="20"/>
                <w:szCs w:val="20"/>
              </w:rPr>
              <w:t xml:space="preserve">Document the assessment and rationale. No notification required under PIPEDA. Reassess if new information emerges.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4F46E5" w:sz="12"/>
              <w:bottom w:val="single" w:color="DDE3EF" w:sz="2"/>
              <w:right w:val="single" w:color="DDE3EF" w:sz="2"/>
            </w:tcBorders>
            <w:shd w:fill="EBF0FA" w:val="clear"/>
            <w:tcMar>
              <w:top w:type="dxa" w:w="100"/>
              <w:left w:type="dxa" w:w="160"/>
              <w:bottom w:type="dxa" w:w="100"/>
              <w:right w:type="dxa" w:w="120"/>
            </w:tcMar>
          </w:tcPr>
          <w:p>
            <w:r>
              <w:rPr>
                <w:rFonts w:ascii="Arial" w:cs="Arial" w:eastAsia="Arial" w:hAnsi="Arial"/>
                <w:b/>
                <w:bCs/>
                <w:color w:val="4F46E5"/>
                <w:sz w:val="22"/>
                <w:szCs w:val="22"/>
              </w:rPr>
              <w:t xml:space="preserve">Step 3: </w:t>
            </w:r>
            <w:r>
              <w:rPr>
                <w:rFonts w:ascii="Arial" w:cs="Arial" w:eastAsia="Arial" w:hAnsi="Arial"/>
                <w:color w:val="1A2340"/>
                <w:sz w:val="22"/>
                <w:szCs w:val="22"/>
              </w:rPr>
              <w:t xml:space="preserve">Does the incident involve payment card data (cardholder name, card number, expiry, CVV)?</w:t>
            </w:r>
          </w:p>
          <w:p>
            <w:pPr>
              <w:spacing w:after="60" w:before="60"/>
            </w:pPr>
          </w:p>
          <w:p>
            <w:r>
              <w:rPr>
                <w:rFonts w:ascii="Arial" w:cs="Arial" w:eastAsia="Arial" w:hAnsi="Arial"/>
                <w:b/>
                <w:bCs/>
                <w:color w:val="16a34a"/>
                <w:sz w:val="20"/>
                <w:szCs w:val="20"/>
              </w:rPr>
              <w:t xml:space="preserve">YES: </w:t>
            </w:r>
            <w:r>
              <w:rPr>
                <w:rFonts w:ascii="Arial" w:cs="Arial" w:eastAsia="Arial" w:hAnsi="Arial"/>
                <w:color w:val="1A2340"/>
                <w:sz w:val="20"/>
                <w:szCs w:val="20"/>
              </w:rPr>
              <w:t xml:space="preserve">PCI DSS notification required — notify card brands and acquiring bank immediately.</w:t>
            </w:r>
          </w:p>
          <w:p>
            <w:r>
              <w:rPr>
                <w:rFonts w:ascii="Arial" w:cs="Arial" w:eastAsia="Arial" w:hAnsi="Arial"/>
                <w:b/>
                <w:bCs/>
                <w:color w:val="5A6A8A"/>
                <w:sz w:val="20"/>
                <w:szCs w:val="20"/>
              </w:rPr>
              <w:t xml:space="preserve">NO: </w:t>
            </w:r>
            <w:r>
              <w:rPr>
                <w:rFonts w:ascii="Arial" w:cs="Arial" w:eastAsia="Arial" w:hAnsi="Arial"/>
                <w:color w:val="1A2340"/>
                <w:sz w:val="20"/>
                <w:szCs w:val="20"/>
              </w:rPr>
              <w:t xml:space="preserve">Proceed to Step 4.</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EF" w:sz="2"/>
              <w:left w:val="single" w:color="4F46E5" w:sz="12"/>
              <w:bottom w:val="single" w:color="DDE3EF" w:sz="2"/>
              <w:right w:val="single" w:color="DDE3EF" w:sz="2"/>
            </w:tcBorders>
            <w:shd w:fill="EBF0FA" w:val="clear"/>
            <w:tcMar>
              <w:top w:type="dxa" w:w="100"/>
              <w:left w:type="dxa" w:w="160"/>
              <w:bottom w:type="dxa" w:w="100"/>
              <w:right w:type="dxa" w:w="120"/>
            </w:tcMar>
          </w:tcPr>
          <w:p>
            <w:r>
              <w:rPr>
                <w:rFonts w:ascii="Arial" w:cs="Arial" w:eastAsia="Arial" w:hAnsi="Arial"/>
                <w:b/>
                <w:bCs/>
                <w:color w:val="4F46E5"/>
                <w:sz w:val="22"/>
                <w:szCs w:val="22"/>
              </w:rPr>
              <w:t xml:space="preserve">Step 4: </w:t>
            </w:r>
            <w:r>
              <w:rPr>
                <w:rFonts w:ascii="Arial" w:cs="Arial" w:eastAsia="Arial" w:hAnsi="Arial"/>
                <w:color w:val="1A2340"/>
                <w:sz w:val="22"/>
                <w:szCs w:val="22"/>
              </w:rPr>
              <w:t xml:space="preserve">Does the incident involve personal data of EU or UK residents?</w:t>
            </w:r>
          </w:p>
          <w:p>
            <w:pPr>
              <w:spacing w:after="60" w:before="60"/>
            </w:pPr>
          </w:p>
          <w:p>
            <w:r>
              <w:rPr>
                <w:rFonts w:ascii="Arial" w:cs="Arial" w:eastAsia="Arial" w:hAnsi="Arial"/>
                <w:b/>
                <w:bCs/>
                <w:color w:val="16a34a"/>
                <w:sz w:val="20"/>
                <w:szCs w:val="20"/>
              </w:rPr>
              <w:t xml:space="preserve">YES: </w:t>
            </w:r>
            <w:r>
              <w:rPr>
                <w:rFonts w:ascii="Arial" w:cs="Arial" w:eastAsia="Arial" w:hAnsi="Arial"/>
                <w:color w:val="1A2340"/>
                <w:sz w:val="20"/>
                <w:szCs w:val="20"/>
              </w:rPr>
              <w:t xml:space="preserve">GDPR / UK GDPR notification required — notify lead supervisory authority within 72 hours if incident likely results in risk to individuals.</w:t>
            </w:r>
          </w:p>
          <w:p>
            <w:r>
              <w:rPr>
                <w:rFonts w:ascii="Arial" w:cs="Arial" w:eastAsia="Arial" w:hAnsi="Arial"/>
                <w:b/>
                <w:bCs/>
                <w:color w:val="5A6A8A"/>
                <w:sz w:val="20"/>
                <w:szCs w:val="20"/>
              </w:rPr>
              <w:t xml:space="preserve">NO: </w:t>
            </w:r>
            <w:r>
              <w:rPr>
                <w:rFonts w:ascii="Arial" w:cs="Arial" w:eastAsia="Arial" w:hAnsi="Arial"/>
                <w:color w:val="1A2340"/>
                <w:sz w:val="20"/>
                <w:szCs w:val="20"/>
              </w:rPr>
              <w:t xml:space="preserve">No further regulatory notification required. Document and close notification assessment.</w:t>
            </w:r>
          </w:p>
        </w:tc>
      </w:tr>
    </w:tbl>
    <w:p>
      <w:pPr>
        <w:spacing w:after="0" w:before="80"/>
      </w:pPr>
    </w:p>
    <w:p>
      <w:pPr>
        <w:spacing w:after="80" w:before="120"/>
      </w:pPr>
    </w:p>
    <w:p>
      <w:pPr>
        <w:pStyle w:val="Heading2"/>
        <w:spacing w:after="80" w:before="240"/>
      </w:pPr>
      <w:r>
        <w:rPr>
          <w:rFonts w:ascii="Arial" w:cs="Arial" w:eastAsia="Arial" w:hAnsi="Arial"/>
          <w:b/>
          <w:bCs/>
          <w:color w:val="152168"/>
          <w:sz w:val="24"/>
          <w:szCs w:val="24"/>
        </w:rPr>
        <w:t xml:space="preserve">Appendix E: Post-Incident Review Template</w:t>
      </w:r>
    </w:p>
    <w:p>
      <w:pPr>
        <w:spacing w:after="60" w:before="120"/>
      </w:pPr>
      <w:r>
        <w:rPr>
          <w:rFonts w:ascii="Arial" w:cs="Arial" w:eastAsia="Arial" w:hAnsi="Arial"/>
          <w:b/>
          <w:bCs/>
          <w:color w:val="152168"/>
          <w:sz w:val="22"/>
          <w:szCs w:val="22"/>
        </w:rPr>
        <w:t xml:space="preserve">1. Incident Summary</w:t>
      </w:r>
    </w:p>
    <w:p>
      <w:pPr>
        <w:spacing w:after="40" w:before="40"/>
      </w:pPr>
      <w:r>
        <w:rPr>
          <w:rFonts w:ascii="Arial" w:cs="Arial" w:eastAsia="Arial" w:hAnsi="Arial"/>
          <w:color w:val="1A2340"/>
          <w:sz w:val="20"/>
          <w:szCs w:val="20"/>
        </w:rPr>
        <w:t xml:space="preserve">Incident Reference:</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Date/Time Detected:</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Date/Time Contained:</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Date/Time Resolved:</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Final Severity Classification:</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Systems/Data Affected:</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Individuals Affected (if any):</w:t>
      </w:r>
    </w:p>
    <w:p>
      <w:pPr>
        <w:pBdr>
          <w:bottom w:val="single" w:color="DDE3EF" w:sz="2" w:space="1"/>
        </w:pBdr>
        <w:spacing w:after="80" w:before="0"/>
      </w:pPr>
    </w:p>
    <w:p>
      <w:pPr>
        <w:spacing w:after="60" w:before="120"/>
      </w:pPr>
      <w:r>
        <w:rPr>
          <w:rFonts w:ascii="Arial" w:cs="Arial" w:eastAsia="Arial" w:hAnsi="Arial"/>
          <w:b/>
          <w:bCs/>
          <w:color w:val="152168"/>
          <w:sz w:val="22"/>
          <w:szCs w:val="22"/>
        </w:rPr>
        <w:t xml:space="preserve">2. Incident Timeline</w:t>
      </w:r>
    </w:p>
    <w:p>
      <w:pPr>
        <w:spacing w:after="40" w:before="40"/>
      </w:pPr>
      <w:r>
        <w:rPr>
          <w:rFonts w:ascii="Arial" w:cs="Arial" w:eastAsia="Arial" w:hAnsi="Arial"/>
          <w:color w:val="1A2340"/>
          <w:sz w:val="20"/>
          <w:szCs w:val="20"/>
        </w:rPr>
        <w:t xml:space="preserve">[List key events with timestamps from first detection through resolution]</w:t>
      </w:r>
    </w:p>
    <w:p>
      <w:pPr>
        <w:pBdr>
          <w:bottom w:val="single" w:color="DDE3EF" w:sz="2" w:space="1"/>
        </w:pBdr>
        <w:spacing w:after="80" w:before="0"/>
      </w:pPr>
    </w:p>
    <w:p>
      <w:pPr>
        <w:spacing w:after="60" w:before="120"/>
      </w:pPr>
      <w:r>
        <w:rPr>
          <w:rFonts w:ascii="Arial" w:cs="Arial" w:eastAsia="Arial" w:hAnsi="Arial"/>
          <w:b/>
          <w:bCs/>
          <w:color w:val="152168"/>
          <w:sz w:val="22"/>
          <w:szCs w:val="22"/>
        </w:rPr>
        <w:t xml:space="preserve">3. Root Cause Analysis</w:t>
      </w:r>
    </w:p>
    <w:p>
      <w:pPr>
        <w:spacing w:after="40" w:before="40"/>
      </w:pPr>
      <w:r>
        <w:rPr>
          <w:rFonts w:ascii="Arial" w:cs="Arial" w:eastAsia="Arial" w:hAnsi="Arial"/>
          <w:color w:val="1A2340"/>
          <w:sz w:val="20"/>
          <w:szCs w:val="20"/>
        </w:rPr>
        <w:t xml:space="preserve">Primary root cause:</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Contributing factors:</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Vulnerability or control gap that enabled the incident:</w:t>
      </w:r>
    </w:p>
    <w:p>
      <w:pPr>
        <w:pBdr>
          <w:bottom w:val="single" w:color="DDE3EF" w:sz="2" w:space="1"/>
        </w:pBdr>
        <w:spacing w:after="80" w:before="0"/>
      </w:pPr>
    </w:p>
    <w:p>
      <w:pPr>
        <w:spacing w:after="60" w:before="120"/>
      </w:pPr>
      <w:r>
        <w:rPr>
          <w:rFonts w:ascii="Arial" w:cs="Arial" w:eastAsia="Arial" w:hAnsi="Arial"/>
          <w:b/>
          <w:bCs/>
          <w:color w:val="152168"/>
          <w:sz w:val="22"/>
          <w:szCs w:val="22"/>
        </w:rPr>
        <w:t xml:space="preserve">4. What Worked Well</w:t>
      </w:r>
    </w:p>
    <w:p>
      <w:pPr>
        <w:spacing w:after="40" w:before="40"/>
      </w:pPr>
      <w:r>
        <w:rPr>
          <w:rFonts w:ascii="Arial" w:cs="Arial" w:eastAsia="Arial" w:hAnsi="Arial"/>
          <w:color w:val="1A2340"/>
          <w:sz w:val="20"/>
          <w:szCs w:val="20"/>
        </w:rPr>
        <w:t xml:space="preserve">[List specific controls, procedures, or team actions that performed effectively]</w:t>
      </w:r>
    </w:p>
    <w:p>
      <w:pPr>
        <w:pBdr>
          <w:bottom w:val="single" w:color="DDE3EF" w:sz="2" w:space="1"/>
        </w:pBdr>
        <w:spacing w:after="80" w:before="0"/>
      </w:pPr>
    </w:p>
    <w:p>
      <w:pPr>
        <w:spacing w:after="60" w:before="120"/>
      </w:pPr>
      <w:r>
        <w:rPr>
          <w:rFonts w:ascii="Arial" w:cs="Arial" w:eastAsia="Arial" w:hAnsi="Arial"/>
          <w:b/>
          <w:bCs/>
          <w:color w:val="152168"/>
          <w:sz w:val="22"/>
          <w:szCs w:val="22"/>
        </w:rPr>
        <w:t xml:space="preserve">5. What Did Not Work / Gaps Identified</w:t>
      </w:r>
    </w:p>
    <w:p>
      <w:pPr>
        <w:spacing w:after="40" w:before="40"/>
      </w:pPr>
      <w:r>
        <w:rPr>
          <w:rFonts w:ascii="Arial" w:cs="Arial" w:eastAsia="Arial" w:hAnsi="Arial"/>
          <w:color w:val="1A2340"/>
          <w:sz w:val="20"/>
          <w:szCs w:val="20"/>
        </w:rPr>
        <w:t xml:space="preserve">[List specific gaps in detection, response speed, communication, tools, or documentation]</w:t>
      </w:r>
    </w:p>
    <w:p>
      <w:pPr>
        <w:pBdr>
          <w:bottom w:val="single" w:color="DDE3EF" w:sz="2" w:space="1"/>
        </w:pBdr>
        <w:spacing w:after="80" w:before="0"/>
      </w:pPr>
    </w:p>
    <w:p>
      <w:pPr>
        <w:spacing w:after="60" w:before="120"/>
      </w:pPr>
      <w:r>
        <w:rPr>
          <w:rFonts w:ascii="Arial" w:cs="Arial" w:eastAsia="Arial" w:hAnsi="Arial"/>
          <w:b/>
          <w:bCs/>
          <w:color w:val="152168"/>
          <w:sz w:val="22"/>
          <w:szCs w:val="22"/>
        </w:rPr>
        <w:t xml:space="preserve">6. Action Items</w:t>
      </w:r>
    </w:p>
    <w:p>
      <w:pPr>
        <w:spacing w:after="40" w:before="40"/>
      </w:pPr>
      <w:r>
        <w:rPr>
          <w:rFonts w:ascii="Arial" w:cs="Arial" w:eastAsia="Arial" w:hAnsi="Arial"/>
          <w:color w:val="1A2340"/>
          <w:sz w:val="20"/>
          <w:szCs w:val="20"/>
        </w:rPr>
        <w:t xml:space="preserve">[List specific improvements: Action | Owner | Due Date | Priority]</w:t>
      </w:r>
    </w:p>
    <w:p>
      <w:pPr>
        <w:pBdr>
          <w:bottom w:val="single" w:color="DDE3EF" w:sz="2" w:space="1"/>
        </w:pBdr>
        <w:spacing w:after="80" w:before="0"/>
      </w:pPr>
    </w:p>
    <w:p>
      <w:pPr>
        <w:spacing w:after="60" w:before="120"/>
      </w:pPr>
      <w:r>
        <w:rPr>
          <w:rFonts w:ascii="Arial" w:cs="Arial" w:eastAsia="Arial" w:hAnsi="Arial"/>
          <w:b/>
          <w:bCs/>
          <w:color w:val="152168"/>
          <w:sz w:val="22"/>
          <w:szCs w:val="22"/>
        </w:rPr>
        <w:t xml:space="preserve">7. Risk Register Update</w:t>
      </w:r>
    </w:p>
    <w:p>
      <w:pPr>
        <w:spacing w:after="40" w:before="40"/>
      </w:pPr>
      <w:r>
        <w:rPr>
          <w:rFonts w:ascii="Arial" w:cs="Arial" w:eastAsia="Arial" w:hAnsi="Arial"/>
          <w:color w:val="1A2340"/>
          <w:sz w:val="20"/>
          <w:szCs w:val="20"/>
        </w:rPr>
        <w:t xml:space="preserve">New risks identified:</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Existing risks updated:</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Controls to be added or strengthened:</w:t>
      </w:r>
    </w:p>
    <w:p>
      <w:pPr>
        <w:pBdr>
          <w:bottom w:val="single" w:color="DDE3EF" w:sz="2" w:space="1"/>
        </w:pBdr>
        <w:spacing w:after="80" w:before="0"/>
      </w:pPr>
    </w:p>
    <w:p>
      <w:pPr>
        <w:spacing w:after="60" w:before="120"/>
      </w:pPr>
      <w:r>
        <w:rPr>
          <w:rFonts w:ascii="Arial" w:cs="Arial" w:eastAsia="Arial" w:hAnsi="Arial"/>
          <w:b/>
          <w:bCs/>
          <w:color w:val="152168"/>
          <w:sz w:val="22"/>
          <w:szCs w:val="22"/>
        </w:rPr>
        <w:t xml:space="preserve">8. PIR Participants</w:t>
      </w:r>
    </w:p>
    <w:p>
      <w:pPr>
        <w:spacing w:after="40" w:before="40"/>
      </w:pPr>
      <w:r>
        <w:rPr>
          <w:rFonts w:ascii="Arial" w:cs="Arial" w:eastAsia="Arial" w:hAnsi="Arial"/>
          <w:color w:val="1A2340"/>
          <w:sz w:val="20"/>
          <w:szCs w:val="20"/>
        </w:rPr>
        <w:t xml:space="preserve">Facilitated by:</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Participants:</w:t>
      </w:r>
    </w:p>
    <w:p>
      <w:pPr>
        <w:pBdr>
          <w:bottom w:val="single" w:color="DDE3EF" w:sz="2" w:space="1"/>
        </w:pBdr>
        <w:spacing w:after="80" w:before="0"/>
      </w:pPr>
    </w:p>
    <w:p>
      <w:pPr>
        <w:spacing w:after="40" w:before="40"/>
      </w:pPr>
      <w:r>
        <w:rPr>
          <w:rFonts w:ascii="Arial" w:cs="Arial" w:eastAsia="Arial" w:hAnsi="Arial"/>
          <w:color w:val="1A2340"/>
          <w:sz w:val="20"/>
          <w:szCs w:val="20"/>
        </w:rPr>
        <w:t xml:space="preserve">Date of PIR:</w:t>
      </w:r>
    </w:p>
    <w:p>
      <w:pPr>
        <w:pBdr>
          <w:bottom w:val="single" w:color="DDE3EF" w:sz="2" w:space="1"/>
        </w:pBdr>
        <w:spacing w:after="80" w:before="0"/>
      </w:pPr>
    </w:p>
    <w:p>
      <w:pPr>
        <w:spacing w:after="80" w:before="120"/>
      </w:pPr>
    </w:p>
    <w:p>
      <w:pPr>
        <w:pStyle w:val="Heading2"/>
        <w:spacing w:after="80" w:before="240"/>
      </w:pPr>
      <w:r>
        <w:rPr>
          <w:rFonts w:ascii="Arial" w:cs="Arial" w:eastAsia="Arial" w:hAnsi="Arial"/>
          <w:b/>
          <w:bCs/>
          <w:color w:val="152168"/>
          <w:sz w:val="24"/>
          <w:szCs w:val="24"/>
        </w:rPr>
        <w:t xml:space="preserve">Appendix F: Framework Mapping — NIST CSF 2.0 / ISO 27001 / NIST SP 800-61</w:t>
      </w:r>
    </w:p>
    <w:p>
      <w:pPr>
        <w:spacing w:after="80" w:before="80"/>
      </w:pPr>
      <w:r>
        <w:rPr>
          <w:rFonts w:ascii="Arial" w:cs="Arial" w:eastAsia="Arial" w:hAnsi="Arial"/>
          <w:color w:val="1A2340"/>
          <w:sz w:val="22"/>
          <w:szCs w:val="22"/>
        </w:rPr>
        <w:t xml:space="preserve">The following table maps key policy requirements to their corresponding framework controls.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700"/>
        <w:gridCol w:w="2360"/>
      </w:tblGrid>
      <w:tr>
        <w:trPr>
          <w:tblHeader/>
        </w:trPr>
        <w:tc>
          <w:tcPr>
            <w:tcW w:type="dxa" w:w="2100"/>
            <w:tcBorders>
              <w:top w:val="single" w:color="DDE3EF" w:sz="4"/>
              <w:left w:val="single" w:color="DDE3EF" w:sz="4"/>
              <w:bottom w:val="single" w:color="DDE3EF" w:sz="4"/>
              <w:right w:val="single" w:color="DDE3EF" w:sz="4"/>
            </w:tcBorders>
            <w:shd w:fill="152168" w:val="clear"/>
            <w:tcMar>
              <w:top w:type="dxa" w:w="80"/>
              <w:left w:type="dxa" w:w="100"/>
              <w:bottom w:type="dxa" w:w="80"/>
              <w:right w:type="dxa" w:w="100"/>
            </w:tcMar>
          </w:tcPr>
          <w:p>
            <w:r>
              <w:rPr>
                <w:rFonts w:ascii="Arial" w:cs="Arial" w:eastAsia="Arial" w:hAnsi="Arial"/>
                <w:b/>
                <w:bCs/>
                <w:color w:val="FFFFFF"/>
                <w:sz w:val="18"/>
                <w:szCs w:val="18"/>
              </w:rPr>
              <w:t xml:space="preserve">Policy Section</w:t>
            </w:r>
          </w:p>
        </w:tc>
        <w:tc>
          <w:tcPr>
            <w:tcW w:type="dxa" w:w="2200"/>
            <w:tcBorders>
              <w:top w:val="single" w:color="DDE3EF" w:sz="4"/>
              <w:left w:val="single" w:color="DDE3EF" w:sz="4"/>
              <w:bottom w:val="single" w:color="DDE3EF" w:sz="4"/>
              <w:right w:val="single" w:color="DDE3EF" w:sz="4"/>
            </w:tcBorders>
            <w:shd w:fill="152168" w:val="clear"/>
            <w:tcMar>
              <w:top w:type="dxa" w:w="80"/>
              <w:left w:type="dxa" w:w="100"/>
              <w:bottom w:type="dxa" w:w="80"/>
              <w:right w:type="dxa" w:w="100"/>
            </w:tcMar>
          </w:tcPr>
          <w:p>
            <w:r>
              <w:rPr>
                <w:rFonts w:ascii="Arial" w:cs="Arial" w:eastAsia="Arial" w:hAnsi="Arial"/>
                <w:b/>
                <w:bCs/>
                <w:color w:val="FFFFFF"/>
                <w:sz w:val="18"/>
                <w:szCs w:val="18"/>
              </w:rPr>
              <w:t xml:space="preserve">NIST CSF 2.0</w:t>
            </w:r>
          </w:p>
        </w:tc>
        <w:tc>
          <w:tcPr>
            <w:tcW w:type="dxa" w:w="2700"/>
            <w:tcBorders>
              <w:top w:val="single" w:color="DDE3EF" w:sz="4"/>
              <w:left w:val="single" w:color="DDE3EF" w:sz="4"/>
              <w:bottom w:val="single" w:color="DDE3EF" w:sz="4"/>
              <w:right w:val="single" w:color="DDE3EF" w:sz="4"/>
            </w:tcBorders>
            <w:shd w:fill="152168" w:val="clear"/>
            <w:tcMar>
              <w:top w:type="dxa" w:w="80"/>
              <w:left w:type="dxa" w:w="100"/>
              <w:bottom w:type="dxa" w:w="80"/>
              <w:right w:type="dxa" w:w="100"/>
            </w:tcMar>
          </w:tcPr>
          <w:p>
            <w:r>
              <w:rPr>
                <w:rFonts w:ascii="Arial" w:cs="Arial" w:eastAsia="Arial" w:hAnsi="Arial"/>
                <w:b/>
                <w:bCs/>
                <w:color w:val="FFFFFF"/>
                <w:sz w:val="18"/>
                <w:szCs w:val="18"/>
              </w:rPr>
              <w:t xml:space="preserve">ISO/IEC 27001:2022</w:t>
            </w:r>
          </w:p>
        </w:tc>
        <w:tc>
          <w:tcPr>
            <w:tcW w:type="dxa" w:w="2360"/>
            <w:tcBorders>
              <w:top w:val="single" w:color="DDE3EF" w:sz="4"/>
              <w:left w:val="single" w:color="DDE3EF" w:sz="4"/>
              <w:bottom w:val="single" w:color="DDE3EF" w:sz="4"/>
              <w:right w:val="single" w:color="DDE3EF" w:sz="4"/>
            </w:tcBorders>
            <w:shd w:fill="152168" w:val="clear"/>
            <w:tcMar>
              <w:top w:type="dxa" w:w="80"/>
              <w:left w:type="dxa" w:w="100"/>
              <w:bottom w:type="dxa" w:w="80"/>
              <w:right w:type="dxa" w:w="100"/>
            </w:tcMar>
          </w:tcPr>
          <w:p>
            <w:r>
              <w:rPr>
                <w:rFonts w:ascii="Arial" w:cs="Arial" w:eastAsia="Arial" w:hAnsi="Arial"/>
                <w:b/>
                <w:bCs/>
                <w:color w:val="FFFFFF"/>
                <w:sz w:val="18"/>
                <w:szCs w:val="18"/>
              </w:rPr>
              <w:t xml:space="preserve">NIST SP 800-61 Rev 2</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6.1 Incident Classification</w:t>
            </w:r>
          </w:p>
        </w:tc>
        <w:tc>
          <w:tcPr>
            <w:tcW w:type="dxa" w:w="22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RS.MA-1: Incidents are triaged</w:t>
            </w:r>
          </w:p>
        </w:tc>
        <w:tc>
          <w:tcPr>
            <w:tcW w:type="dxa" w:w="27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A 5.25 Assessment and decision on information security events</w:t>
            </w:r>
          </w:p>
        </w:tc>
        <w:tc>
          <w:tcPr>
            <w:tcW w:type="dxa" w:w="236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Section 3.2 Signs of an Incident</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6.2 Detection and Reporting</w:t>
            </w:r>
          </w:p>
        </w:tc>
        <w:tc>
          <w:tcPr>
            <w:tcW w:type="dxa" w:w="22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DE.CM (Monitoring); RS.MA-2</w:t>
            </w:r>
          </w:p>
        </w:tc>
        <w:tc>
          <w:tcPr>
            <w:tcW w:type="dxa" w:w="27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A 5.24 Information security incident management planning</w:t>
            </w:r>
          </w:p>
        </w:tc>
        <w:tc>
          <w:tcPr>
            <w:tcW w:type="dxa" w:w="236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Section 3.2 Detection and Analysis Phase</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6.3.1 Preparation</w:t>
            </w:r>
          </w:p>
        </w:tc>
        <w:tc>
          <w:tcPr>
            <w:tcW w:type="dxa" w:w="22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RS.MA (Incident Management)</w:t>
            </w:r>
          </w:p>
        </w:tc>
        <w:tc>
          <w:tcPr>
            <w:tcW w:type="dxa" w:w="27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A 5.24 Planning and preparation</w:t>
            </w:r>
          </w:p>
        </w:tc>
        <w:tc>
          <w:tcPr>
            <w:tcW w:type="dxa" w:w="236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Section 3.1 Preparation Phase</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6.3.2 Detection and Analysis</w:t>
            </w:r>
          </w:p>
        </w:tc>
        <w:tc>
          <w:tcPr>
            <w:tcW w:type="dxa" w:w="22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DE.AE (Adverse Event Analysis); RS.MA-1</w:t>
            </w:r>
          </w:p>
        </w:tc>
        <w:tc>
          <w:tcPr>
            <w:tcW w:type="dxa" w:w="27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A 5.25 Assessment and decision</w:t>
            </w:r>
          </w:p>
        </w:tc>
        <w:tc>
          <w:tcPr>
            <w:tcW w:type="dxa" w:w="236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Section 3.2 Detection and Analysis Phase</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6.3.3 Containment</w:t>
            </w:r>
          </w:p>
        </w:tc>
        <w:tc>
          <w:tcPr>
            <w:tcW w:type="dxa" w:w="22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RS.MA-3: Incidents are contained</w:t>
            </w:r>
          </w:p>
        </w:tc>
        <w:tc>
          <w:tcPr>
            <w:tcW w:type="dxa" w:w="27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A 5.26 Response to information security incidents</w:t>
            </w:r>
          </w:p>
        </w:tc>
        <w:tc>
          <w:tcPr>
            <w:tcW w:type="dxa" w:w="236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Section 3.3 Containment</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6.3.4 Eradication</w:t>
            </w:r>
          </w:p>
        </w:tc>
        <w:tc>
          <w:tcPr>
            <w:tcW w:type="dxa" w:w="22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RS.MA-4: Incidents are eradicated</w:t>
            </w:r>
          </w:p>
        </w:tc>
        <w:tc>
          <w:tcPr>
            <w:tcW w:type="dxa" w:w="27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A 5.26 Response — remove cause</w:t>
            </w:r>
          </w:p>
        </w:tc>
        <w:tc>
          <w:tcPr>
            <w:tcW w:type="dxa" w:w="236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Section 3.3 Eradication</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6.3.5 Recovery</w:t>
            </w:r>
          </w:p>
        </w:tc>
        <w:tc>
          <w:tcPr>
            <w:tcW w:type="dxa" w:w="22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RC.RP (Incident Recovery Plan)</w:t>
            </w:r>
          </w:p>
        </w:tc>
        <w:tc>
          <w:tcPr>
            <w:tcW w:type="dxa" w:w="27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A 5.26 Recovery; A 5.29 BC during incident</w:t>
            </w:r>
          </w:p>
        </w:tc>
        <w:tc>
          <w:tcPr>
            <w:tcW w:type="dxa" w:w="236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Section 3.3 Recovery Phase</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6.3.6 Post-Incident Review</w:t>
            </w:r>
          </w:p>
        </w:tc>
        <w:tc>
          <w:tcPr>
            <w:tcW w:type="dxa" w:w="22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RS.IM (Incident Management Improvements)</w:t>
            </w:r>
          </w:p>
        </w:tc>
        <w:tc>
          <w:tcPr>
            <w:tcW w:type="dxa" w:w="27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A 5.27 Learning from information security incidents</w:t>
            </w:r>
          </w:p>
        </w:tc>
        <w:tc>
          <w:tcPr>
            <w:tcW w:type="dxa" w:w="236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Section 3.4 Post-Incident Activity</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6.4 Evidence Preservation</w:t>
            </w:r>
          </w:p>
        </w:tc>
        <w:tc>
          <w:tcPr>
            <w:tcW w:type="dxa" w:w="22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RS.MA (Incident Analysis)</w:t>
            </w:r>
          </w:p>
        </w:tc>
        <w:tc>
          <w:tcPr>
            <w:tcW w:type="dxa" w:w="27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A 5.28 Collection of evidence</w:t>
            </w:r>
          </w:p>
        </w:tc>
        <w:tc>
          <w:tcPr>
            <w:tcW w:type="dxa" w:w="236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Section 3.2 Evidence Handling</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6.5 Communication</w:t>
            </w:r>
          </w:p>
        </w:tc>
        <w:tc>
          <w:tcPr>
            <w:tcW w:type="dxa" w:w="22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RS.CO (Incident Response Reporting)</w:t>
            </w:r>
          </w:p>
        </w:tc>
        <w:tc>
          <w:tcPr>
            <w:tcW w:type="dxa" w:w="27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A 5.24 Communications; A 5.26 Response</w:t>
            </w:r>
          </w:p>
        </w:tc>
        <w:tc>
          <w:tcPr>
            <w:tcW w:type="dxa" w:w="236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Section 3.2 Escalation</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6.6 Regulatory Notification</w:t>
            </w:r>
          </w:p>
        </w:tc>
        <w:tc>
          <w:tcPr>
            <w:tcW w:type="dxa" w:w="22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RS.CO-3: Findings shared per policy</w:t>
            </w:r>
          </w:p>
        </w:tc>
        <w:tc>
          <w:tcPr>
            <w:tcW w:type="dxa" w:w="27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A 5.24 Reporting obligations</w:t>
            </w:r>
          </w:p>
        </w:tc>
        <w:tc>
          <w:tcPr>
            <w:tcW w:type="dxa" w:w="236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Section 3.6 Notifications</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6.7 Cyber Insurance</w:t>
            </w:r>
          </w:p>
        </w:tc>
        <w:tc>
          <w:tcPr>
            <w:tcW w:type="dxa" w:w="22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GV.RM (Risk Management)</w:t>
            </w:r>
          </w:p>
        </w:tc>
        <w:tc>
          <w:tcPr>
            <w:tcW w:type="dxa" w:w="270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A 5.24 Management responsibilities</w:t>
            </w:r>
          </w:p>
        </w:tc>
        <w:tc>
          <w:tcPr>
            <w:tcW w:type="dxa" w:w="2360"/>
            <w:tcBorders>
              <w:top w:val="single" w:color="DDE3EF" w:sz="4"/>
              <w:left w:val="single" w:color="DDE3EF" w:sz="4"/>
              <w:bottom w:val="single" w:color="DDE3EF" w:sz="4"/>
              <w:right w:val="single" w:color="DDE3EF" w:sz="4"/>
            </w:tcBorders>
            <w:shd w:fill="EBF0FA" w:val="clear"/>
            <w:tcMar>
              <w:top w:type="dxa" w:w="80"/>
              <w:left w:type="dxa" w:w="100"/>
              <w:bottom w:type="dxa" w:w="80"/>
              <w:right w:type="dxa" w:w="100"/>
            </w:tcMar>
            <w:vAlign w:val="top"/>
          </w:tcPr>
          <w:p>
            <w:r>
              <w:rPr>
                <w:rFonts w:ascii="Arial" w:cs="Arial" w:eastAsia="Arial" w:hAnsi="Arial"/>
                <w:color w:val="1A2340"/>
                <w:sz w:val="18"/>
                <w:szCs w:val="18"/>
              </w:rPr>
              <w:t xml:space="preserve">N/A</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6.8 Post-Incident Review</w:t>
            </w:r>
          </w:p>
        </w:tc>
        <w:tc>
          <w:tcPr>
            <w:tcW w:type="dxa" w:w="22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RS.IM-1/2 (Improvement)</w:t>
            </w:r>
          </w:p>
        </w:tc>
        <w:tc>
          <w:tcPr>
            <w:tcW w:type="dxa" w:w="270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A 5.27 Lessons learned</w:t>
            </w:r>
          </w:p>
        </w:tc>
        <w:tc>
          <w:tcPr>
            <w:tcW w:type="dxa" w:w="2360"/>
            <w:tcBorders>
              <w:top w:val="single" w:color="DDE3EF" w:sz="4"/>
              <w:left w:val="single" w:color="DDE3EF" w:sz="4"/>
              <w:bottom w:val="single" w:color="DDE3EF" w:sz="4"/>
              <w:right w:val="single" w:color="DDE3EF" w:sz="4"/>
            </w:tcBorders>
            <w:shd w:fill="FFFFFF" w:val="clear"/>
            <w:tcMar>
              <w:top w:type="dxa" w:w="80"/>
              <w:left w:type="dxa" w:w="100"/>
              <w:bottom w:type="dxa" w:w="80"/>
              <w:right w:type="dxa" w:w="100"/>
            </w:tcMar>
            <w:vAlign w:val="top"/>
          </w:tcPr>
          <w:p>
            <w:r>
              <w:rPr>
                <w:rFonts w:ascii="Arial" w:cs="Arial" w:eastAsia="Arial" w:hAnsi="Arial"/>
                <w:color w:val="1A2340"/>
                <w:sz w:val="18"/>
                <w:szCs w:val="18"/>
              </w:rPr>
              <w:t xml:space="preserve">Section 3.4 Lessons Learned</w:t>
            </w:r>
          </w:p>
        </w:tc>
      </w:tr>
    </w:tbl>
    <w:p>
      <w:pPr>
        <w:spacing w:after="8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1"/>
      </w:pBdr>
      <w:spacing w:before="80"/>
      <w:jc w:val="center"/>
    </w:pPr>
    <w:r>
      <w:rPr>
        <w:rFonts w:ascii="Arial" w:cs="Arial" w:eastAsia="Arial" w:hAnsi="Arial"/>
        <w:color w:val="5A6A8A"/>
        <w:sz w:val="18"/>
        <w:szCs w:val="18"/>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2168" w:sz="4" w:space="1"/>
      </w:pBdr>
      <w:tabs>
        <w:tab w:val="right" w:pos="9026"/>
      </w:tabs>
      <w:spacing w:after="80"/>
    </w:pPr>
    <w:r>
      <w:rPr>
        <w:rFonts w:ascii="Arial" w:cs="Arial" w:eastAsia="Arial" w:hAnsi="Arial"/>
        <w:color w:val="5A6A8A"/>
        <w:sz w:val="18"/>
        <w:szCs w:val="18"/>
      </w:rPr>
      <w:t xml:space="preserve">ENT-Draft-POL-Incident Response-Comprehensive-6.26  |  Information Security Incident Response Policy</w:t>
    </w:r>
    <w:r>
      <w:rPr>
        <w:rFonts w:ascii="Arial" w:cs="Arial" w:eastAsia="Arial" w:hAnsi="Arial"/>
        <w:sz w:val="18"/>
        <w:szCs w:val="18"/>
      </w:rPr>
      <w:t xml:space="preserve">	</w:t>
    </w:r>
    <w:r>
      <w:rPr>
        <w:rFonts w:ascii="Arial" w:cs="Arial" w:eastAsia="Arial" w:hAnsi="Arial"/>
        <w:color w:val="5A6A8A"/>
        <w:sz w:val="18"/>
        <w:szCs w:val="18"/>
      </w:rPr>
      <w:t xml:space="preserve">Page </w:t>
    </w:r>
    <w:r>
      <w:rPr>
        <w:rFonts w:ascii="Arial" w:cs="Arial" w:eastAsia="Arial" w:hAnsi="Arial"/>
        <w:color w:val="5A6A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5216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521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2026-06-19T04:26:00.667Z</dcterms:created>
  <dcterms:modified xsi:type="dcterms:W3CDTF">2026-06-19T04:26:00.667Z</dcterms:modified>
</cp:coreProperties>
</file>

<file path=docProps/custom.xml><?xml version="1.0" encoding="utf-8"?>
<Properties xmlns="http://schemas.openxmlformats.org/officeDocument/2006/custom-properties" xmlns:vt="http://schemas.openxmlformats.org/officeDocument/2006/docPropsVTypes"/>
</file>