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color w:val="5A6A8A"/>
          <w:sz w:val="18"/>
          <w:szCs w:val="18"/>
        </w:rPr>
        <w:t xml:space="preserve">ENT-Draft-POL-Incident Response-SMB-6.26</w:t>
      </w:r>
    </w:p>
    <w:p>
      <w:pPr>
        <w:spacing w:after="80" w:before="0"/>
      </w:pPr>
      <w:r>
        <w:rPr>
          <w:rFonts w:ascii="Arial" w:cs="Arial" w:eastAsia="Arial" w:hAnsi="Arial"/>
          <w:b/>
          <w:bCs/>
          <w:color w:val="152168"/>
          <w:sz w:val="52"/>
          <w:szCs w:val="52"/>
        </w:rPr>
        <w:t xml:space="preserve">Incident Response</w:t>
      </w:r>
    </w:p>
    <w:p>
      <w:pPr>
        <w:spacing w:after="240" w:before="0"/>
      </w:pPr>
      <w:r>
        <w:rPr>
          <w:rFonts w:ascii="Arial" w:cs="Arial" w:eastAsia="Arial" w:hAnsi="Arial"/>
          <w:b/>
          <w:bCs/>
          <w:color w:val="07B4D9"/>
          <w:sz w:val="52"/>
          <w:szCs w:val="52"/>
        </w:rPr>
        <w:t xml:space="preserve">Plain English Guide</w:t>
      </w:r>
    </w:p>
    <w:p>
      <w:pPr>
        <w:pBdr>
          <w:bottom w:val="single" w:color="152168" w:sz="6" w:space="1"/>
        </w:pBdr>
        <w:spacing w:after="0" w:before="0"/>
      </w:pPr>
    </w:p>
    <w:p>
      <w:pPr>
        <w:spacing w:after="120" w:before="120"/>
      </w:pPr>
    </w:p>
    <w:p>
      <w:pPr>
        <w:spacing w:after="80" w:before="80"/>
      </w:pPr>
      <w:r>
        <w:rPr>
          <w:rFonts w:ascii="Arial" w:cs="Arial" w:eastAsia="Arial" w:hAnsi="Arial"/>
          <w:color w:val="1A2340"/>
          <w:sz w:val="22"/>
          <w:szCs w:val="22"/>
        </w:rPr>
        <w:t xml:space="preserve">A practical, action-oriented guide for all staff. What to do when something goes wrong — and who to call.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5A6A8A"/>
                <w:sz w:val="20"/>
                <w:szCs w:val="20"/>
              </w:rPr>
              <w:t xml:space="preserve">Organization:</w:t>
            </w:r>
          </w:p>
          <w:p>
            <w:r>
              <w:rPr>
                <w:rFonts w:ascii="Arial" w:cs="Arial" w:eastAsia="Arial" w:hAnsi="Arial"/>
                <w:color w:val="1A2340"/>
                <w:sz w:val="20"/>
                <w:szCs w:val="20"/>
              </w:rPr>
              <w:t xml:space="preserve">[ORGANIZATION NAME]</w:t>
            </w:r>
          </w:p>
          <w:p>
            <w:pPr>
              <w:spacing w:after="60" w:before="60"/>
            </w:pPr>
          </w:p>
          <w:p>
            <w:r>
              <w:rPr>
                <w:rFonts w:ascii="Arial" w:cs="Arial" w:eastAsia="Arial" w:hAnsi="Arial"/>
                <w:b/>
                <w:bCs/>
                <w:color w:val="5A6A8A"/>
                <w:sz w:val="20"/>
                <w:szCs w:val="20"/>
              </w:rPr>
              <w:t xml:space="preserve">Classification:</w:t>
            </w:r>
          </w:p>
          <w:p>
            <w:r>
              <w:rPr>
                <w:rFonts w:ascii="Arial" w:cs="Arial" w:eastAsia="Arial" w:hAnsi="Arial"/>
                <w:color w:val="1A2340"/>
                <w:sz w:val="20"/>
                <w:szCs w:val="20"/>
              </w:rPr>
              <w:t xml:space="preserve">INTERNAL — CONFIDENTIAL</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5A6A8A"/>
                <w:sz w:val="20"/>
                <w:szCs w:val="20"/>
              </w:rPr>
              <w:t xml:space="preserve">Version:</w:t>
            </w:r>
          </w:p>
          <w:p>
            <w:r>
              <w:rPr>
                <w:rFonts w:ascii="Arial" w:cs="Arial" w:eastAsia="Arial" w:hAnsi="Arial"/>
                <w:color w:val="1A2340"/>
                <w:sz w:val="20"/>
                <w:szCs w:val="20"/>
              </w:rPr>
              <w:t xml:space="preserve">1.0</w:t>
            </w:r>
          </w:p>
          <w:p>
            <w:pPr>
              <w:spacing w:after="60" w:before="60"/>
            </w:pPr>
          </w:p>
          <w:p>
            <w:r>
              <w:rPr>
                <w:rFonts w:ascii="Arial" w:cs="Arial" w:eastAsia="Arial" w:hAnsi="Arial"/>
                <w:b/>
                <w:bCs/>
                <w:color w:val="5A6A8A"/>
                <w:sz w:val="20"/>
                <w:szCs w:val="20"/>
              </w:rPr>
              <w:t xml:space="preserve">Effective Date:</w:t>
            </w:r>
          </w:p>
          <w:p>
            <w:r>
              <w:rPr>
                <w:rFonts w:ascii="Arial" w:cs="Arial" w:eastAsia="Arial" w:hAnsi="Arial"/>
                <w:color w:val="1A2340"/>
                <w:sz w:val="20"/>
                <w:szCs w:val="20"/>
              </w:rPr>
              <w:t xml:space="preserve">[DATE]</w:t>
            </w:r>
          </w:p>
        </w:tc>
      </w:tr>
    </w:tbl>
    <w:p>
      <w:pPr>
        <w:spacing w:after="0" w:before="200"/>
      </w:pPr>
    </w:p>
    <w:p>
      <w:r>
        <w:br w:type="page"/>
      </w:r>
    </w:p>
    <w:p>
      <w:pPr>
        <w:pStyle w:val="Heading1"/>
        <w:spacing w:after="120" w:before="320"/>
      </w:pPr>
      <w:r>
        <w:rPr>
          <w:rFonts w:ascii="Arial" w:cs="Arial" w:eastAsia="Arial" w:hAnsi="Arial"/>
          <w:b/>
          <w:bCs/>
          <w:color w:val="152168"/>
          <w:sz w:val="28"/>
          <w:szCs w:val="28"/>
        </w:rPr>
        <w:t xml:space="preserve">1.  What Is a Security Incident?</w:t>
      </w:r>
    </w:p>
    <w:p>
      <w:pPr>
        <w:spacing w:after="80" w:before="80"/>
      </w:pPr>
      <w:r>
        <w:rPr>
          <w:rFonts w:ascii="Arial" w:cs="Arial" w:eastAsia="Arial" w:hAnsi="Arial"/>
          <w:color w:val="1A2340"/>
          <w:sz w:val="22"/>
          <w:szCs w:val="22"/>
        </w:rPr>
        <w:t xml:space="preserve">A security incident is anything that threatens your organization's systems, data, or ability to operate. You do not need to be certain it is an attack — suspicion is enough to report it.</w:t>
      </w:r>
    </w:p>
    <w:p>
      <w:pPr>
        <w:spacing w:after="40" w:before="80"/>
      </w:pPr>
    </w:p>
    <w:p>
      <w:pPr>
        <w:spacing w:after="80" w:before="80"/>
      </w:pPr>
      <w:r>
        <w:rPr>
          <w:rFonts w:ascii="Arial" w:cs="Arial" w:eastAsia="Arial" w:hAnsi="Arial"/>
          <w:b/>
          <w:bCs/>
          <w:color w:val="1A2340"/>
          <w:sz w:val="22"/>
          <w:szCs w:val="22"/>
        </w:rPr>
        <w:t xml:space="preserve">Common examples include:</w:t>
      </w:r>
    </w:p>
    <w:p>
      <w:pPr>
        <w:pStyle w:val="ListParagraph"/>
        <w:numPr>
          <w:ilvl w:val="0"/>
          <w:numId w:val="2"/>
        </w:numPr>
        <w:spacing w:after="40" w:before="40"/>
      </w:pPr>
      <w:r>
        <w:rPr>
          <w:rFonts w:ascii="Arial" w:cs="Arial" w:eastAsia="Arial" w:hAnsi="Arial"/>
          <w:color w:val="1A2340"/>
          <w:sz w:val="22"/>
          <w:szCs w:val="22"/>
        </w:rPr>
        <w:t xml:space="preserve">Ransomware: your files are suddenly encrypted and you get a demand for payment</w:t>
      </w:r>
    </w:p>
    <w:p>
      <w:pPr>
        <w:pStyle w:val="ListParagraph"/>
        <w:numPr>
          <w:ilvl w:val="0"/>
          <w:numId w:val="2"/>
        </w:numPr>
        <w:spacing w:after="40" w:before="40"/>
      </w:pPr>
      <w:r>
        <w:rPr>
          <w:rFonts w:ascii="Arial" w:cs="Arial" w:eastAsia="Arial" w:hAnsi="Arial"/>
          <w:color w:val="1A2340"/>
          <w:sz w:val="22"/>
          <w:szCs w:val="22"/>
        </w:rPr>
        <w:t xml:space="preserve">Successful phishing: someone clicked a link or opened an attachment and credentials may have been stolen</w:t>
      </w:r>
    </w:p>
    <w:p>
      <w:pPr>
        <w:pStyle w:val="ListParagraph"/>
        <w:numPr>
          <w:ilvl w:val="0"/>
          <w:numId w:val="2"/>
        </w:numPr>
        <w:spacing w:after="40" w:before="40"/>
      </w:pPr>
      <w:r>
        <w:rPr>
          <w:rFonts w:ascii="Arial" w:cs="Arial" w:eastAsia="Arial" w:hAnsi="Arial"/>
          <w:color w:val="1A2340"/>
          <w:sz w:val="22"/>
          <w:szCs w:val="22"/>
        </w:rPr>
        <w:t xml:space="preserve">Stolen or lost device: a laptop, phone, or USB drive containing work data has gone missing</w:t>
      </w:r>
    </w:p>
    <w:p>
      <w:pPr>
        <w:pStyle w:val="ListParagraph"/>
        <w:numPr>
          <w:ilvl w:val="0"/>
          <w:numId w:val="2"/>
        </w:numPr>
        <w:spacing w:after="40" w:before="40"/>
      </w:pPr>
      <w:r>
        <w:rPr>
          <w:rFonts w:ascii="Arial" w:cs="Arial" w:eastAsia="Arial" w:hAnsi="Arial"/>
          <w:color w:val="1A2340"/>
          <w:sz w:val="22"/>
          <w:szCs w:val="22"/>
        </w:rPr>
        <w:t xml:space="preserve">Unauthorized access: you notice someone logged into an account when they should not have been</w:t>
      </w:r>
    </w:p>
    <w:p>
      <w:pPr>
        <w:pStyle w:val="ListParagraph"/>
        <w:numPr>
          <w:ilvl w:val="0"/>
          <w:numId w:val="2"/>
        </w:numPr>
        <w:spacing w:after="40" w:before="40"/>
      </w:pPr>
      <w:r>
        <w:rPr>
          <w:rFonts w:ascii="Arial" w:cs="Arial" w:eastAsia="Arial" w:hAnsi="Arial"/>
          <w:color w:val="1A2340"/>
          <w:sz w:val="22"/>
          <w:szCs w:val="22"/>
        </w:rPr>
        <w:t xml:space="preserve">Wrong recipient: sensitive data (client info, financial records, HR data) was emailed to the wrong person</w:t>
      </w:r>
    </w:p>
    <w:p>
      <w:pPr>
        <w:pStyle w:val="ListParagraph"/>
        <w:numPr>
          <w:ilvl w:val="0"/>
          <w:numId w:val="2"/>
        </w:numPr>
        <w:spacing w:after="40" w:before="40"/>
      </w:pPr>
      <w:r>
        <w:rPr>
          <w:rFonts w:ascii="Arial" w:cs="Arial" w:eastAsia="Arial" w:hAnsi="Arial"/>
          <w:color w:val="1A2340"/>
          <w:sz w:val="22"/>
          <w:szCs w:val="22"/>
        </w:rPr>
        <w:t xml:space="preserve">Suspicious behaviour: a system is running slowly, files have moved or disappeared, or something just does not feel right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40"/>
              <w:left w:type="dxa" w:w="200"/>
              <w:bottom w:type="dxa" w:w="140"/>
              <w:right w:type="dxa" w:w="200"/>
            </w:tcMar>
          </w:tcPr>
          <w:p>
            <w:r>
              <w:rPr>
                <w:rFonts w:ascii="Arial" w:cs="Arial" w:eastAsia="Arial" w:hAnsi="Arial"/>
                <w:b/>
                <w:bCs/>
                <w:color w:val="152168"/>
                <w:sz w:val="22"/>
                <w:szCs w:val="22"/>
              </w:rPr>
              <w:t xml:space="preserve">Remember</w:t>
            </w:r>
          </w:p>
          <w:p>
            <w:pPr>
              <w:spacing w:after="40" w:before="40"/>
            </w:pPr>
          </w:p>
          <w:p>
            <w:r>
              <w:rPr>
                <w:rFonts w:ascii="Arial" w:cs="Arial" w:eastAsia="Arial" w:hAnsi="Arial"/>
                <w:color w:val="1A2340"/>
                <w:sz w:val="22"/>
                <w:szCs w:val="22"/>
              </w:rPr>
              <w:t xml:space="preserve">You do not need proof. You do not need to understand what happened. If something seems wrong — report it. False alarms are far less costly than a real incident that goes unreported.</w:t>
            </w:r>
          </w:p>
        </w:tc>
      </w:tr>
    </w:tbl>
    <w:p>
      <w:pPr>
        <w:spacing w:after="80" w:before="160"/>
      </w:pPr>
    </w:p>
    <w:p>
      <w:pPr>
        <w:pStyle w:val="Heading1"/>
        <w:spacing w:after="120" w:before="320"/>
      </w:pPr>
      <w:r>
        <w:rPr>
          <w:rFonts w:ascii="Arial" w:cs="Arial" w:eastAsia="Arial" w:hAnsi="Arial"/>
          <w:b/>
          <w:bCs/>
          <w:color w:val="152168"/>
          <w:sz w:val="28"/>
          <w:szCs w:val="28"/>
        </w:rPr>
        <w:t xml:space="preserve">2.  Severity Levels — How Bad Is It?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4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2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bCs/>
                <w:color w:val="1A2340"/>
                <w:sz w:val="20"/>
                <w:szCs w:val="20"/>
              </w:rPr>
              <w:t xml:space="preserve">CRITICAL</w:t>
            </w:r>
          </w:p>
        </w:tc>
        <w:tc>
          <w:tcPr>
            <w:tcW w:type="dxa" w:w="348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Active attack or confirmed breach — respond immediately, all hands</w:t>
            </w:r>
          </w:p>
        </w:tc>
        <w:tc>
          <w:tcPr>
            <w:tcW w:type="dxa" w:w="468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Active ransomware; confirmed client data stolen; attacker confirmed in your systems; core business systems down</w:t>
            </w:r>
          </w:p>
        </w:tc>
      </w:tr>
      <w:tr>
        <w:tc>
          <w:tcPr>
            <w:tcW w:type="dxa" w:w="120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bCs/>
                <w:color w:val="1A2340"/>
                <w:sz w:val="20"/>
                <w:szCs w:val="20"/>
              </w:rPr>
              <w:t xml:space="preserve">SERIOUS</w:t>
            </w:r>
          </w:p>
        </w:tc>
        <w:tc>
          <w:tcPr>
            <w:tcW w:type="dxa" w:w="348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Significant threat — needs fast attention today</w:t>
            </w:r>
          </w:p>
        </w:tc>
        <w:tc>
          <w:tcPr>
            <w:tcW w:type="dxa" w:w="468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Suspected data breach; admin account taken over; ransomware stopped but scope is unknown</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MINOR</w:t>
            </w:r>
          </w:p>
        </w:tc>
        <w:tc>
          <w:tcPr>
            <w:tcW w:type="dxa" w:w="3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Contained or low-risk — handle this week</w:t>
            </w:r>
          </w:p>
        </w:tc>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Single infected computer cleaned; failed phishing attempt; suspicious email; minor policy violation</w:t>
            </w:r>
          </w:p>
        </w:tc>
      </w:tr>
    </w:tbl>
    <w:p>
      <w:pPr>
        <w:spacing w:after="80" w:before="80"/>
      </w:pPr>
    </w:p>
    <w:p>
      <w:pPr>
        <w:spacing w:after="80" w:before="80"/>
      </w:pPr>
      <w:r>
        <w:rPr>
          <w:rFonts w:ascii="Arial" w:cs="Arial" w:eastAsia="Arial" w:hAnsi="Arial"/>
          <w:color w:val="1A2340"/>
          <w:sz w:val="22"/>
          <w:szCs w:val="22"/>
        </w:rPr>
        <w:t xml:space="preserve">If you are unsure of the severity — treat it as SERIOUS and report immediately. It is always better to escalate and stand down than to underreact.</w:t>
      </w:r>
    </w:p>
    <w:p>
      <w:pPr>
        <w:spacing w:after="80" w:before="160"/>
      </w:pPr>
    </w:p>
    <w:p>
      <w:pPr>
        <w:pStyle w:val="Heading1"/>
        <w:spacing w:after="120" w:before="320"/>
      </w:pPr>
      <w:r>
        <w:rPr>
          <w:rFonts w:ascii="Arial" w:cs="Arial" w:eastAsia="Arial" w:hAnsi="Arial"/>
          <w:b/>
          <w:bCs/>
          <w:color w:val="152168"/>
          <w:sz w:val="28"/>
          <w:szCs w:val="28"/>
        </w:rPr>
        <w:t xml:space="preserve">3.  The Golden Rule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8"/>
              <w:left w:val="single" w:color="07B4D9" w:sz="24"/>
              <w:bottom w:val="single" w:color="07B4D9" w:sz="8"/>
              <w:right w:val="single" w:color="07B4D9" w:sz="8"/>
            </w:tcBorders>
            <w:shd w:fill="152168" w:val="clear"/>
            <w:tcMar>
              <w:top w:type="dxa" w:w="200"/>
              <w:left w:type="dxa" w:w="240"/>
              <w:bottom w:type="dxa" w:w="200"/>
              <w:right w:type="dxa" w:w="240"/>
            </w:tcMar>
          </w:tcPr>
          <w:p>
            <w:pPr>
              <w:spacing w:after="60" w:before="60"/>
              <w:jc w:val="center"/>
            </w:pPr>
            <w:r>
              <w:rPr>
                <w:rFonts w:ascii="Arial" w:cs="Arial" w:eastAsia="Arial" w:hAnsi="Arial"/>
                <w:b/>
                <w:bCs/>
                <w:color w:val="07B4D9"/>
                <w:sz w:val="20"/>
                <w:szCs w:val="20"/>
              </w:rPr>
              <w:t xml:space="preserve">THE GOLDEN RULE</w:t>
            </w:r>
          </w:p>
          <w:p>
            <w:pPr>
              <w:spacing w:after="0" w:before="0"/>
              <w:jc w:val="center"/>
            </w:pPr>
            <w:r>
              <w:rPr>
                <w:rFonts w:ascii="Arial" w:cs="Arial" w:eastAsia="Arial" w:hAnsi="Arial"/>
                <w:b/>
                <w:bCs/>
                <w:color w:val="FFFFFF"/>
                <w:sz w:val="36"/>
                <w:szCs w:val="36"/>
              </w:rPr>
              <w:t xml:space="preserve">If in doubt — REPORT IT.</w:t>
            </w:r>
          </w:p>
          <w:p>
            <w:pPr>
              <w:spacing w:after="60" w:before="60"/>
              <w:jc w:val="center"/>
            </w:pPr>
            <w:r>
              <w:rPr>
                <w:rFonts w:ascii="Arial" w:cs="Arial" w:eastAsia="Arial" w:hAnsi="Arial"/>
                <w:b/>
                <w:bCs/>
                <w:color w:val="07B4D9"/>
                <w:sz w:val="24"/>
                <w:szCs w:val="24"/>
              </w:rPr>
              <w:t xml:space="preserve">Never try to handle a security incident on your own.</w:t>
            </w:r>
          </w:p>
        </w:tc>
      </w:tr>
    </w:tbl>
    <w:p>
      <w:pPr>
        <w:spacing w:after="80" w:before="80"/>
      </w:pPr>
    </w:p>
    <w:p>
      <w:pPr>
        <w:spacing w:after="80" w:before="80"/>
      </w:pPr>
      <w:r>
        <w:rPr>
          <w:rFonts w:ascii="Arial" w:cs="Arial" w:eastAsia="Arial" w:hAnsi="Arial"/>
          <w:color w:val="1A2340"/>
          <w:sz w:val="22"/>
          <w:szCs w:val="22"/>
        </w:rPr>
        <w:t xml:space="preserve">This rule exists for a reason. Security incidents can spread quickly. Systems that look unaffected may already be compromised. Evidence can be destroyed accidentally. The sooner the right people are involved, the better the outcome.</w:t>
      </w:r>
    </w:p>
    <w:p>
      <w:pPr>
        <w:spacing w:after="80" w:before="160"/>
      </w:pPr>
    </w:p>
    <w:p>
      <w:pPr>
        <w:pStyle w:val="Heading1"/>
        <w:spacing w:after="120" w:before="320"/>
      </w:pPr>
      <w:r>
        <w:rPr>
          <w:rFonts w:ascii="Arial" w:cs="Arial" w:eastAsia="Arial" w:hAnsi="Arial"/>
          <w:b/>
          <w:bCs/>
          <w:color w:val="152168"/>
          <w:sz w:val="28"/>
          <w:szCs w:val="28"/>
        </w:rPr>
        <w:t xml:space="preserve">4.  Step-by-Step Response</w:t>
      </w:r>
    </w:p>
    <w:p>
      <w:pPr>
        <w:spacing w:after="80" w:before="80"/>
      </w:pPr>
      <w:r>
        <w:rPr>
          <w:rFonts w:ascii="Arial" w:cs="Arial" w:eastAsia="Arial" w:hAnsi="Arial"/>
          <w:color w:val="1A2340"/>
          <w:sz w:val="22"/>
          <w:szCs w:val="22"/>
        </w:rPr>
        <w:t xml:space="preserve">Follow these steps in order. Do not skip ahead.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single" w:color="DDE3EF" w:sz="2"/>
              <w:right w:val="none" w:color="FFFFFF" w:sz="0"/>
            </w:tcBorders>
            <w:shd w:fill="FFFFFF" w:val="clear"/>
            <w:tcMar>
              <w:top w:type="dxa" w:w="100"/>
              <w:left w:type="dxa" w:w="180"/>
              <w:bottom w:type="dxa" w:w="100"/>
              <w:right w:type="dxa" w:w="120"/>
            </w:tcMar>
            <w:vAlign w:val="top"/>
          </w:tcPr>
          <w:p>
            <w:r>
              <w:rPr>
                <w:rFonts w:ascii="Arial" w:cs="Arial" w:eastAsia="Arial" w:hAnsi="Arial"/>
                <w:b/>
                <w:bCs/>
                <w:color w:val="152168"/>
                <w:sz w:val="22"/>
                <w:szCs w:val="22"/>
              </w:rPr>
              <w:t xml:space="preserve">STOP — Do Not Make It Worse</w:t>
            </w:r>
          </w:p>
          <w:p>
            <w:pPr>
              <w:spacing w:after="0" w:before="40"/>
            </w:pPr>
            <w:r>
              <w:rPr>
                <w:rFonts w:ascii="Arial" w:cs="Arial" w:eastAsia="Arial" w:hAnsi="Arial"/>
                <w:color w:val="1A2340"/>
                <w:sz w:val="20"/>
                <w:szCs w:val="20"/>
              </w:rPr>
              <w:t xml:space="preserve">Stop what you are doing. Do not try to fix it yourself. Do not delete files, run your own scan, or reboot systems unless IT instructs you to. Preserve the current state.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single" w:color="DDE3EF" w:sz="2"/>
              <w:right w:val="none" w:color="FFFFFF" w:sz="0"/>
            </w:tcBorders>
            <w:shd w:fill="EBF0FA" w:val="clear"/>
            <w:tcMar>
              <w:top w:type="dxa" w:w="100"/>
              <w:left w:type="dxa" w:w="180"/>
              <w:bottom w:type="dxa" w:w="100"/>
              <w:right w:type="dxa" w:w="120"/>
            </w:tcMar>
            <w:vAlign w:val="top"/>
          </w:tcPr>
          <w:p>
            <w:r>
              <w:rPr>
                <w:rFonts w:ascii="Arial" w:cs="Arial" w:eastAsia="Arial" w:hAnsi="Arial"/>
                <w:b/>
                <w:bCs/>
                <w:color w:val="152168"/>
                <w:sz w:val="22"/>
                <w:szCs w:val="22"/>
              </w:rPr>
              <w:t xml:space="preserve">REPORT — Tell IT/Security Now</w:t>
            </w:r>
          </w:p>
          <w:p>
            <w:pPr>
              <w:spacing w:after="0" w:before="40"/>
            </w:pPr>
            <w:r>
              <w:rPr>
                <w:rFonts w:ascii="Arial" w:cs="Arial" w:eastAsia="Arial" w:hAnsi="Arial"/>
                <w:color w:val="1A2340"/>
                <w:sz w:val="20"/>
                <w:szCs w:val="20"/>
              </w:rPr>
              <w:t xml:space="preserve">Contact IT/Security immediately using your organization's designated helpdesk channel. Report what you saw, when you noticed it, and what systems are involved. If the email system may be compromised, use the phone.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single" w:color="DDE3EF" w:sz="2"/>
              <w:right w:val="none" w:color="FFFFFF" w:sz="0"/>
            </w:tcBorders>
            <w:shd w:fill="FFFFFF" w:val="clear"/>
            <w:tcMar>
              <w:top w:type="dxa" w:w="100"/>
              <w:left w:type="dxa" w:w="180"/>
              <w:bottom w:type="dxa" w:w="100"/>
              <w:right w:type="dxa" w:w="120"/>
            </w:tcMar>
            <w:vAlign w:val="top"/>
          </w:tcPr>
          <w:p>
            <w:r>
              <w:rPr>
                <w:rFonts w:ascii="Arial" w:cs="Arial" w:eastAsia="Arial" w:hAnsi="Arial"/>
                <w:b/>
                <w:bCs/>
                <w:color w:val="152168"/>
                <w:sz w:val="22"/>
                <w:szCs w:val="22"/>
              </w:rPr>
              <w:t xml:space="preserve">PRESERVE — Keep the Evidence</w:t>
            </w:r>
          </w:p>
          <w:p>
            <w:pPr>
              <w:spacing w:after="0" w:before="40"/>
            </w:pPr>
            <w:r>
              <w:rPr>
                <w:rFonts w:ascii="Arial" w:cs="Arial" w:eastAsia="Arial" w:hAnsi="Arial"/>
                <w:color w:val="1A2340"/>
                <w:sz w:val="20"/>
                <w:szCs w:val="20"/>
              </w:rPr>
              <w:t xml:space="preserve">Do not turn the system off or delete anything. Leave the screen as it is. If you see an error message or ransom note, take a photo of it with your phone before touching the screen. Your IT team needs to see exactly what you saw.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single" w:color="DDE3EF" w:sz="2"/>
              <w:right w:val="none" w:color="FFFFFF" w:sz="0"/>
            </w:tcBorders>
            <w:shd w:fill="EBF0FA" w:val="clear"/>
            <w:tcMar>
              <w:top w:type="dxa" w:w="100"/>
              <w:left w:type="dxa" w:w="180"/>
              <w:bottom w:type="dxa" w:w="100"/>
              <w:right w:type="dxa" w:w="120"/>
            </w:tcMar>
            <w:vAlign w:val="top"/>
          </w:tcPr>
          <w:p>
            <w:r>
              <w:rPr>
                <w:rFonts w:ascii="Arial" w:cs="Arial" w:eastAsia="Arial" w:hAnsi="Arial"/>
                <w:b/>
                <w:bCs/>
                <w:color w:val="152168"/>
                <w:sz w:val="22"/>
                <w:szCs w:val="22"/>
              </w:rPr>
              <w:t xml:space="preserve">CONTAIN — IT Takes Control</w:t>
            </w:r>
          </w:p>
          <w:p>
            <w:pPr>
              <w:spacing w:after="0" w:before="40"/>
            </w:pPr>
            <w:r>
              <w:rPr>
                <w:rFonts w:ascii="Arial" w:cs="Arial" w:eastAsia="Arial" w:hAnsi="Arial"/>
                <w:color w:val="1A2340"/>
                <w:sz w:val="20"/>
                <w:szCs w:val="20"/>
              </w:rPr>
              <w:t xml:space="preserve">Your IT/Security Lead will instruct you on isolation steps — this might include disconnecting from the network, locking accounts, or blocking access. Follow their instructions exactly.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single" w:color="DDE3EF" w:sz="2"/>
              <w:right w:val="none" w:color="FFFFFF" w:sz="0"/>
            </w:tcBorders>
            <w:shd w:fill="FFFFFF" w:val="clear"/>
            <w:tcMar>
              <w:top w:type="dxa" w:w="100"/>
              <w:left w:type="dxa" w:w="180"/>
              <w:bottom w:type="dxa" w:w="100"/>
              <w:right w:type="dxa" w:w="120"/>
            </w:tcMar>
            <w:vAlign w:val="top"/>
          </w:tcPr>
          <w:p>
            <w:r>
              <w:rPr>
                <w:rFonts w:ascii="Arial" w:cs="Arial" w:eastAsia="Arial" w:hAnsi="Arial"/>
                <w:b/>
                <w:bCs/>
                <w:color w:val="152168"/>
                <w:sz w:val="22"/>
                <w:szCs w:val="22"/>
              </w:rPr>
              <w:t xml:space="preserve">INVESTIGATE — IT/Security Leads</w:t>
            </w:r>
          </w:p>
          <w:p>
            <w:pPr>
              <w:spacing w:after="0" w:before="40"/>
            </w:pPr>
            <w:r>
              <w:rPr>
                <w:rFonts w:ascii="Arial" w:cs="Arial" w:eastAsia="Arial" w:hAnsi="Arial"/>
                <w:color w:val="1A2340"/>
                <w:sz w:val="20"/>
                <w:szCs w:val="20"/>
              </w:rPr>
              <w:t xml:space="preserve">IT and your CISO/vCISO will determine what happened, how far it spread, and what data or systems were affected. Keep the incident log updated. All actions and decisions must be recorded with timestamps.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single" w:color="DDE3EF" w:sz="2"/>
              <w:right w:val="none" w:color="FFFFFF" w:sz="0"/>
            </w:tcBorders>
            <w:shd w:fill="EBF0FA" w:val="clear"/>
            <w:tcMar>
              <w:top w:type="dxa" w:w="100"/>
              <w:left w:type="dxa" w:w="180"/>
              <w:bottom w:type="dxa" w:w="100"/>
              <w:right w:type="dxa" w:w="120"/>
            </w:tcMar>
            <w:vAlign w:val="top"/>
          </w:tcPr>
          <w:p>
            <w:r>
              <w:rPr>
                <w:rFonts w:ascii="Arial" w:cs="Arial" w:eastAsia="Arial" w:hAnsi="Arial"/>
                <w:b/>
                <w:bCs/>
                <w:color w:val="152168"/>
                <w:sz w:val="22"/>
                <w:szCs w:val="22"/>
              </w:rPr>
              <w:t xml:space="preserve">RECOVER — Get Back to Normal</w:t>
            </w:r>
          </w:p>
          <w:p>
            <w:pPr>
              <w:spacing w:after="0" w:before="40"/>
            </w:pPr>
            <w:r>
              <w:rPr>
                <w:rFonts w:ascii="Arial" w:cs="Arial" w:eastAsia="Arial" w:hAnsi="Arial"/>
                <w:color w:val="1A2340"/>
                <w:sz w:val="20"/>
                <w:szCs w:val="20"/>
              </w:rPr>
              <w:t xml:space="preserve">Systems are restored from clean backups, accounts are reset, and verification is done before anyone goes back to work on affected systems. Enhanced monitoring will be in place for at least 30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7B4D9" w:val="clear"/>
            <w:tcMar>
              <w:top w:type="dxa" w:w="100"/>
              <w:left w:type="dxa" w:w="140"/>
              <w:bottom w:type="dxa" w:w="100"/>
              <w:right w:type="dxa" w:w="100"/>
            </w:tcMar>
            <w:vAlign w:val="top"/>
          </w:tcPr>
          <w:p>
            <w:pPr>
              <w:jc w:val="center"/>
            </w:pPr>
            <w:r>
              <w:rPr>
                <w:rFonts w:ascii="Arial" w:cs="Arial" w:eastAsia="Arial" w:hAnsi="Arial"/>
                <w:b/>
                <w:bCs/>
                <w:color w:val="FFFFFF"/>
                <w:sz w:val="28"/>
                <w:szCs w:val="28"/>
              </w:rPr>
              <w:t xml:space="preserve">7</w:t>
            </w:r>
          </w:p>
        </w:tc>
        <w:tc>
          <w:tcPr>
            <w:tcW w:type="dxa" w:w="8760"/>
            <w:tcBorders>
              <w:top w:val="none" w:color="FFFFFF" w:sz="0"/>
              <w:left w:val="none" w:color="FFFFFF" w:sz="0"/>
              <w:bottom w:val="single" w:color="DDE3EF" w:sz="2"/>
              <w:right w:val="none" w:color="FFFFFF" w:sz="0"/>
            </w:tcBorders>
            <w:shd w:fill="FFFFFF" w:val="clear"/>
            <w:tcMar>
              <w:top w:type="dxa" w:w="100"/>
              <w:left w:type="dxa" w:w="180"/>
              <w:bottom w:type="dxa" w:w="100"/>
              <w:right w:type="dxa" w:w="120"/>
            </w:tcMar>
            <w:vAlign w:val="top"/>
          </w:tcPr>
          <w:p>
            <w:r>
              <w:rPr>
                <w:rFonts w:ascii="Arial" w:cs="Arial" w:eastAsia="Arial" w:hAnsi="Arial"/>
                <w:b/>
                <w:bCs/>
                <w:color w:val="152168"/>
                <w:sz w:val="22"/>
                <w:szCs w:val="22"/>
              </w:rPr>
              <w:t xml:space="preserve">LEARN — Do Not Let It Happen Again</w:t>
            </w:r>
          </w:p>
          <w:p>
            <w:pPr>
              <w:spacing w:after="0" w:before="40"/>
            </w:pPr>
            <w:r>
              <w:rPr>
                <w:rFonts w:ascii="Arial" w:cs="Arial" w:eastAsia="Arial" w:hAnsi="Arial"/>
                <w:color w:val="1A2340"/>
                <w:sz w:val="20"/>
                <w:szCs w:val="20"/>
              </w:rPr>
              <w:t xml:space="preserve">After the incident is closed, your team will review what happened and why. What was the root cause? What would have caught it earlier? How do we prevent a repeat? Action items get assigned and tracked.</w:t>
            </w:r>
          </w:p>
        </w:tc>
      </w:tr>
    </w:tbl>
    <w:p>
      <w:pPr>
        <w:spacing w:after="0" w:before="80"/>
      </w:pPr>
    </w:p>
    <w:p>
      <w:pPr>
        <w:spacing w:after="80" w:before="160"/>
      </w:pPr>
    </w:p>
    <w:p>
      <w:pPr>
        <w:pStyle w:val="Heading1"/>
        <w:spacing w:after="120" w:before="320"/>
      </w:pPr>
      <w:r>
        <w:rPr>
          <w:rFonts w:ascii="Arial" w:cs="Arial" w:eastAsia="Arial" w:hAnsi="Arial"/>
          <w:b/>
          <w:bCs/>
          <w:color w:val="152168"/>
          <w:sz w:val="28"/>
          <w:szCs w:val="28"/>
        </w:rPr>
        <w:t xml:space="preserve">5.  Who Is On Our Response Team</w:t>
      </w:r>
    </w:p>
    <w:p>
      <w:pPr>
        <w:spacing w:after="80" w:before="80"/>
      </w:pPr>
      <w:r>
        <w:rPr>
          <w:rFonts w:ascii="Arial" w:cs="Arial" w:eastAsia="Arial" w:hAnsi="Arial"/>
          <w:color w:val="1A2340"/>
          <w:sz w:val="22"/>
          <w:szCs w:val="22"/>
        </w:rPr>
        <w:t xml:space="preserve">In the event of a security incident, these are the people you contact: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4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Incident Commander (CISO/vCISO)</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[NAME / PHONE / EMAIL]</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Overall lead — makes the big calls, declares incidents, engages insurer and regulators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IT/Security Lead</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[NAME / PHONE / EMAIL]</w:t>
            </w:r>
          </w:p>
        </w:tc>
        <w:tc>
          <w:tcPr>
            <w:tcW w:type="dxa" w:w="4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Technical response — investigates, contains, eradicates, recovers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Legal/Compliance</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[NAME / PHONE / EMAIL]</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Advises on regulatory notification — do we need to tell anyone?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Executive Sponsor</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[NAME / PHONE / EMAIL]</w:t>
            </w:r>
          </w:p>
        </w:tc>
        <w:tc>
          <w:tcPr>
            <w:tcW w:type="dxa" w:w="4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Escalation for Critical and Serious incidents — approves major decisions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IT/Security Helpdesk</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[PHONE / EMAIL / TICKET SYSTEM]</w:t>
            </w:r>
          </w:p>
        </w:tc>
        <w:tc>
          <w:tcPr>
            <w:tcW w:type="dxa" w:w="4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First point of contact for all staff — report here first</w:t>
            </w:r>
          </w:p>
        </w:tc>
      </w:tr>
    </w:tbl>
    <w:p>
      <w:pPr>
        <w:spacing w:after="80" w:before="160"/>
      </w:pPr>
    </w:p>
    <w:p>
      <w:pPr>
        <w:pStyle w:val="Heading1"/>
        <w:spacing w:after="120" w:before="320"/>
      </w:pPr>
      <w:r>
        <w:rPr>
          <w:rFonts w:ascii="Arial" w:cs="Arial" w:eastAsia="Arial" w:hAnsi="Arial"/>
          <w:b/>
          <w:bCs/>
          <w:color w:val="152168"/>
          <w:sz w:val="28"/>
          <w:szCs w:val="28"/>
        </w:rPr>
        <w:t xml:space="preserve">6.  What We Document</w:t>
      </w:r>
    </w:p>
    <w:p>
      <w:pPr>
        <w:spacing w:after="80" w:before="80"/>
      </w:pPr>
      <w:r>
        <w:rPr>
          <w:rFonts w:ascii="Arial" w:cs="Arial" w:eastAsia="Arial" w:hAnsi="Arial"/>
          <w:color w:val="1A2340"/>
          <w:sz w:val="22"/>
          <w:szCs w:val="22"/>
        </w:rPr>
        <w:t xml:space="preserve">Good documentation protects the organization. Everything that happens during an incident should be recorded.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We Record</w:t>
            </w:r>
          </w:p>
        </w:tc>
        <w:tc>
          <w:tcPr>
            <w:tcW w:type="dxa" w:w="5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What was detected and when</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Establishes the incident timeline and helps determine how long the attacker may have had access</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What systems and data were affected</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Determines notification obligations and scope of recovery</w:t>
            </w:r>
          </w:p>
        </w:tc>
      </w:tr>
      <w:tr>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Every action taken, with timestamps</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Creates an audit trail for your insurer, regulators, and legal team</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Decisions made and who approved them</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Shows your response was reasonable and organized — critical for insurance claims</w:t>
            </w:r>
          </w:p>
        </w:tc>
      </w:tr>
      <w:tr>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Evidence collected and chain of custody</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20"/>
                <w:szCs w:val="20"/>
              </w:rPr>
              <w:t xml:space="preserve">Preserves evidence for forensics, insurance, and legal proceedings</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Communications sent (internal and external)</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20"/>
                <w:szCs w:val="20"/>
              </w:rPr>
              <w:t xml:space="preserve">Shows you notified the right people at the right time</w:t>
            </w:r>
          </w:p>
        </w:tc>
      </w:tr>
    </w:tbl>
    <w:p>
      <w:pPr>
        <w:spacing w:after="80" w:before="160"/>
      </w:pPr>
    </w:p>
    <w:p>
      <w:pPr>
        <w:pStyle w:val="Heading1"/>
        <w:spacing w:after="120" w:before="320"/>
      </w:pPr>
      <w:r>
        <w:rPr>
          <w:rFonts w:ascii="Arial" w:cs="Arial" w:eastAsia="Arial" w:hAnsi="Arial"/>
          <w:b/>
          <w:bCs/>
          <w:color w:val="152168"/>
          <w:sz w:val="28"/>
          <w:szCs w:val="28"/>
        </w:rPr>
        <w:t xml:space="preserve">7.  When We Have to Tell Someone Outside</w:t>
      </w:r>
    </w:p>
    <w:p>
      <w:pPr>
        <w:spacing w:after="80" w:before="80"/>
      </w:pPr>
      <w:r>
        <w:rPr>
          <w:rFonts w:ascii="Arial" w:cs="Arial" w:eastAsia="Arial" w:hAnsi="Arial"/>
          <w:color w:val="1A2340"/>
          <w:sz w:val="22"/>
          <w:szCs w:val="22"/>
        </w:rPr>
        <w:t xml:space="preserve">Some incidents require us to notify people outside the organization. This is a legal requirement — not optional. Your Incident Commander and Legal/Compliance will determine what is required. Here is a plain-language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152168"/>
                <w:sz w:val="20"/>
                <w:szCs w:val="20"/>
              </w:rPr>
              <w:t xml:space="preserve">IF: </w:t>
            </w:r>
            <w:r>
              <w:rPr>
                <w:rFonts w:ascii="Arial" w:cs="Arial" w:eastAsia="Arial" w:hAnsi="Arial"/>
                <w:color w:val="1A2340"/>
                <w:sz w:val="20"/>
                <w:szCs w:val="20"/>
              </w:rPr>
              <w:t xml:space="preserve">Personal information was accessed or stolen (client names, addresses, financial account numbers, health data, etc.)</w:t>
            </w:r>
          </w:p>
          <w:p>
            <w:pPr>
              <w:spacing w:after="40" w:before="40"/>
            </w:pPr>
          </w:p>
          <w:p>
            <w:r>
              <w:rPr>
                <w:rFonts w:ascii="Arial" w:cs="Arial" w:eastAsia="Arial" w:hAnsi="Arial"/>
                <w:b/>
                <w:bCs/>
                <w:color w:val="07B4D9"/>
                <w:sz w:val="20"/>
                <w:szCs w:val="20"/>
              </w:rPr>
              <w:t xml:space="preserve">THEN: </w:t>
            </w:r>
            <w:r>
              <w:rPr>
                <w:rFonts w:ascii="Arial" w:cs="Arial" w:eastAsia="Arial" w:hAnsi="Arial"/>
                <w:color w:val="1A2340"/>
                <w:sz w:val="20"/>
                <w:szCs w:val="20"/>
              </w:rPr>
              <w:t xml:space="preserve">We may need to notify the Office of the Privacy Commissioner of Canada (OPC) and affected individuals under PIPEDA, if there is a real risk of significant harm.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152168"/>
                <w:sz w:val="20"/>
                <w:szCs w:val="20"/>
              </w:rPr>
              <w:t xml:space="preserve">IF: </w:t>
            </w:r>
            <w:r>
              <w:rPr>
                <w:rFonts w:ascii="Arial" w:cs="Arial" w:eastAsia="Arial" w:hAnsi="Arial"/>
                <w:color w:val="1A2340"/>
                <w:sz w:val="20"/>
                <w:szCs w:val="20"/>
              </w:rPr>
              <w:t xml:space="preserve">Payment card data was involved (credit or debit card numbers, CVV, expiry)</w:t>
            </w:r>
          </w:p>
          <w:p>
            <w:pPr>
              <w:spacing w:after="40" w:before="40"/>
            </w:pPr>
          </w:p>
          <w:p>
            <w:r>
              <w:rPr>
                <w:rFonts w:ascii="Arial" w:cs="Arial" w:eastAsia="Arial" w:hAnsi="Arial"/>
                <w:b/>
                <w:bCs/>
                <w:color w:val="07B4D9"/>
                <w:sz w:val="20"/>
                <w:szCs w:val="20"/>
              </w:rPr>
              <w:t xml:space="preserve">THEN: </w:t>
            </w:r>
            <w:r>
              <w:rPr>
                <w:rFonts w:ascii="Arial" w:cs="Arial" w:eastAsia="Arial" w:hAnsi="Arial"/>
                <w:color w:val="1A2340"/>
                <w:sz w:val="20"/>
                <w:szCs w:val="20"/>
              </w:rPr>
              <w:t xml:space="preserve">We must notify our card brands and our acquiring bank immediately under PCI DSS.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152168"/>
                <w:sz w:val="20"/>
                <w:szCs w:val="20"/>
              </w:rPr>
              <w:t xml:space="preserve">IF: </w:t>
            </w:r>
            <w:r>
              <w:rPr>
                <w:rFonts w:ascii="Arial" w:cs="Arial" w:eastAsia="Arial" w:hAnsi="Arial"/>
                <w:color w:val="1A2340"/>
                <w:sz w:val="20"/>
                <w:szCs w:val="20"/>
              </w:rPr>
              <w:t xml:space="preserve">The breach affected residents of the EU or UK</w:t>
            </w:r>
          </w:p>
          <w:p>
            <w:pPr>
              <w:spacing w:after="40" w:before="40"/>
            </w:pPr>
          </w:p>
          <w:p>
            <w:r>
              <w:rPr>
                <w:rFonts w:ascii="Arial" w:cs="Arial" w:eastAsia="Arial" w:hAnsi="Arial"/>
                <w:b/>
                <w:bCs/>
                <w:color w:val="07B4D9"/>
                <w:sz w:val="20"/>
                <w:szCs w:val="20"/>
              </w:rPr>
              <w:t xml:space="preserve">THEN: </w:t>
            </w:r>
            <w:r>
              <w:rPr>
                <w:rFonts w:ascii="Arial" w:cs="Arial" w:eastAsia="Arial" w:hAnsi="Arial"/>
                <w:color w:val="1A2340"/>
                <w:sz w:val="20"/>
                <w:szCs w:val="20"/>
              </w:rPr>
              <w:t xml:space="preserve">We must notify the relevant supervisory authority within 72 hours under GDPR or UK GDPR.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152168"/>
                <w:sz w:val="20"/>
                <w:szCs w:val="20"/>
              </w:rPr>
              <w:t xml:space="preserve">IF: </w:t>
            </w:r>
            <w:r>
              <w:rPr>
                <w:rFonts w:ascii="Arial" w:cs="Arial" w:eastAsia="Arial" w:hAnsi="Arial"/>
                <w:color w:val="1A2340"/>
                <w:sz w:val="20"/>
                <w:szCs w:val="20"/>
              </w:rPr>
              <w:t xml:space="preserve">We have cyber insurance</w:t>
            </w:r>
          </w:p>
          <w:p>
            <w:pPr>
              <w:spacing w:after="40" w:before="40"/>
            </w:pPr>
          </w:p>
          <w:p>
            <w:r>
              <w:rPr>
                <w:rFonts w:ascii="Arial" w:cs="Arial" w:eastAsia="Arial" w:hAnsi="Arial"/>
                <w:b/>
                <w:bCs/>
                <w:color w:val="07B4D9"/>
                <w:sz w:val="20"/>
                <w:szCs w:val="20"/>
              </w:rPr>
              <w:t xml:space="preserve">THEN: </w:t>
            </w:r>
            <w:r>
              <w:rPr>
                <w:rFonts w:ascii="Arial" w:cs="Arial" w:eastAsia="Arial" w:hAnsi="Arial"/>
                <w:color w:val="1A2340"/>
                <w:sz w:val="20"/>
                <w:szCs w:val="20"/>
              </w:rPr>
              <w:t xml:space="preserve">We must notify our insurer — typically within 72 hours of becoming aware of a qualifying incident. Failure to notify on time can void coverage.</w:t>
            </w:r>
          </w:p>
        </w:tc>
      </w:tr>
    </w:tbl>
    <w:p>
      <w:pPr>
        <w:spacing w:after="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40"/>
              <w:left w:type="dxa" w:w="200"/>
              <w:bottom w:type="dxa" w:w="140"/>
              <w:right w:type="dxa" w:w="200"/>
            </w:tcMar>
          </w:tcPr>
          <w:p>
            <w:r>
              <w:rPr>
                <w:rFonts w:ascii="Arial" w:cs="Arial" w:eastAsia="Arial" w:hAnsi="Arial"/>
                <w:b/>
                <w:bCs/>
                <w:color w:val="152168"/>
                <w:sz w:val="22"/>
                <w:szCs w:val="22"/>
              </w:rPr>
              <w:t xml:space="preserve">Important</w:t>
            </w:r>
          </w:p>
          <w:p>
            <w:pPr>
              <w:spacing w:after="40" w:before="40"/>
            </w:pPr>
          </w:p>
          <w:p>
            <w:r>
              <w:rPr>
                <w:rFonts w:ascii="Arial" w:cs="Arial" w:eastAsia="Arial" w:hAnsi="Arial"/>
                <w:color w:val="1A2340"/>
                <w:sz w:val="22"/>
                <w:szCs w:val="22"/>
              </w:rPr>
              <w:t xml:space="preserve">Never notify external parties (regulators, clients, media) on your own. All external communications must go through your Incident Commander and Legal/Compliance.</w:t>
            </w:r>
          </w:p>
        </w:tc>
      </w:tr>
    </w:tbl>
    <w:p>
      <w:pPr>
        <w:spacing w:after="80" w:before="160"/>
      </w:pPr>
    </w:p>
    <w:p>
      <w:pPr>
        <w:pStyle w:val="Heading1"/>
        <w:spacing w:after="120" w:before="320"/>
      </w:pPr>
      <w:r>
        <w:rPr>
          <w:rFonts w:ascii="Arial" w:cs="Arial" w:eastAsia="Arial" w:hAnsi="Arial"/>
          <w:b/>
          <w:bCs/>
          <w:color w:val="152168"/>
          <w:sz w:val="28"/>
          <w:szCs w:val="28"/>
        </w:rPr>
        <w:t xml:space="preserve">8.  What You MUST NOT Do During an Incident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2D20" w:sz="6"/>
              <w:left w:val="single" w:color="D92D20" w:sz="12"/>
              <w:bottom w:val="single" w:color="DDE3EF" w:sz="2"/>
              <w:right w:val="single" w:color="DDE3EF" w:sz="2"/>
            </w:tcBorders>
            <w:shd w:fill="FFF5F5" w:val="clear"/>
            <w:tcMar>
              <w:top w:type="dxa" w:w="140"/>
              <w:left w:type="dxa" w:w="200"/>
              <w:bottom w:type="dxa" w:w="140"/>
              <w:right w:type="dxa" w:w="200"/>
            </w:tcMar>
          </w:tcPr>
          <w:p>
            <w:r>
              <w:rPr>
                <w:rFonts w:ascii="Arial" w:cs="Arial" w:eastAsia="Arial" w:hAnsi="Arial"/>
                <w:b/>
                <w:bCs/>
                <w:color w:val="152168"/>
                <w:sz w:val="22"/>
                <w:szCs w:val="22"/>
              </w:rPr>
              <w:t xml:space="preserve">DO NOT do any of the following — it can make things much worse:</w:t>
            </w:r>
          </w:p>
          <w:p>
            <w:pPr>
              <w:spacing w:after="40" w:before="40"/>
            </w:pPr>
          </w:p>
          <w:p>
            <w:pPr>
              <w:pStyle w:val="ListParagraph"/>
              <w:numPr>
                <w:ilvl w:val="0"/>
                <w:numId w:val="3"/>
              </w:numPr>
              <w:spacing w:after="60" w:before="60"/>
            </w:pPr>
            <w:r>
              <w:rPr>
                <w:rFonts w:ascii="Arial" w:cs="Arial" w:eastAsia="Arial" w:hAnsi="Arial"/>
                <w:b/>
                <w:bCs/>
                <w:color w:val="1A2340"/>
                <w:sz w:val="22"/>
                <w:szCs w:val="22"/>
              </w:rPr>
              <w:t xml:space="preserve">Do NOT turn off, reboot, or factory-reset affected systems without explicit instruction from IT</w:t>
            </w:r>
          </w:p>
          <w:p>
            <w:pPr>
              <w:pStyle w:val="ListParagraph"/>
              <w:numPr>
                <w:ilvl w:val="0"/>
                <w:numId w:val="3"/>
              </w:numPr>
              <w:spacing w:after="60" w:before="60"/>
            </w:pPr>
            <w:r>
              <w:rPr>
                <w:rFonts w:ascii="Arial" w:cs="Arial" w:eastAsia="Arial" w:hAnsi="Arial"/>
                <w:b/>
                <w:bCs/>
                <w:color w:val="1A2340"/>
                <w:sz w:val="22"/>
                <w:szCs w:val="22"/>
              </w:rPr>
              <w:t xml:space="preserve">Do NOT delete files, clear logs, or wipe drives — even if you think it will help</w:t>
            </w:r>
          </w:p>
          <w:p>
            <w:pPr>
              <w:pStyle w:val="ListParagraph"/>
              <w:numPr>
                <w:ilvl w:val="0"/>
                <w:numId w:val="3"/>
              </w:numPr>
              <w:spacing w:after="60" w:before="60"/>
            </w:pPr>
            <w:r>
              <w:rPr>
                <w:rFonts w:ascii="Arial" w:cs="Arial" w:eastAsia="Arial" w:hAnsi="Arial"/>
                <w:b/>
                <w:bCs/>
                <w:color w:val="1A2340"/>
                <w:sz w:val="22"/>
                <w:szCs w:val="22"/>
              </w:rPr>
              <w:t xml:space="preserve">Do NOT speak to the media or post anything about the incident on social media</w:t>
            </w:r>
          </w:p>
          <w:p>
            <w:pPr>
              <w:pStyle w:val="ListParagraph"/>
              <w:numPr>
                <w:ilvl w:val="0"/>
                <w:numId w:val="3"/>
              </w:numPr>
              <w:spacing w:after="60" w:before="60"/>
            </w:pPr>
            <w:r>
              <w:rPr>
                <w:rFonts w:ascii="Arial" w:cs="Arial" w:eastAsia="Arial" w:hAnsi="Arial"/>
                <w:b/>
                <w:bCs/>
                <w:color w:val="1A2340"/>
                <w:sz w:val="22"/>
                <w:szCs w:val="22"/>
              </w:rPr>
              <w:t xml:space="preserve">Do NOT pay a ransom without consulting the Incident Commander, your insurer, and legal counsel first</w:t>
            </w:r>
          </w:p>
          <w:p>
            <w:pPr>
              <w:pStyle w:val="ListParagraph"/>
              <w:numPr>
                <w:ilvl w:val="0"/>
                <w:numId w:val="3"/>
              </w:numPr>
              <w:spacing w:after="60" w:before="60"/>
            </w:pPr>
            <w:r>
              <w:rPr>
                <w:rFonts w:ascii="Arial" w:cs="Arial" w:eastAsia="Arial" w:hAnsi="Arial"/>
                <w:b/>
                <w:bCs/>
                <w:color w:val="1A2340"/>
                <w:sz w:val="22"/>
                <w:szCs w:val="22"/>
              </w:rPr>
              <w:t xml:space="preserve">Do NOT tell the attacker you have detected them — for example, by changing passwords in a way that reveals you are aware of the breach</w:t>
            </w:r>
          </w:p>
          <w:p>
            <w:pPr>
              <w:pStyle w:val="ListParagraph"/>
              <w:numPr>
                <w:ilvl w:val="0"/>
                <w:numId w:val="3"/>
              </w:numPr>
              <w:spacing w:after="60" w:before="60"/>
            </w:pPr>
            <w:r>
              <w:rPr>
                <w:rFonts w:ascii="Arial" w:cs="Arial" w:eastAsia="Arial" w:hAnsi="Arial"/>
                <w:b/>
                <w:bCs/>
                <w:color w:val="1A2340"/>
                <w:sz w:val="22"/>
                <w:szCs w:val="22"/>
              </w:rPr>
              <w:t xml:space="preserve">Do NOT discuss incident details with colleagues who are not part of the response team</w:t>
            </w:r>
          </w:p>
          <w:p>
            <w:pPr>
              <w:pStyle w:val="ListParagraph"/>
              <w:numPr>
                <w:ilvl w:val="0"/>
                <w:numId w:val="3"/>
              </w:numPr>
              <w:spacing w:after="60" w:before="60"/>
            </w:pPr>
            <w:r>
              <w:rPr>
                <w:rFonts w:ascii="Arial" w:cs="Arial" w:eastAsia="Arial" w:hAnsi="Arial"/>
                <w:b/>
                <w:bCs/>
                <w:color w:val="1A2340"/>
                <w:sz w:val="22"/>
                <w:szCs w:val="22"/>
              </w:rPr>
              <w:t xml:space="preserve">Do NOT assume the incident is over just because things seem back to normal — always wait for IT to confirm all-clear</w:t>
            </w:r>
          </w:p>
        </w:tc>
      </w:tr>
    </w:tbl>
    <w:p>
      <w:pPr>
        <w:spacing w:after="80" w:before="160"/>
      </w:pPr>
    </w:p>
    <w:p>
      <w:pPr>
        <w:pStyle w:val="Heading1"/>
        <w:spacing w:after="120" w:before="320"/>
      </w:pPr>
      <w:r>
        <w:rPr>
          <w:rFonts w:ascii="Arial" w:cs="Arial" w:eastAsia="Arial" w:hAnsi="Arial"/>
          <w:b/>
          <w:bCs/>
          <w:color w:val="152168"/>
          <w:sz w:val="28"/>
          <w:szCs w:val="28"/>
        </w:rPr>
        <w:t xml:space="preserve">9.  After It's Over — How We Learn and Improve</w:t>
      </w:r>
    </w:p>
    <w:p>
      <w:pPr>
        <w:spacing w:after="80" w:before="80"/>
      </w:pPr>
      <w:r>
        <w:rPr>
          <w:rFonts w:ascii="Arial" w:cs="Arial" w:eastAsia="Arial" w:hAnsi="Arial"/>
          <w:color w:val="1A2340"/>
          <w:sz w:val="22"/>
          <w:szCs w:val="22"/>
        </w:rPr>
        <w:t xml:space="preserve">Once an incident is resolved, the work is not quite done. Within 5 business days, your Incident Commander will hold a Post-Incident Review (PIR) — a no-blame session to understand what happened and how to prevent it from happening again.</w:t>
      </w:r>
    </w:p>
    <w:p>
      <w:pPr>
        <w:spacing w:after="80" w:before="80"/>
      </w:pPr>
    </w:p>
    <w:p>
      <w:pPr>
        <w:spacing w:after="80" w:before="80"/>
      </w:pPr>
      <w:r>
        <w:rPr>
          <w:rFonts w:ascii="Arial" w:cs="Arial" w:eastAsia="Arial" w:hAnsi="Arial"/>
          <w:b/>
          <w:bCs/>
          <w:color w:val="1A2340"/>
          <w:sz w:val="22"/>
          <w:szCs w:val="22"/>
        </w:rPr>
        <w:t xml:space="preserve">What happens in a PIR:</w:t>
      </w:r>
    </w:p>
    <w:p>
      <w:pPr>
        <w:pStyle w:val="ListParagraph"/>
        <w:numPr>
          <w:ilvl w:val="0"/>
          <w:numId w:val="2"/>
        </w:numPr>
        <w:spacing w:after="40" w:before="40"/>
      </w:pPr>
      <w:r>
        <w:rPr>
          <w:rFonts w:ascii="Arial" w:cs="Arial" w:eastAsia="Arial" w:hAnsi="Arial"/>
          <w:color w:val="1A2340"/>
          <w:sz w:val="22"/>
          <w:szCs w:val="22"/>
        </w:rPr>
        <w:t xml:space="preserve">We build a timeline: when did it start, when did we detect it, and when was it resolved?</w:t>
      </w:r>
    </w:p>
    <w:p>
      <w:pPr>
        <w:pStyle w:val="ListParagraph"/>
        <w:numPr>
          <w:ilvl w:val="0"/>
          <w:numId w:val="2"/>
        </w:numPr>
        <w:spacing w:after="40" w:before="40"/>
      </w:pPr>
      <w:r>
        <w:rPr>
          <w:rFonts w:ascii="Arial" w:cs="Arial" w:eastAsia="Arial" w:hAnsi="Arial"/>
          <w:color w:val="1A2340"/>
          <w:sz w:val="22"/>
          <w:szCs w:val="22"/>
        </w:rPr>
        <w:t xml:space="preserve">We find the root cause: what went wrong that allowed this to happen?</w:t>
      </w:r>
    </w:p>
    <w:p>
      <w:pPr>
        <w:pStyle w:val="ListParagraph"/>
        <w:numPr>
          <w:ilvl w:val="0"/>
          <w:numId w:val="2"/>
        </w:numPr>
        <w:spacing w:after="40" w:before="40"/>
      </w:pPr>
      <w:r>
        <w:rPr>
          <w:rFonts w:ascii="Arial" w:cs="Arial" w:eastAsia="Arial" w:hAnsi="Arial"/>
          <w:color w:val="1A2340"/>
          <w:sz w:val="22"/>
          <w:szCs w:val="22"/>
        </w:rPr>
        <w:t xml:space="preserve">We identify what worked: which controls, tools, or processes helped?</w:t>
      </w:r>
    </w:p>
    <w:p>
      <w:pPr>
        <w:pStyle w:val="ListParagraph"/>
        <w:numPr>
          <w:ilvl w:val="0"/>
          <w:numId w:val="2"/>
        </w:numPr>
        <w:spacing w:after="40" w:before="40"/>
      </w:pPr>
      <w:r>
        <w:rPr>
          <w:rFonts w:ascii="Arial" w:cs="Arial" w:eastAsia="Arial" w:hAnsi="Arial"/>
          <w:color w:val="1A2340"/>
          <w:sz w:val="22"/>
          <w:szCs w:val="22"/>
        </w:rPr>
        <w:t xml:space="preserve">We identify what did not work: where were the gaps?</w:t>
      </w:r>
    </w:p>
    <w:p>
      <w:pPr>
        <w:pStyle w:val="ListParagraph"/>
        <w:numPr>
          <w:ilvl w:val="0"/>
          <w:numId w:val="2"/>
        </w:numPr>
        <w:spacing w:after="40" w:before="40"/>
      </w:pPr>
      <w:r>
        <w:rPr>
          <w:rFonts w:ascii="Arial" w:cs="Arial" w:eastAsia="Arial" w:hAnsi="Arial"/>
          <w:color w:val="1A2340"/>
          <w:sz w:val="22"/>
          <w:szCs w:val="22"/>
        </w:rPr>
        <w:t xml:space="preserve">We create action items: specific things to fix, with a named owner and a due date</w:t>
      </w:r>
    </w:p>
    <w:p>
      <w:pPr>
        <w:spacing w:after="80" w:before="80"/>
      </w:pPr>
    </w:p>
    <w:p>
      <w:pPr>
        <w:spacing w:after="80" w:before="80"/>
      </w:pPr>
      <w:r>
        <w:rPr>
          <w:rFonts w:ascii="Arial" w:cs="Arial" w:eastAsia="Arial" w:hAnsi="Arial"/>
          <w:color w:val="1A2340"/>
          <w:sz w:val="22"/>
          <w:szCs w:val="22"/>
        </w:rPr>
        <w:t xml:space="preserve">Most organizations that experience a serious breach have it happen again within 12 months. The PIR is how we break that cycle. It is not about blame — it is about building a stronger defense.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40"/>
              <w:left w:type="dxa" w:w="200"/>
              <w:bottom w:type="dxa" w:w="140"/>
              <w:right w:type="dxa" w:w="200"/>
            </w:tcMar>
          </w:tcPr>
          <w:p>
            <w:r>
              <w:rPr>
                <w:rFonts w:ascii="Arial" w:cs="Arial" w:eastAsia="Arial" w:hAnsi="Arial"/>
                <w:b/>
                <w:bCs/>
                <w:color w:val="152168"/>
                <w:sz w:val="22"/>
                <w:szCs w:val="22"/>
              </w:rPr>
              <w:t xml:space="preserve">What comes out of the PIR</w:t>
            </w:r>
          </w:p>
          <w:p>
            <w:pPr>
              <w:spacing w:after="40" w:before="40"/>
            </w:pPr>
          </w:p>
          <w:p>
            <w:pPr>
              <w:pStyle w:val="ListParagraph"/>
              <w:numPr>
                <w:ilvl w:val="0"/>
                <w:numId w:val="2"/>
              </w:numPr>
              <w:spacing w:after="40" w:before="40"/>
            </w:pPr>
            <w:r>
              <w:rPr>
                <w:rFonts w:ascii="Arial" w:cs="Arial" w:eastAsia="Arial" w:hAnsi="Arial"/>
                <w:color w:val="1A2340"/>
                <w:sz w:val="22"/>
                <w:szCs w:val="22"/>
              </w:rPr>
              <w:t xml:space="preserve">Updated risk register — documenting the gap that was exploited</w:t>
            </w:r>
          </w:p>
          <w:p>
            <w:pPr>
              <w:pStyle w:val="ListParagraph"/>
              <w:numPr>
                <w:ilvl w:val="0"/>
                <w:numId w:val="2"/>
              </w:numPr>
              <w:spacing w:after="40" w:before="40"/>
            </w:pPr>
            <w:r>
              <w:rPr>
                <w:rFonts w:ascii="Arial" w:cs="Arial" w:eastAsia="Arial" w:hAnsi="Arial"/>
                <w:color w:val="1A2340"/>
                <w:sz w:val="22"/>
                <w:szCs w:val="22"/>
              </w:rPr>
              <w:t xml:space="preserve">Security program improvements — new or strengthened controls</w:t>
            </w:r>
          </w:p>
          <w:p>
            <w:pPr>
              <w:pStyle w:val="ListParagraph"/>
              <w:numPr>
                <w:ilvl w:val="0"/>
                <w:numId w:val="2"/>
              </w:numPr>
              <w:spacing w:after="40" w:before="40"/>
            </w:pPr>
            <w:r>
              <w:rPr>
                <w:rFonts w:ascii="Arial" w:cs="Arial" w:eastAsia="Arial" w:hAnsi="Arial"/>
                <w:color w:val="1A2340"/>
                <w:sz w:val="22"/>
                <w:szCs w:val="22"/>
              </w:rPr>
              <w:t xml:space="preserve">Policy updates — if this policy failed us, we fix it</w:t>
            </w:r>
          </w:p>
          <w:p>
            <w:pPr>
              <w:pStyle w:val="ListParagraph"/>
              <w:numPr>
                <w:ilvl w:val="0"/>
                <w:numId w:val="2"/>
              </w:numPr>
              <w:spacing w:after="40" w:before="40"/>
            </w:pPr>
            <w:r>
              <w:rPr>
                <w:rFonts w:ascii="Arial" w:cs="Arial" w:eastAsia="Arial" w:hAnsi="Arial"/>
                <w:color w:val="1A2340"/>
                <w:sz w:val="22"/>
                <w:szCs w:val="22"/>
              </w:rPr>
              <w:t xml:space="preserve">Training updates — if staff needed to know something they did not, we fix that too</w:t>
            </w:r>
          </w:p>
          <w:p>
            <w:pPr>
              <w:pStyle w:val="ListParagraph"/>
              <w:numPr>
                <w:ilvl w:val="0"/>
                <w:numId w:val="2"/>
              </w:numPr>
              <w:spacing w:after="40" w:before="40"/>
            </w:pPr>
            <w:r>
              <w:rPr>
                <w:rFonts w:ascii="Arial" w:cs="Arial" w:eastAsia="Arial" w:hAnsi="Arial"/>
                <w:color w:val="1A2340"/>
                <w:sz w:val="22"/>
                <w:szCs w:val="22"/>
              </w:rPr>
              <w:t xml:space="preserve">After Action Report for major incidents — shared with the board and insurer as appropriate</w:t>
            </w:r>
          </w:p>
        </w:tc>
      </w:tr>
    </w:tbl>
    <w:p>
      <w:pPr>
        <w:spacing w:after="80" w:before="160"/>
      </w:pPr>
    </w:p>
    <w:p>
      <w:r>
        <w:br w:type="page"/>
      </w:r>
    </w:p>
    <w:p>
      <w:pPr>
        <w:pStyle w:val="Heading1"/>
        <w:spacing w:after="120" w:before="320"/>
      </w:pPr>
      <w:r>
        <w:rPr>
          <w:rFonts w:ascii="Arial" w:cs="Arial" w:eastAsia="Arial" w:hAnsi="Arial"/>
          <w:b/>
          <w:bCs/>
          <w:color w:val="152168"/>
          <w:sz w:val="28"/>
          <w:szCs w:val="28"/>
        </w:rPr>
        <w:t xml:space="preserve">10.  Quick Reference Card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40"/>
              <w:left w:type="dxa" w:w="200"/>
              <w:bottom w:type="dxa" w:w="140"/>
              <w:right w:type="dxa" w:w="200"/>
            </w:tcMar>
          </w:tcPr>
          <w:p>
            <w:r>
              <w:rPr>
                <w:rFonts w:ascii="Arial" w:cs="Arial" w:eastAsia="Arial" w:hAnsi="Arial"/>
                <w:b/>
                <w:bCs/>
                <w:color w:val="152168"/>
                <w:sz w:val="22"/>
                <w:szCs w:val="22"/>
              </w:rPr>
              <w:t xml:space="preserve">WHAT TO DO IF YOU SUSPECT A SECURITY INCIDENT</w:t>
            </w:r>
          </w:p>
          <w:p>
            <w:pPr>
              <w:spacing w:after="40" w:before="40"/>
            </w:pPr>
          </w:p>
          <w:p>
            <w:pPr>
              <w:spacing w:after="40" w:before="60"/>
              <w:jc w:val="center"/>
            </w:pPr>
            <w:r>
              <w:rPr>
                <w:rFonts w:ascii="Arial" w:cs="Arial" w:eastAsia="Arial" w:hAnsi="Arial"/>
                <w:b/>
                <w:bCs/>
                <w:color w:val="152168"/>
                <w:sz w:val="32"/>
                <w:szCs w:val="32"/>
              </w:rPr>
              <w:t xml:space="preserve">STOP</w:t>
            </w:r>
          </w:p>
          <w:p>
            <w:pPr>
              <w:spacing w:after="80" w:before="0"/>
              <w:jc w:val="center"/>
            </w:pPr>
            <w:r>
              <w:rPr>
                <w:rFonts w:ascii="Arial" w:cs="Arial" w:eastAsia="Arial" w:hAnsi="Arial"/>
                <w:color w:val="1A2340"/>
                <w:sz w:val="20"/>
                <w:szCs w:val="20"/>
              </w:rPr>
              <w:t xml:space="preserve">Do not touch the affected system. Do not try to fix it.</w:t>
            </w:r>
          </w:p>
          <w:p>
            <w:pPr>
              <w:spacing w:after="40" w:before="60"/>
              <w:jc w:val="center"/>
            </w:pPr>
            <w:r>
              <w:rPr>
                <w:rFonts w:ascii="Arial" w:cs="Arial" w:eastAsia="Arial" w:hAnsi="Arial"/>
                <w:b/>
                <w:bCs/>
                <w:color w:val="152168"/>
                <w:sz w:val="32"/>
                <w:szCs w:val="32"/>
              </w:rPr>
              <w:t xml:space="preserve">CALL IT/SECURITY</w:t>
            </w:r>
          </w:p>
          <w:p>
            <w:pPr>
              <w:spacing w:after="80" w:before="0"/>
              <w:jc w:val="center"/>
            </w:pPr>
            <w:r>
              <w:rPr>
                <w:rFonts w:ascii="Arial" w:cs="Arial" w:eastAsia="Arial" w:hAnsi="Arial"/>
                <w:b/>
                <w:bCs/>
                <w:color w:val="07B4D9"/>
                <w:sz w:val="24"/>
                <w:szCs w:val="24"/>
              </w:rPr>
              <w:t xml:space="preserve">[HELPDESK PHONE / EMAIL]</w:t>
            </w:r>
          </w:p>
          <w:p>
            <w:pPr>
              <w:spacing w:after="40" w:before="60"/>
              <w:jc w:val="center"/>
            </w:pPr>
            <w:r>
              <w:rPr>
                <w:rFonts w:ascii="Arial" w:cs="Arial" w:eastAsia="Arial" w:hAnsi="Arial"/>
                <w:b/>
                <w:bCs/>
                <w:color w:val="152168"/>
                <w:sz w:val="32"/>
                <w:szCs w:val="32"/>
              </w:rPr>
              <w:t xml:space="preserve">PRESERVE</w:t>
            </w:r>
          </w:p>
          <w:p>
            <w:pPr>
              <w:spacing w:after="60" w:before="0"/>
              <w:jc w:val="center"/>
            </w:pPr>
            <w:r>
              <w:rPr>
                <w:rFonts w:ascii="Arial" w:cs="Arial" w:eastAsia="Arial" w:hAnsi="Arial"/>
                <w:color w:val="1A2340"/>
                <w:sz w:val="20"/>
                <w:szCs w:val="20"/>
              </w:rPr>
              <w:t xml:space="preserve">Leave the screen. Take a photo if you see an error message. Do not delete anything.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Signs</w:t>
            </w:r>
          </w:p>
        </w:tc>
        <w:tc>
          <w:tcPr>
            <w:tcW w:type="dxa" w:w="4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Who to Call</w:t>
            </w:r>
          </w:p>
        </w:tc>
      </w:tr>
      <w:tr>
        <w:tc>
          <w:tcPr>
            <w:tcW w:type="dxa" w:w="18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bCs/>
                <w:color w:val="1A2340"/>
                <w:sz w:val="20"/>
                <w:szCs w:val="20"/>
              </w:rPr>
              <w:t xml:space="preserve">CRITICAL</w:t>
            </w:r>
          </w:p>
        </w:tc>
        <w:tc>
          <w:tcPr>
            <w:tcW w:type="dxa" w:w="30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Files locked, ransom note, confirmed breach, system down</w:t>
            </w:r>
          </w:p>
        </w:tc>
        <w:tc>
          <w:tcPr>
            <w:tcW w:type="dxa" w:w="456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IT/Security immediately — do not wait — then CISO/vCISO</w:t>
            </w:r>
          </w:p>
        </w:tc>
      </w:tr>
      <w:tr>
        <w:tc>
          <w:tcPr>
            <w:tcW w:type="dxa" w:w="180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bCs/>
                <w:color w:val="1A2340"/>
                <w:sz w:val="20"/>
                <w:szCs w:val="20"/>
              </w:rPr>
              <w:t xml:space="preserve">SERIOUS</w:t>
            </w:r>
          </w:p>
        </w:tc>
        <w:tc>
          <w:tcPr>
            <w:tcW w:type="dxa" w:w="300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Account compromised, suspected breach, unauthorized access</w:t>
            </w:r>
          </w:p>
        </w:tc>
        <w:tc>
          <w:tcPr>
            <w:tcW w:type="dxa" w:w="4560"/>
            <w:tcBorders>
              <w:top w:val="single" w:color="DDE3EF" w:sz="4"/>
              <w:left w:val="single" w:color="DDE3EF" w:sz="4"/>
              <w:bottom w:val="single" w:color="DDE3EF" w:sz="4"/>
              <w:right w:val="single" w:color="DDE3EF" w:sz="4"/>
            </w:tcBorders>
            <w:shd w:fill="FFFFF0"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IT/Security helpdesk immediately — will escalate to CISO/vCISO</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MINOR</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Suspicious email, failed login, single infected PC</w:t>
            </w:r>
          </w:p>
        </w:tc>
        <w:tc>
          <w:tcPr>
            <w:tcW w:type="dxa" w:w="4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IT/Security helpdesk — standard ticket</w:t>
            </w:r>
          </w:p>
        </w:tc>
      </w:tr>
    </w:tbl>
    <w:p>
      <w:pPr>
        <w:spacing w:after="80" w:before="80"/>
      </w:pPr>
    </w:p>
    <w:p>
      <w:pPr>
        <w:spacing w:after="80" w:before="80"/>
      </w:pPr>
      <w:r>
        <w:rPr>
          <w:rFonts w:ascii="Arial" w:cs="Arial" w:eastAsia="Arial" w:hAnsi="Arial"/>
          <w:b/>
          <w:bCs/>
          <w:color w:val="D92D20"/>
          <w:sz w:val="22"/>
          <w:szCs w:val="22"/>
        </w:rPr>
        <w:t xml:space="preserve">What NOT to do during any incident:</w:t>
      </w:r>
    </w:p>
    <w:p>
      <w:pPr>
        <w:pStyle w:val="ListParagraph"/>
        <w:numPr>
          <w:ilvl w:val="0"/>
          <w:numId w:val="2"/>
        </w:numPr>
        <w:spacing w:after="40" w:before="40"/>
      </w:pPr>
      <w:r>
        <w:rPr>
          <w:rFonts w:ascii="Arial" w:cs="Arial" w:eastAsia="Arial" w:hAnsi="Arial"/>
          <w:color w:val="1A2340"/>
          <w:sz w:val="22"/>
          <w:szCs w:val="22"/>
        </w:rPr>
        <w:t xml:space="preserve">Turn off systems without IT direction</w:t>
      </w:r>
    </w:p>
    <w:p>
      <w:pPr>
        <w:pStyle w:val="ListParagraph"/>
        <w:numPr>
          <w:ilvl w:val="0"/>
          <w:numId w:val="2"/>
        </w:numPr>
        <w:spacing w:after="40" w:before="40"/>
      </w:pPr>
      <w:r>
        <w:rPr>
          <w:rFonts w:ascii="Arial" w:cs="Arial" w:eastAsia="Arial" w:hAnsi="Arial"/>
          <w:color w:val="1A2340"/>
          <w:sz w:val="22"/>
          <w:szCs w:val="22"/>
        </w:rPr>
        <w:t xml:space="preserve">Delete files or clear logs</w:t>
      </w:r>
    </w:p>
    <w:p>
      <w:pPr>
        <w:pStyle w:val="ListParagraph"/>
        <w:numPr>
          <w:ilvl w:val="0"/>
          <w:numId w:val="2"/>
        </w:numPr>
        <w:spacing w:after="40" w:before="40"/>
      </w:pPr>
      <w:r>
        <w:rPr>
          <w:rFonts w:ascii="Arial" w:cs="Arial" w:eastAsia="Arial" w:hAnsi="Arial"/>
          <w:color w:val="1A2340"/>
          <w:sz w:val="22"/>
          <w:szCs w:val="22"/>
        </w:rPr>
        <w:t xml:space="preserve">Pay a ransom without consulting Incident Commander and insurer</w:t>
      </w:r>
    </w:p>
    <w:p>
      <w:pPr>
        <w:pStyle w:val="ListParagraph"/>
        <w:numPr>
          <w:ilvl w:val="0"/>
          <w:numId w:val="2"/>
        </w:numPr>
        <w:spacing w:after="40" w:before="40"/>
      </w:pPr>
      <w:r>
        <w:rPr>
          <w:rFonts w:ascii="Arial" w:cs="Arial" w:eastAsia="Arial" w:hAnsi="Arial"/>
          <w:color w:val="1A2340"/>
          <w:sz w:val="22"/>
          <w:szCs w:val="22"/>
        </w:rPr>
        <w:t xml:space="preserve">Talk to media or post on social media</w:t>
      </w:r>
    </w:p>
    <w:p>
      <w:pPr>
        <w:pStyle w:val="ListParagraph"/>
        <w:numPr>
          <w:ilvl w:val="0"/>
          <w:numId w:val="2"/>
        </w:numPr>
        <w:spacing w:after="40" w:before="40"/>
      </w:pPr>
      <w:r>
        <w:rPr>
          <w:rFonts w:ascii="Arial" w:cs="Arial" w:eastAsia="Arial" w:hAnsi="Arial"/>
          <w:color w:val="1A2340"/>
          <w:sz w:val="22"/>
          <w:szCs w:val="22"/>
        </w:rPr>
        <w:t xml:space="preserve">Discuss details outside the response team</w:t>
      </w:r>
    </w:p>
    <w:p>
      <w:pPr>
        <w:spacing w:after="80" w:before="160"/>
      </w:pPr>
    </w:p>
    <w:p>
      <w:pPr>
        <w:pStyle w:val="Heading1"/>
        <w:spacing w:after="120" w:before="320"/>
      </w:pPr>
      <w:r>
        <w:rPr>
          <w:rFonts w:ascii="Arial" w:cs="Arial" w:eastAsia="Arial" w:hAnsi="Arial"/>
          <w:b/>
          <w:bCs/>
          <w:color w:val="152168"/>
          <w:sz w:val="28"/>
          <w:szCs w:val="28"/>
        </w:rPr>
        <w:t xml:space="preserve">11.  Document Control and Staff Acknowledgement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1.0</w:t>
            </w:r>
          </w:p>
        </w:tc>
        <w:tc>
          <w:tcPr>
            <w:tcW w:type="dxa" w:w="20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[DATE]</w:t>
            </w:r>
          </w:p>
        </w:tc>
        <w:tc>
          <w:tcPr>
            <w:tcW w:type="dxa" w:w="20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[AUTHOR]</w:t>
            </w:r>
          </w:p>
        </w:tc>
        <w:tc>
          <w:tcPr>
            <w:tcW w:type="dxa" w:w="3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Initial release</w:t>
            </w:r>
          </w:p>
        </w:tc>
      </w:tr>
    </w:tbl>
    <w:p>
      <w:pPr>
        <w:spacing w:after="80" w:before="80"/>
      </w:pPr>
    </w:p>
    <w:p>
      <w:pPr>
        <w:spacing w:after="80" w:before="80"/>
      </w:pPr>
      <w:r>
        <w:rPr>
          <w:rFonts w:ascii="Arial" w:cs="Arial" w:eastAsia="Arial" w:hAnsi="Arial"/>
          <w:color w:val="5A6A8A"/>
          <w:sz w:val="22"/>
          <w:szCs w:val="22"/>
        </w:rPr>
        <w:t xml:space="preserve">Approved by: _______________________________     Title: ___________________     Date: __________</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40"/>
              <w:left w:type="dxa" w:w="200"/>
              <w:bottom w:type="dxa" w:w="140"/>
              <w:right w:type="dxa" w:w="200"/>
            </w:tcMar>
          </w:tcPr>
          <w:p>
            <w:r>
              <w:rPr>
                <w:rFonts w:ascii="Arial" w:cs="Arial" w:eastAsia="Arial" w:hAnsi="Arial"/>
                <w:b/>
                <w:bCs/>
                <w:color w:val="152168"/>
                <w:sz w:val="22"/>
                <w:szCs w:val="22"/>
              </w:rPr>
              <w:t xml:space="preserve">Staff Acknowledgement</w:t>
            </w:r>
          </w:p>
          <w:p>
            <w:pPr>
              <w:spacing w:after="40" w:before="40"/>
            </w:pPr>
          </w:p>
          <w:p>
            <w:pPr>
              <w:spacing w:after="80" w:before="0"/>
            </w:pPr>
            <w:r>
              <w:rPr>
                <w:rFonts w:ascii="Arial" w:cs="Arial" w:eastAsia="Arial" w:hAnsi="Arial"/>
                <w:color w:val="1A2340"/>
                <w:sz w:val="20"/>
                <w:szCs w:val="20"/>
              </w:rPr>
              <w:t xml:space="preserve">I have read and understood the Incident Response Plain English Guide. I understand my responsibilities to report security incidents immediately to IT/Security, to preserve evidence, and to cooperate with the response team.</w:t>
            </w:r>
          </w:p>
          <w:p>
            <w:pPr>
              <w:spacing w:after="80" w:before="80"/>
            </w:pPr>
          </w:p>
          <w:p>
            <w:r>
              <w:rPr>
                <w:rFonts w:ascii="Arial" w:cs="Arial" w:eastAsia="Arial" w:hAnsi="Arial"/>
                <w:color w:val="1A2340"/>
                <w:sz w:val="20"/>
                <w:szCs w:val="20"/>
              </w:rPr>
              <w:t xml:space="preserve">Name: ________________________________________     Date: ___________________</w:t>
            </w:r>
          </w:p>
          <w:p>
            <w:pPr>
              <w:spacing w:after="60" w:before="60"/>
            </w:pPr>
          </w:p>
          <w:p>
            <w:r>
              <w:rPr>
                <w:rFonts w:ascii="Arial" w:cs="Arial" w:eastAsia="Arial" w:hAnsi="Arial"/>
                <w:color w:val="1A2340"/>
                <w:sz w:val="20"/>
                <w:szCs w:val="20"/>
              </w:rPr>
              <w:t xml:space="preserve">Role/Department: _____________________________     Signature: 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spacing w:before="80"/>
      <w:jc w:val="center"/>
    </w:pPr>
    <w:r>
      <w:rPr>
        <w:rFonts w:ascii="Arial" w:cs="Arial" w:eastAsia="Arial" w:hAnsi="Arial"/>
        <w:color w:val="5A6A8A"/>
        <w:sz w:val="18"/>
        <w:szCs w:val="18"/>
      </w:rPr>
      <w:t xml:space="preserve">INTERNAL — CONFIDENTIAL  |  (C)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2168" w:sz="4" w:space="1"/>
      </w:pBdr>
      <w:tabs>
        <w:tab w:val="right" w:pos="9026"/>
      </w:tabs>
      <w:spacing w:after="80"/>
    </w:pPr>
    <w:r>
      <w:rPr>
        <w:rFonts w:ascii="Arial" w:cs="Arial" w:eastAsia="Arial" w:hAnsi="Arial"/>
        <w:color w:val="5A6A8A"/>
        <w:sz w:val="18"/>
        <w:szCs w:val="18"/>
      </w:rPr>
      <w:t xml:space="preserve">ENT-Draft-POL-Incident Response-SMB-6.26  |  Incident Response Plain English Guide</w:t>
    </w:r>
    <w:r>
      <w:rPr>
        <w:rFonts w:ascii="Arial" w:cs="Arial" w:eastAsia="Arial" w:hAnsi="Arial"/>
        <w:sz w:val="18"/>
        <w:szCs w:val="18"/>
      </w:rPr>
      <w:t xml:space="preserve">	</w:t>
    </w:r>
    <w:r>
      <w:rPr>
        <w:rFonts w:ascii="Arial" w:cs="Arial" w:eastAsia="Arial" w:hAnsi="Arial"/>
        <w:color w:val="5A6A8A"/>
        <w:sz w:val="18"/>
        <w:szCs w:val="18"/>
      </w:rPr>
      <w:t xml:space="preserve">Page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X"/>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21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2026-06-19T04:28:26.685Z</dcterms:created>
  <dcterms:modified xsi:type="dcterms:W3CDTF">2026-06-19T04:28:26.685Z</dcterms:modified>
</cp:coreProperties>
</file>

<file path=docProps/custom.xml><?xml version="1.0" encoding="utf-8"?>
<Properties xmlns="http://schemas.openxmlformats.org/officeDocument/2006/custom-properties" xmlns:vt="http://schemas.openxmlformats.org/officeDocument/2006/docPropsVTypes"/>
</file>