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160"/>
        <w:jc w:val="center"/>
      </w:pPr>
      <w:r>
        <w:rPr>
          <w:rFonts w:ascii="Arial" w:cs="Arial" w:eastAsia="Arial" w:hAnsi="Arial"/>
          <w:b/>
          <w:bCs/>
          <w:color w:val="152168"/>
          <w:sz w:val="56"/>
          <w:szCs w:val="56"/>
        </w:rPr>
        <w:t xml:space="preserve">Information Security Policy</w:t>
      </w:r>
    </w:p>
    <w:p>
      <w:pPr>
        <w:spacing w:after="80"/>
        <w:jc w:val="center"/>
      </w:pPr>
      <w:r>
        <w:rPr>
          <w:rFonts w:ascii="Arial" w:cs="Arial" w:eastAsia="Arial" w:hAnsi="Arial"/>
          <w:i/>
          <w:iCs/>
          <w:color w:val="5A6A8A"/>
          <w:sz w:val="28"/>
          <w:szCs w:val="28"/>
        </w:rPr>
        <w:t xml:space="preserve">[ORGANIZATION NAME]</w:t>
      </w:r>
    </w:p>
    <w:p>
      <w:pPr>
        <w:spacing w:after="400"/>
      </w:pPr>
      <w:r>
        <w:t xml:space="preserve"/>
      </w:r>
    </w:p>
    <w:p>
      <w:pPr>
        <w:pBdr>
          <w:top w:val="single" w:color="07B4D9" w:sz="4"/>
        </w:pBdr>
        <w:spacing w:after="200" w:before="200"/>
        <w:jc w:val="center"/>
      </w:pPr>
    </w:p>
    <w:p>
      <w:pPr>
        <w:spacing w:after="200"/>
      </w:pPr>
      <w:r>
        <w:t xml:space="preserve"/>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40"/>
      </w:tblGrid>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Document ID</w:t>
            </w:r>
          </w:p>
        </w:tc>
        <w:tc>
          <w:tcPr>
            <w:tcW w:type="dxa" w:w="3040"/>
            <w:tcBorders>
              <w:top w:val="single" w:color="DDE3EF" w:sz="1"/>
              <w:left w:val="single" w:color="DDE3EF" w:sz="1"/>
              <w:bottom w:val="single" w:color="DDE3EF" w:sz="1"/>
              <w:right w:val="single" w:color="DDE3EF" w:sz="1"/>
            </w:tcBorders>
            <w:tcMar>
              <w:top w:type="dxa" w:w="80"/>
              <w:left w:type="dxa" w:w="120"/>
              <w:bottom w:type="dxa" w:w="80"/>
              <w:right w:type="dxa" w:w="120"/>
            </w:tcMar>
          </w:tcPr>
          <w:p>
            <w:r>
              <w:rPr>
                <w:rFonts w:ascii="Arial" w:cs="Arial" w:eastAsia="Arial" w:hAnsi="Arial"/>
                <w:color w:val="1A2340"/>
                <w:sz w:val="18"/>
                <w:szCs w:val="18"/>
              </w:rPr>
              <w:t xml:space="preserve">ENT-Draft-POL-Information Security-Comprehensive-6.26</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Version</w:t>
            </w:r>
          </w:p>
        </w:tc>
        <w:tc>
          <w:tcPr>
            <w:tcW w:type="dxa" w:w="3040"/>
            <w:tcBorders>
              <w:top w:val="single" w:color="DDE3EF" w:sz="1"/>
              <w:left w:val="single" w:color="DDE3EF" w:sz="1"/>
              <w:bottom w:val="single" w:color="DDE3EF" w:sz="1"/>
              <w:right w:val="single" w:color="DDE3EF" w:sz="1"/>
            </w:tcBorders>
            <w:tcMar>
              <w:top w:type="dxa" w:w="80"/>
              <w:left w:type="dxa" w:w="120"/>
              <w:bottom w:type="dxa" w:w="80"/>
              <w:right w:type="dxa" w:w="120"/>
            </w:tcMar>
          </w:tcPr>
          <w:p>
            <w:r>
              <w:rPr>
                <w:rFonts w:ascii="Arial" w:cs="Arial" w:eastAsia="Arial" w:hAnsi="Arial"/>
                <w:color w:val="1A2340"/>
                <w:sz w:val="18"/>
                <w:szCs w:val="18"/>
              </w:rPr>
              <w:t xml:space="preserve">1.0</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Status</w:t>
            </w:r>
          </w:p>
        </w:tc>
        <w:tc>
          <w:tcPr>
            <w:tcW w:type="dxa" w:w="3040"/>
            <w:tcBorders>
              <w:top w:val="single" w:color="DDE3EF" w:sz="1"/>
              <w:left w:val="single" w:color="DDE3EF" w:sz="1"/>
              <w:bottom w:val="single" w:color="DDE3EF" w:sz="1"/>
              <w:right w:val="single" w:color="DDE3EF" w:sz="1"/>
            </w:tcBorders>
            <w:tcMar>
              <w:top w:type="dxa" w:w="80"/>
              <w:left w:type="dxa" w:w="120"/>
              <w:bottom w:type="dxa" w:w="80"/>
              <w:right w:type="dxa" w:w="120"/>
            </w:tcMar>
          </w:tcPr>
          <w:p>
            <w:r>
              <w:rPr>
                <w:rFonts w:ascii="Arial" w:cs="Arial" w:eastAsia="Arial" w:hAnsi="Arial"/>
                <w:b/>
                <w:bCs/>
                <w:color w:val="1A2340"/>
                <w:sz w:val="18"/>
                <w:szCs w:val="18"/>
              </w:rPr>
              <w:t xml:space="preserve">DRAFT</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Effective Date</w:t>
            </w:r>
          </w:p>
        </w:tc>
        <w:tc>
          <w:tcPr>
            <w:tcW w:type="dxa" w:w="3040"/>
            <w:tcBorders>
              <w:top w:val="single" w:color="DDE3EF" w:sz="1"/>
              <w:left w:val="single" w:color="DDE3EF" w:sz="1"/>
              <w:bottom w:val="single" w:color="DDE3EF" w:sz="1"/>
              <w:right w:val="single" w:color="DDE3EF" w:sz="1"/>
            </w:tcBorders>
            <w:tcMar>
              <w:top w:type="dxa" w:w="80"/>
              <w:left w:type="dxa" w:w="120"/>
              <w:bottom w:type="dxa" w:w="80"/>
              <w:right w:type="dxa" w:w="120"/>
            </w:tcMar>
          </w:tcPr>
          <w:p>
            <w:r>
              <w:rPr>
                <w:rFonts w:ascii="Arial" w:cs="Arial" w:eastAsia="Arial" w:hAnsi="Arial"/>
                <w:color w:val="1A2340"/>
                <w:sz w:val="18"/>
                <w:szCs w:val="18"/>
              </w:rPr>
              <w:t xml:space="preserve">[DATE]</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Owner</w:t>
            </w:r>
          </w:p>
        </w:tc>
        <w:tc>
          <w:tcPr>
            <w:tcW w:type="dxa" w:w="3040"/>
            <w:tcBorders>
              <w:top w:val="single" w:color="DDE3EF" w:sz="1"/>
              <w:left w:val="single" w:color="DDE3EF" w:sz="1"/>
              <w:bottom w:val="single" w:color="DDE3EF" w:sz="1"/>
              <w:right w:val="single" w:color="DDE3EF" w:sz="1"/>
            </w:tcBorders>
            <w:tcMar>
              <w:top w:type="dxa" w:w="80"/>
              <w:left w:type="dxa" w:w="120"/>
              <w:bottom w:type="dxa" w:w="80"/>
              <w:right w:type="dxa" w:w="120"/>
            </w:tcMar>
          </w:tcPr>
          <w:p>
            <w:r>
              <w:rPr>
                <w:rFonts w:ascii="Arial" w:cs="Arial" w:eastAsia="Arial" w:hAnsi="Arial"/>
                <w:color w:val="1A2340"/>
                <w:sz w:val="18"/>
                <w:szCs w:val="18"/>
              </w:rPr>
              <w:t xml:space="preserve">CISO / vCISO</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Classification</w:t>
            </w:r>
          </w:p>
        </w:tc>
        <w:tc>
          <w:tcPr>
            <w:tcW w:type="dxa" w:w="3040"/>
            <w:tcBorders>
              <w:top w:val="single" w:color="DDE3EF" w:sz="1"/>
              <w:left w:val="single" w:color="DDE3EF" w:sz="1"/>
              <w:bottom w:val="single" w:color="DDE3EF" w:sz="1"/>
              <w:right w:val="single" w:color="DDE3EF" w:sz="1"/>
            </w:tcBorders>
            <w:tcMar>
              <w:top w:type="dxa" w:w="80"/>
              <w:left w:type="dxa" w:w="120"/>
              <w:bottom w:type="dxa" w:w="80"/>
              <w:right w:type="dxa" w:w="120"/>
            </w:tcMar>
          </w:tcPr>
          <w:p>
            <w:r>
              <w:rPr>
                <w:rFonts w:ascii="Arial" w:cs="Arial" w:eastAsia="Arial" w:hAnsi="Arial"/>
                <w:color w:val="1A2340"/>
                <w:sz w:val="18"/>
                <w:szCs w:val="18"/>
              </w:rPr>
              <w:t xml:space="preserve">INTERNAL — CONFIDENTIAL</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Framework Refs</w:t>
            </w:r>
          </w:p>
        </w:tc>
        <w:tc>
          <w:tcPr>
            <w:tcW w:type="dxa" w:w="3040"/>
            <w:tcBorders>
              <w:top w:val="single" w:color="DDE3EF" w:sz="1"/>
              <w:left w:val="single" w:color="DDE3EF" w:sz="1"/>
              <w:bottom w:val="single" w:color="DDE3EF" w:sz="1"/>
              <w:right w:val="single" w:color="DDE3EF" w:sz="1"/>
            </w:tcBorders>
            <w:tcMar>
              <w:top w:type="dxa" w:w="80"/>
              <w:left w:type="dxa" w:w="120"/>
              <w:bottom w:type="dxa" w:w="80"/>
              <w:right w:type="dxa" w:w="120"/>
            </w:tcMar>
          </w:tcPr>
          <w:p>
            <w:r>
              <w:rPr>
                <w:rFonts w:ascii="Arial" w:cs="Arial" w:eastAsia="Arial" w:hAnsi="Arial"/>
                <w:color w:val="1A2340"/>
                <w:sz w:val="18"/>
                <w:szCs w:val="18"/>
              </w:rPr>
              <w:t xml:space="preserve">NIST CSF 2.0 (GV.OC, GV.PO) | ISO/IEC 27001:2022 Cl. 5.1, 5.2, 6.1, A.5.1</w:t>
            </w:r>
          </w:p>
        </w:tc>
      </w:tr>
    </w:tbl>
    <w:p>
      <w:r>
        <w:br w:type="page"/>
      </w:r>
    </w:p>
    <w:p>
      <w:pPr>
        <w:pStyle w:val="Heading1"/>
      </w:pPr>
      <w:r>
        <w:rPr>
          <w:rFonts w:ascii="Arial" w:cs="Arial" w:eastAsia="Arial" w:hAnsi="Arial"/>
          <w:b/>
          <w:bCs/>
          <w:color w:val="152168"/>
          <w:sz w:val="28"/>
          <w:szCs w:val="28"/>
        </w:rPr>
        <w:t xml:space="preserve">1. Purpose</w:t>
      </w:r>
    </w:p>
    <w:p>
      <w:pPr>
        <w:spacing w:after="120"/>
      </w:pPr>
      <w:r>
        <w:rPr>
          <w:rFonts w:ascii="Arial" w:cs="Arial" w:eastAsia="Arial" w:hAnsi="Arial"/>
          <w:color w:val="1A2340"/>
          <w:sz w:val="20"/>
          <w:szCs w:val="20"/>
        </w:rPr>
        <w:t xml:space="preserve">This Information Security Policy establishes [ORGANIZATION NAME]'s commitment to protecting information assets and defines the scope, roles, and responsibilities required to achieve that commitment. It serves as the parent policy under which all domain-specific security policies operate.</w:t>
      </w:r>
    </w:p>
    <w:p>
      <w:pPr>
        <w:spacing w:after="80"/>
      </w:pPr>
      <w:r>
        <w:t xml:space="preserve"/>
      </w:r>
    </w:p>
    <w:p>
      <w:pPr>
        <w:spacing w:after="120"/>
      </w:pPr>
      <w:r>
        <w:rPr>
          <w:rFonts w:ascii="Arial" w:cs="Arial" w:eastAsia="Arial" w:hAnsi="Arial"/>
          <w:color w:val="1A2340"/>
          <w:sz w:val="20"/>
          <w:szCs w:val="20"/>
        </w:rPr>
        <w:t xml:space="preserve">Specifically, this policy:</w:t>
      </w:r>
    </w:p>
    <w:p>
      <w:pPr>
        <w:pStyle w:val="ListParagraph"/>
        <w:numPr>
          <w:ilvl w:val="0"/>
          <w:numId w:val="2"/>
        </w:numPr>
        <w:spacing w:after="80"/>
      </w:pPr>
      <w:r>
        <w:rPr>
          <w:rFonts w:ascii="Arial" w:cs="Arial" w:eastAsia="Arial" w:hAnsi="Arial"/>
          <w:color w:val="1A2340"/>
          <w:sz w:val="20"/>
          <w:szCs w:val="20"/>
        </w:rPr>
        <w:t xml:space="preserve">Establishes the organization's overarching commitment to protecting the confidentiality, integrity, and availability of all information assets.</w:t>
      </w:r>
    </w:p>
    <w:p>
      <w:pPr>
        <w:pStyle w:val="ListParagraph"/>
        <w:numPr>
          <w:ilvl w:val="0"/>
          <w:numId w:val="2"/>
        </w:numPr>
        <w:spacing w:after="80"/>
      </w:pPr>
      <w:r>
        <w:rPr>
          <w:rFonts w:ascii="Arial" w:cs="Arial" w:eastAsia="Arial" w:hAnsi="Arial"/>
          <w:color w:val="1A2340"/>
          <w:sz w:val="20"/>
          <w:szCs w:val="20"/>
        </w:rPr>
        <w:t xml:space="preserve">Defines the scope of the information security program, including the assets, personnel, and systems it covers.</w:t>
      </w:r>
    </w:p>
    <w:p>
      <w:pPr>
        <w:pStyle w:val="ListParagraph"/>
        <w:numPr>
          <w:ilvl w:val="0"/>
          <w:numId w:val="2"/>
        </w:numPr>
        <w:spacing w:after="80"/>
      </w:pPr>
      <w:r>
        <w:rPr>
          <w:rFonts w:ascii="Arial" w:cs="Arial" w:eastAsia="Arial" w:hAnsi="Arial"/>
          <w:color w:val="1A2340"/>
          <w:sz w:val="20"/>
          <w:szCs w:val="20"/>
        </w:rPr>
        <w:t xml:space="preserve">Assigns roles and responsibilities for information security governance and operations.</w:t>
      </w:r>
    </w:p>
    <w:p>
      <w:pPr>
        <w:pStyle w:val="ListParagraph"/>
        <w:numPr>
          <w:ilvl w:val="0"/>
          <w:numId w:val="2"/>
        </w:numPr>
        <w:spacing w:after="80"/>
      </w:pPr>
      <w:r>
        <w:rPr>
          <w:rFonts w:ascii="Arial" w:cs="Arial" w:eastAsia="Arial" w:hAnsi="Arial"/>
          <w:color w:val="1A2340"/>
          <w:sz w:val="20"/>
          <w:szCs w:val="20"/>
        </w:rPr>
        <w:t xml:space="preserve">Serves as the apex document in the organization's policy hierarchy; all domain-specific security policies are subordinate to and must be consistent with this policy.</w:t>
      </w:r>
    </w:p>
    <w:p>
      <w:pPr>
        <w:pStyle w:val="ListParagraph"/>
        <w:numPr>
          <w:ilvl w:val="0"/>
          <w:numId w:val="2"/>
        </w:numPr>
        <w:spacing w:after="80"/>
      </w:pPr>
      <w:r>
        <w:rPr>
          <w:rFonts w:ascii="Arial" w:cs="Arial" w:eastAsia="Arial" w:hAnsi="Arial"/>
          <w:color w:val="1A2340"/>
          <w:sz w:val="20"/>
          <w:szCs w:val="20"/>
        </w:rPr>
        <w:t xml:space="preserve">Provides the basis for the organization's Information Security Management System (ISMS) in alignment with ISO/IEC 27001:2022 and NIST Cybersecurity Framework (CSF) 2.0.</w:t>
      </w:r>
    </w:p>
    <w:p>
      <w:pPr>
        <w:spacing w:after="120"/>
      </w:pPr>
      <w:r>
        <w:t xml:space="preserve"/>
      </w:r>
    </w:p>
    <w:p>
      <w:pPr>
        <w:pStyle w:val="Heading1"/>
      </w:pPr>
      <w:r>
        <w:rPr>
          <w:rFonts w:ascii="Arial" w:cs="Arial" w:eastAsia="Arial" w:hAnsi="Arial"/>
          <w:b/>
          <w:bCs/>
          <w:color w:val="152168"/>
          <w:sz w:val="28"/>
          <w:szCs w:val="28"/>
        </w:rPr>
        <w:t xml:space="preserve">2. Scope</w:t>
      </w:r>
    </w:p>
    <w:p>
      <w:pPr>
        <w:spacing w:after="120"/>
      </w:pPr>
      <w:r>
        <w:rPr>
          <w:rFonts w:ascii="Arial" w:cs="Arial" w:eastAsia="Arial" w:hAnsi="Arial"/>
          <w:color w:val="1A2340"/>
          <w:sz w:val="20"/>
          <w:szCs w:val="20"/>
        </w:rPr>
        <w:t xml:space="preserve">This policy applies to:</w:t>
      </w:r>
    </w:p>
    <w:p>
      <w:pPr>
        <w:spacing w:after="60"/>
      </w:pPr>
      <w:r>
        <w:t xml:space="preserve"/>
      </w:r>
    </w:p>
    <w:p>
      <w:pPr>
        <w:pStyle w:val="Heading3"/>
      </w:pPr>
      <w:r>
        <w:rPr>
          <w:rFonts w:ascii="Arial" w:cs="Arial" w:eastAsia="Arial" w:hAnsi="Arial"/>
          <w:b/>
          <w:bCs/>
          <w:color w:val="4F46E5"/>
          <w:sz w:val="22"/>
          <w:szCs w:val="22"/>
        </w:rPr>
        <w:t xml:space="preserve">2.1 Information Assets</w:t>
      </w:r>
    </w:p>
    <w:p>
      <w:pPr>
        <w:pStyle w:val="ListParagraph"/>
        <w:numPr>
          <w:ilvl w:val="0"/>
          <w:numId w:val="2"/>
        </w:numPr>
        <w:spacing w:after="80"/>
      </w:pPr>
      <w:r>
        <w:rPr>
          <w:rFonts w:ascii="Arial" w:cs="Arial" w:eastAsia="Arial" w:hAnsi="Arial"/>
          <w:color w:val="1A2340"/>
          <w:sz w:val="20"/>
          <w:szCs w:val="20"/>
        </w:rPr>
        <w:t xml:space="preserve">All information assets owned, leased, or managed by [ORGANIZATION NAME], regardless of format (digital or physical).</w:t>
      </w:r>
    </w:p>
    <w:p>
      <w:pPr>
        <w:pStyle w:val="ListParagraph"/>
        <w:numPr>
          <w:ilvl w:val="0"/>
          <w:numId w:val="2"/>
        </w:numPr>
        <w:spacing w:after="80"/>
      </w:pPr>
      <w:r>
        <w:rPr>
          <w:rFonts w:ascii="Arial" w:cs="Arial" w:eastAsia="Arial" w:hAnsi="Arial"/>
          <w:color w:val="1A2340"/>
          <w:sz w:val="20"/>
          <w:szCs w:val="20"/>
        </w:rPr>
        <w:t xml:space="preserve">Information stored on premises, in cloud environments, or with third-party service providers.</w:t>
      </w:r>
    </w:p>
    <w:p>
      <w:pPr>
        <w:pStyle w:val="ListParagraph"/>
        <w:numPr>
          <w:ilvl w:val="0"/>
          <w:numId w:val="2"/>
        </w:numPr>
        <w:spacing w:after="80"/>
      </w:pPr>
      <w:r>
        <w:rPr>
          <w:rFonts w:ascii="Arial" w:cs="Arial" w:eastAsia="Arial" w:hAnsi="Arial"/>
          <w:color w:val="1A2340"/>
          <w:sz w:val="20"/>
          <w:szCs w:val="20"/>
        </w:rPr>
        <w:t xml:space="preserve">Information in all states: at rest, in transit, and in use.</w:t>
      </w:r>
    </w:p>
    <w:p>
      <w:pPr>
        <w:spacing w:after="80"/>
      </w:pPr>
      <w:r>
        <w:t xml:space="preserve"/>
      </w:r>
    </w:p>
    <w:p>
      <w:pPr>
        <w:pStyle w:val="Heading3"/>
      </w:pPr>
      <w:r>
        <w:rPr>
          <w:rFonts w:ascii="Arial" w:cs="Arial" w:eastAsia="Arial" w:hAnsi="Arial"/>
          <w:b/>
          <w:bCs/>
          <w:color w:val="4F46E5"/>
          <w:sz w:val="22"/>
          <w:szCs w:val="22"/>
        </w:rPr>
        <w:t xml:space="preserve">2.2 Personnel</w:t>
      </w:r>
    </w:p>
    <w:p>
      <w:pPr>
        <w:pStyle w:val="ListParagraph"/>
        <w:numPr>
          <w:ilvl w:val="0"/>
          <w:numId w:val="2"/>
        </w:numPr>
        <w:spacing w:after="80"/>
      </w:pPr>
      <w:r>
        <w:rPr>
          <w:rFonts w:ascii="Arial" w:cs="Arial" w:eastAsia="Arial" w:hAnsi="Arial"/>
          <w:color w:val="1A2340"/>
          <w:sz w:val="20"/>
          <w:szCs w:val="20"/>
        </w:rPr>
        <w:t xml:space="preserve">All employees (full-time and part-time).</w:t>
      </w:r>
    </w:p>
    <w:p>
      <w:pPr>
        <w:pStyle w:val="ListParagraph"/>
        <w:numPr>
          <w:ilvl w:val="0"/>
          <w:numId w:val="2"/>
        </w:numPr>
        <w:spacing w:after="80"/>
      </w:pPr>
      <w:r>
        <w:rPr>
          <w:rFonts w:ascii="Arial" w:cs="Arial" w:eastAsia="Arial" w:hAnsi="Arial"/>
          <w:color w:val="1A2340"/>
          <w:sz w:val="20"/>
          <w:szCs w:val="20"/>
        </w:rPr>
        <w:t xml:space="preserve">Contractors, consultants, and temporary workers.</w:t>
      </w:r>
    </w:p>
    <w:p>
      <w:pPr>
        <w:pStyle w:val="ListParagraph"/>
        <w:numPr>
          <w:ilvl w:val="0"/>
          <w:numId w:val="2"/>
        </w:numPr>
        <w:spacing w:after="80"/>
      </w:pPr>
      <w:r>
        <w:rPr>
          <w:rFonts w:ascii="Arial" w:cs="Arial" w:eastAsia="Arial" w:hAnsi="Arial"/>
          <w:color w:val="1A2340"/>
          <w:sz w:val="20"/>
          <w:szCs w:val="20"/>
        </w:rPr>
        <w:t xml:space="preserve">Third-party vendors and partners who access, process, or store organizational information.</w:t>
      </w:r>
    </w:p>
    <w:p>
      <w:pPr>
        <w:spacing w:after="80"/>
      </w:pPr>
      <w:r>
        <w:t xml:space="preserve"/>
      </w:r>
    </w:p>
    <w:p>
      <w:pPr>
        <w:pStyle w:val="Heading3"/>
      </w:pPr>
      <w:r>
        <w:rPr>
          <w:rFonts w:ascii="Arial" w:cs="Arial" w:eastAsia="Arial" w:hAnsi="Arial"/>
          <w:b/>
          <w:bCs/>
          <w:color w:val="4F46E5"/>
          <w:sz w:val="22"/>
          <w:szCs w:val="22"/>
        </w:rPr>
        <w:t xml:space="preserve">2.3 Systems and Infrastructure</w:t>
      </w:r>
    </w:p>
    <w:p>
      <w:pPr>
        <w:pStyle w:val="ListParagraph"/>
        <w:numPr>
          <w:ilvl w:val="0"/>
          <w:numId w:val="2"/>
        </w:numPr>
        <w:spacing w:after="80"/>
      </w:pPr>
      <w:r>
        <w:rPr>
          <w:rFonts w:ascii="Arial" w:cs="Arial" w:eastAsia="Arial" w:hAnsi="Arial"/>
          <w:color w:val="1A2340"/>
          <w:sz w:val="20"/>
          <w:szCs w:val="20"/>
        </w:rPr>
        <w:t xml:space="preserve">All IT systems, networks, servers, workstations, and mobile devices.</w:t>
      </w:r>
    </w:p>
    <w:p>
      <w:pPr>
        <w:pStyle w:val="ListParagraph"/>
        <w:numPr>
          <w:ilvl w:val="0"/>
          <w:numId w:val="2"/>
        </w:numPr>
        <w:spacing w:after="80"/>
      </w:pPr>
      <w:r>
        <w:rPr>
          <w:rFonts w:ascii="Arial" w:cs="Arial" w:eastAsia="Arial" w:hAnsi="Arial"/>
          <w:color w:val="1A2340"/>
          <w:sz w:val="20"/>
          <w:szCs w:val="20"/>
        </w:rPr>
        <w:t xml:space="preserve">Cloud services and Software-as-a-Service (SaaS) applications.</w:t>
      </w:r>
    </w:p>
    <w:p>
      <w:pPr>
        <w:pStyle w:val="ListParagraph"/>
        <w:numPr>
          <w:ilvl w:val="0"/>
          <w:numId w:val="2"/>
        </w:numPr>
        <w:spacing w:after="80"/>
      </w:pPr>
      <w:r>
        <w:rPr>
          <w:rFonts w:ascii="Arial" w:cs="Arial" w:eastAsia="Arial" w:hAnsi="Arial"/>
          <w:color w:val="1A2340"/>
          <w:sz w:val="20"/>
          <w:szCs w:val="20"/>
        </w:rPr>
        <w:t xml:space="preserve">Physical locations and facilities where information is stored or processed.</w:t>
      </w:r>
    </w:p>
    <w:p>
      <w:pPr>
        <w:spacing w:after="80"/>
      </w:pPr>
      <w:r>
        <w:t xml:space="preserve"/>
      </w:r>
    </w:p>
    <w:p>
      <w:pPr>
        <w:pStyle w:val="Heading3"/>
      </w:pPr>
      <w:r>
        <w:rPr>
          <w:rFonts w:ascii="Arial" w:cs="Arial" w:eastAsia="Arial" w:hAnsi="Arial"/>
          <w:b/>
          <w:bCs/>
          <w:color w:val="4F46E5"/>
          <w:sz w:val="22"/>
          <w:szCs w:val="22"/>
        </w:rPr>
        <w:t xml:space="preserve">2.4 Exclusions</w:t>
      </w:r>
    </w:p>
    <w:p>
      <w:pPr>
        <w:spacing w:after="120"/>
      </w:pPr>
      <w:r>
        <w:rPr>
          <w:rFonts w:ascii="Arial" w:cs="Arial" w:eastAsia="Arial" w:hAnsi="Arial"/>
          <w:color w:val="1A2340"/>
          <w:sz w:val="20"/>
          <w:szCs w:val="20"/>
        </w:rPr>
        <w:t xml:space="preserve">Publicly available information that does not contain organizational or personal data is excluded from the scope of this policy. Any exclusion must be documented and approved by the CISO/vCISO.</w:t>
      </w:r>
    </w:p>
    <w:p>
      <w:pPr>
        <w:spacing w:after="120"/>
      </w:pPr>
      <w:r>
        <w:t xml:space="preserve"/>
      </w:r>
    </w:p>
    <w:p>
      <w:pPr>
        <w:pStyle w:val="Heading1"/>
      </w:pPr>
      <w:r>
        <w:rPr>
          <w:rFonts w:ascii="Arial" w:cs="Arial" w:eastAsia="Arial" w:hAnsi="Arial"/>
          <w:b/>
          <w:bCs/>
          <w:color w:val="152168"/>
          <w:sz w:val="28"/>
          <w:szCs w:val="28"/>
        </w:rPr>
        <w:t xml:space="preserve">3. Policy Statement</w:t>
      </w:r>
    </w:p>
    <w:p>
      <w:pPr>
        <w:spacing w:after="120"/>
      </w:pPr>
      <w:r>
        <w:rPr>
          <w:rFonts w:ascii="Arial" w:cs="Arial" w:eastAsia="Arial" w:hAnsi="Arial"/>
          <w:color w:val="1A2340"/>
          <w:sz w:val="20"/>
          <w:szCs w:val="20"/>
        </w:rPr>
        <w:t xml:space="preserve">[ORGANIZATION NAME] is committed to protecting the confidentiality, integrity, and availability of information in its custody. The organization will implement and maintain an information security program based on the following core principles: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rPr>
          <w:tblHeader/>
        </w:trPr>
        <w:tc>
          <w:tcPr>
            <w:tcW w:type="dxa" w:w="2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Principle</w:t>
            </w:r>
          </w:p>
        </w:tc>
        <w:tc>
          <w:tcPr>
            <w:tcW w:type="dxa" w:w="39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3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ISO 27001:2022 Reference</w:t>
            </w:r>
          </w:p>
        </w:tc>
      </w:tr>
      <w:tr>
        <w:tc>
          <w:tcPr>
            <w:tcW w:type="dxa" w:w="2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Confidentiality</w:t>
            </w:r>
          </w:p>
        </w:tc>
        <w:tc>
          <w:tcPr>
            <w:tcW w:type="dxa" w:w="39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Information is disclosed only to individuals authorized to access it. Access is granted on a need-to-know basis.</w:t>
            </w:r>
          </w:p>
        </w:tc>
        <w:tc>
          <w:tcPr>
            <w:tcW w:type="dxa" w:w="3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Clause 5.1, A.5.10, A.5.15</w:t>
            </w:r>
          </w:p>
        </w:tc>
      </w:tr>
      <w:tr>
        <w:tc>
          <w:tcPr>
            <w:tcW w:type="dxa" w:w="2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Integrity</w:t>
            </w:r>
          </w:p>
        </w:tc>
        <w:tc>
          <w:tcPr>
            <w:tcW w:type="dxa" w:w="39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Information is protected from unauthorized modification, deletion, or corruption. Changes are traceable and authorized.</w:t>
            </w:r>
          </w:p>
        </w:tc>
        <w:tc>
          <w:tcPr>
            <w:tcW w:type="dxa" w:w="3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Clause A.8.1, A.8.6</w:t>
            </w:r>
          </w:p>
        </w:tc>
      </w:tr>
      <w:tr>
        <w:tc>
          <w:tcPr>
            <w:tcW w:type="dxa" w:w="2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Availability</w:t>
            </w:r>
          </w:p>
        </w:tc>
        <w:tc>
          <w:tcPr>
            <w:tcW w:type="dxa" w:w="39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Information and systems are accessible to authorized users when required to support business operations.</w:t>
            </w:r>
          </w:p>
        </w:tc>
        <w:tc>
          <w:tcPr>
            <w:tcW w:type="dxa" w:w="3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Clause A.8.14, A.8.20</w:t>
            </w:r>
          </w:p>
        </w:tc>
      </w:tr>
      <w:tr>
        <w:tc>
          <w:tcPr>
            <w:tcW w:type="dxa" w:w="2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Risk-Based Approach</w:t>
            </w:r>
          </w:p>
        </w:tc>
        <w:tc>
          <w:tcPr>
            <w:tcW w:type="dxa" w:w="39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Security controls are selected and applied commensurate with the risk they address. Resources are directed toward the highest risks.</w:t>
            </w:r>
          </w:p>
        </w:tc>
        <w:tc>
          <w:tcPr>
            <w:tcW w:type="dxa" w:w="3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Clause 6.1</w:t>
            </w:r>
          </w:p>
        </w:tc>
      </w:tr>
      <w:tr>
        <w:tc>
          <w:tcPr>
            <w:tcW w:type="dxa" w:w="2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Legal &amp; Regulatory Compliance</w:t>
            </w:r>
          </w:p>
        </w:tc>
        <w:tc>
          <w:tcPr>
            <w:tcW w:type="dxa" w:w="39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The organization adheres to all applicable laws, regulations, and contractual obligations related to information security.</w:t>
            </w:r>
          </w:p>
        </w:tc>
        <w:tc>
          <w:tcPr>
            <w:tcW w:type="dxa" w:w="3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Clause 4.2, A.5.31, A.5.34</w:t>
            </w:r>
          </w:p>
        </w:tc>
      </w:tr>
      <w:tr>
        <w:tc>
          <w:tcPr>
            <w:tcW w:type="dxa" w:w="2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Accountability</w:t>
            </w:r>
          </w:p>
        </w:tc>
        <w:tc>
          <w:tcPr>
            <w:tcW w:type="dxa" w:w="39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All access to information and systems is attributable to an identified individual. Actions are logged and traceable.</w:t>
            </w:r>
          </w:p>
        </w:tc>
        <w:tc>
          <w:tcPr>
            <w:tcW w:type="dxa" w:w="3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Clause A.5.16, A.8.15</w:t>
            </w:r>
          </w:p>
        </w:tc>
      </w:tr>
      <w:tr>
        <w:tc>
          <w:tcPr>
            <w:tcW w:type="dxa" w:w="2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Continuous Improvement</w:t>
            </w:r>
          </w:p>
        </w:tc>
        <w:tc>
          <w:tcPr>
            <w:tcW w:type="dxa" w:w="39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The security posture is regularly reviewed, measured, and improved. Lessons learned from incidents and assessments drive program enhancement.</w:t>
            </w:r>
          </w:p>
        </w:tc>
        <w:tc>
          <w:tcPr>
            <w:tcW w:type="dxa" w:w="3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Clause 9.1, 10.1</w:t>
            </w:r>
          </w:p>
        </w:tc>
      </w:tr>
    </w:tbl>
    <w:p>
      <w:pPr>
        <w:spacing w:after="120"/>
      </w:pPr>
      <w:r>
        <w:t xml:space="preserve"/>
      </w:r>
    </w:p>
    <w:p>
      <w:pPr>
        <w:pStyle w:val="Heading1"/>
      </w:pPr>
      <w:r>
        <w:rPr>
          <w:rFonts w:ascii="Arial" w:cs="Arial" w:eastAsia="Arial" w:hAnsi="Arial"/>
          <w:b/>
          <w:bCs/>
          <w:color w:val="152168"/>
          <w:sz w:val="28"/>
          <w:szCs w:val="28"/>
        </w:rPr>
        <w:t xml:space="preserve">4. Definitions</w:t>
      </w:r>
    </w:p>
    <w:p>
      <w:pPr>
        <w:spacing w:after="120"/>
      </w:pPr>
      <w:r>
        <w:rPr>
          <w:rFonts w:ascii="Arial" w:cs="Arial" w:eastAsia="Arial" w:hAnsi="Arial"/>
          <w:color w:val="1A2340"/>
          <w:sz w:val="20"/>
          <w:szCs w:val="20"/>
        </w:rPr>
        <w:t xml:space="preserve">The following terms are used throughout this policy and all subordinate security policies: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Term</w:t>
            </w:r>
          </w:p>
        </w:tc>
        <w:tc>
          <w:tcPr>
            <w:tcW w:type="dxa" w:w="67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Definition</w:t>
            </w:r>
          </w:p>
        </w:tc>
      </w:tr>
      <w:tr>
        <w:tc>
          <w:tcPr>
            <w:tcW w:type="dxa" w:w="2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Information Asset</w:t>
            </w:r>
          </w:p>
        </w:tc>
        <w:tc>
          <w:tcPr>
            <w:tcW w:type="dxa" w:w="6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Any data, system, software, hardware, or other resource that has value to the organization and requires protection.</w:t>
            </w:r>
          </w:p>
        </w:tc>
      </w:tr>
      <w:tr>
        <w:tc>
          <w:tcPr>
            <w:tcW w:type="dxa" w:w="2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Information Security</w:t>
            </w:r>
          </w:p>
        </w:tc>
        <w:tc>
          <w:tcPr>
            <w:tcW w:type="dxa" w:w="6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The practice of protecting information from unauthorized access, use, disclosure, disruption, modification, or destruction.</w:t>
            </w:r>
          </w:p>
        </w:tc>
      </w:tr>
      <w:tr>
        <w:tc>
          <w:tcPr>
            <w:tcW w:type="dxa" w:w="2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Confidentiality</w:t>
            </w:r>
          </w:p>
        </w:tc>
        <w:tc>
          <w:tcPr>
            <w:tcW w:type="dxa" w:w="6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The property that information is not made available or disclosed to unauthorized individuals, entities, or processes.</w:t>
            </w:r>
          </w:p>
        </w:tc>
      </w:tr>
      <w:tr>
        <w:tc>
          <w:tcPr>
            <w:tcW w:type="dxa" w:w="2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Integrity</w:t>
            </w:r>
          </w:p>
        </w:tc>
        <w:tc>
          <w:tcPr>
            <w:tcW w:type="dxa" w:w="6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The property of safeguarding the accuracy and completeness of information and processing methods.</w:t>
            </w:r>
          </w:p>
        </w:tc>
      </w:tr>
      <w:tr>
        <w:tc>
          <w:tcPr>
            <w:tcW w:type="dxa" w:w="2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Availability</w:t>
            </w:r>
          </w:p>
        </w:tc>
        <w:tc>
          <w:tcPr>
            <w:tcW w:type="dxa" w:w="6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The property of being accessible and usable upon demand by an authorized entity.</w:t>
            </w:r>
          </w:p>
        </w:tc>
      </w:tr>
      <w:tr>
        <w:tc>
          <w:tcPr>
            <w:tcW w:type="dxa" w:w="2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CIA Triad</w:t>
            </w:r>
          </w:p>
        </w:tc>
        <w:tc>
          <w:tcPr>
            <w:tcW w:type="dxa" w:w="6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The foundational model of information security encompassing Confidentiality, Integrity, and Availability.</w:t>
            </w:r>
          </w:p>
        </w:tc>
      </w:tr>
      <w:tr>
        <w:tc>
          <w:tcPr>
            <w:tcW w:type="dxa" w:w="2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Threat</w:t>
            </w:r>
          </w:p>
        </w:tc>
        <w:tc>
          <w:tcPr>
            <w:tcW w:type="dxa" w:w="6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Any circumstance or event with the potential to adversely impact organizational operations, assets, or individuals.</w:t>
            </w:r>
          </w:p>
        </w:tc>
      </w:tr>
      <w:tr>
        <w:tc>
          <w:tcPr>
            <w:tcW w:type="dxa" w:w="2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Vulnerability</w:t>
            </w:r>
          </w:p>
        </w:tc>
        <w:tc>
          <w:tcPr>
            <w:tcW w:type="dxa" w:w="6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 weakness in a system, process, or control that could be exploited by a threat actor.</w:t>
            </w:r>
          </w:p>
        </w:tc>
      </w:tr>
      <w:tr>
        <w:tc>
          <w:tcPr>
            <w:tcW w:type="dxa" w:w="2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Risk</w:t>
            </w:r>
          </w:p>
        </w:tc>
        <w:tc>
          <w:tcPr>
            <w:tcW w:type="dxa" w:w="6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The potential for loss or harm resulting from the likelihood of a threat exploiting a vulnerability, weighed against its impact.</w:t>
            </w:r>
          </w:p>
        </w:tc>
      </w:tr>
      <w:tr>
        <w:tc>
          <w:tcPr>
            <w:tcW w:type="dxa" w:w="2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Control</w:t>
            </w:r>
          </w:p>
        </w:tc>
        <w:tc>
          <w:tcPr>
            <w:tcW w:type="dxa" w:w="6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 measure that modifies risk. Controls may be preventive, detective, corrective, or compensating in nature.</w:t>
            </w:r>
          </w:p>
        </w:tc>
      </w:tr>
      <w:tr>
        <w:tc>
          <w:tcPr>
            <w:tcW w:type="dxa" w:w="2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Incident</w:t>
            </w:r>
          </w:p>
        </w:tc>
        <w:tc>
          <w:tcPr>
            <w:tcW w:type="dxa" w:w="6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An event that has the potential to, or has actually, compromised the confidentiality, integrity, or availability of information.</w:t>
            </w:r>
          </w:p>
        </w:tc>
      </w:tr>
      <w:tr>
        <w:tc>
          <w:tcPr>
            <w:tcW w:type="dxa" w:w="2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Business Owner</w:t>
            </w:r>
          </w:p>
        </w:tc>
        <w:tc>
          <w:tcPr>
            <w:tcW w:type="dxa" w:w="6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The individual accountable for a business process and the information assets that support it. Responsible for risk acceptance.</w:t>
            </w:r>
          </w:p>
        </w:tc>
      </w:tr>
      <w:tr>
        <w:tc>
          <w:tcPr>
            <w:tcW w:type="dxa" w:w="2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System Owner</w:t>
            </w:r>
          </w:p>
        </w:tc>
        <w:tc>
          <w:tcPr>
            <w:tcW w:type="dxa" w:w="6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The individual responsible for managing and protecting a specific information system throughout its lifecycle.</w:t>
            </w:r>
          </w:p>
        </w:tc>
      </w:tr>
      <w:tr>
        <w:tc>
          <w:tcPr>
            <w:tcW w:type="dxa" w:w="2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Custodian</w:t>
            </w:r>
          </w:p>
        </w:tc>
        <w:tc>
          <w:tcPr>
            <w:tcW w:type="dxa" w:w="6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An individual or team responsible for the day-to-day management and protection of information assets on behalf of the Business Owner.</w:t>
            </w:r>
          </w:p>
        </w:tc>
      </w:tr>
      <w:tr>
        <w:tc>
          <w:tcPr>
            <w:tcW w:type="dxa" w:w="2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Data Subject</w:t>
            </w:r>
          </w:p>
        </w:tc>
        <w:tc>
          <w:tcPr>
            <w:tcW w:type="dxa" w:w="6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An identified or identifiable natural person whose personal data is processed by the organization.</w:t>
            </w:r>
          </w:p>
        </w:tc>
      </w:tr>
      <w:tr>
        <w:tc>
          <w:tcPr>
            <w:tcW w:type="dxa" w:w="2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Personally Identifiable Information (PII)</w:t>
            </w:r>
          </w:p>
        </w:tc>
        <w:tc>
          <w:tcPr>
            <w:tcW w:type="dxa" w:w="6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Any information that can be used to identify a specific individual, either on its own or in combination with other data.</w:t>
            </w:r>
          </w:p>
        </w:tc>
      </w:tr>
      <w:tr>
        <w:tc>
          <w:tcPr>
            <w:tcW w:type="dxa" w:w="2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Third Party</w:t>
            </w:r>
          </w:p>
        </w:tc>
        <w:tc>
          <w:tcPr>
            <w:tcW w:type="dxa" w:w="6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Any external individual, organization, or service provider that accesses, processes, or stores organizational information.</w:t>
            </w:r>
          </w:p>
        </w:tc>
      </w:tr>
    </w:tbl>
    <w:p>
      <w:pPr>
        <w:spacing w:after="120"/>
      </w:pPr>
      <w:r>
        <w:t xml:space="preserve"/>
      </w:r>
    </w:p>
    <w:p>
      <w:pPr>
        <w:pStyle w:val="Heading1"/>
      </w:pPr>
      <w:r>
        <w:rPr>
          <w:rFonts w:ascii="Arial" w:cs="Arial" w:eastAsia="Arial" w:hAnsi="Arial"/>
          <w:b/>
          <w:bCs/>
          <w:color w:val="152168"/>
          <w:sz w:val="28"/>
          <w:szCs w:val="28"/>
        </w:rPr>
        <w:t xml:space="preserve">5. Roles and Responsibilities</w:t>
      </w:r>
    </w:p>
    <w:p>
      <w:pPr>
        <w:spacing w:after="120"/>
      </w:pPr>
      <w:r>
        <w:rPr>
          <w:rFonts w:ascii="Arial" w:cs="Arial" w:eastAsia="Arial" w:hAnsi="Arial"/>
          <w:color w:val="1A2340"/>
          <w:sz w:val="20"/>
          <w:szCs w:val="20"/>
        </w:rPr>
        <w:t xml:space="preserve">Information security is a shared responsibility. The following roles carry specific accountabilities for the organization's security program.</w:t>
      </w:r>
    </w:p>
    <w:p>
      <w:pPr>
        <w:spacing w:after="80"/>
      </w:pPr>
      <w:r>
        <w:t xml:space="preserve"/>
      </w:r>
    </w:p>
    <w:p>
      <w:pPr>
        <w:pStyle w:val="Heading2"/>
      </w:pPr>
      <w:r>
        <w:rPr>
          <w:rFonts w:ascii="Arial" w:cs="Arial" w:eastAsia="Arial" w:hAnsi="Arial"/>
          <w:b/>
          <w:bCs/>
          <w:color w:val="152168"/>
          <w:sz w:val="24"/>
          <w:szCs w:val="24"/>
        </w:rPr>
        <w:t xml:space="preserve">5.1 Executive Leadership / Board of Directors</w:t>
      </w:r>
    </w:p>
    <w:p>
      <w:pPr>
        <w:pStyle w:val="ListParagraph"/>
        <w:numPr>
          <w:ilvl w:val="0"/>
          <w:numId w:val="2"/>
        </w:numPr>
        <w:spacing w:after="80"/>
      </w:pPr>
      <w:r>
        <w:rPr>
          <w:rFonts w:ascii="Arial" w:cs="Arial" w:eastAsia="Arial" w:hAnsi="Arial"/>
          <w:color w:val="1A2340"/>
          <w:sz w:val="20"/>
          <w:szCs w:val="20"/>
        </w:rPr>
        <w:t xml:space="preserve">Sets the organization's risk appetite and tolerance for information security risk.</w:t>
      </w:r>
    </w:p>
    <w:p>
      <w:pPr>
        <w:pStyle w:val="ListParagraph"/>
        <w:numPr>
          <w:ilvl w:val="0"/>
          <w:numId w:val="2"/>
        </w:numPr>
        <w:spacing w:after="80"/>
      </w:pPr>
      <w:r>
        <w:rPr>
          <w:rFonts w:ascii="Arial" w:cs="Arial" w:eastAsia="Arial" w:hAnsi="Arial"/>
          <w:color w:val="1A2340"/>
          <w:sz w:val="20"/>
          <w:szCs w:val="20"/>
        </w:rPr>
        <w:t xml:space="preserve">Champions and resources the information security program.</w:t>
      </w:r>
    </w:p>
    <w:p>
      <w:pPr>
        <w:pStyle w:val="ListParagraph"/>
        <w:numPr>
          <w:ilvl w:val="0"/>
          <w:numId w:val="2"/>
        </w:numPr>
        <w:spacing w:after="80"/>
      </w:pPr>
      <w:r>
        <w:rPr>
          <w:rFonts w:ascii="Arial" w:cs="Arial" w:eastAsia="Arial" w:hAnsi="Arial"/>
          <w:color w:val="1A2340"/>
          <w:sz w:val="20"/>
          <w:szCs w:val="20"/>
        </w:rPr>
        <w:t xml:space="preserve">Approves this policy and material changes to the security program.</w:t>
      </w:r>
    </w:p>
    <w:p>
      <w:pPr>
        <w:pStyle w:val="ListParagraph"/>
        <w:numPr>
          <w:ilvl w:val="0"/>
          <w:numId w:val="2"/>
        </w:numPr>
        <w:spacing w:after="80"/>
      </w:pPr>
      <w:r>
        <w:rPr>
          <w:rFonts w:ascii="Arial" w:cs="Arial" w:eastAsia="Arial" w:hAnsi="Arial"/>
          <w:color w:val="1A2340"/>
          <w:sz w:val="20"/>
          <w:szCs w:val="20"/>
        </w:rPr>
        <w:t xml:space="preserve">Receives periodic reporting on the security posture and risk profile.</w:t>
      </w:r>
    </w:p>
    <w:p>
      <w:pPr>
        <w:spacing w:after="80"/>
      </w:pPr>
      <w:r>
        <w:t xml:space="preserve"/>
      </w:r>
    </w:p>
    <w:p>
      <w:pPr>
        <w:pStyle w:val="Heading2"/>
      </w:pPr>
      <w:r>
        <w:rPr>
          <w:rFonts w:ascii="Arial" w:cs="Arial" w:eastAsia="Arial" w:hAnsi="Arial"/>
          <w:b/>
          <w:bCs/>
          <w:color w:val="152168"/>
          <w:sz w:val="24"/>
          <w:szCs w:val="24"/>
        </w:rPr>
        <w:t xml:space="preserve">5.2 Chief Information Security Officer (CISO) / Virtual CISO (vCISO)</w:t>
      </w:r>
    </w:p>
    <w:p>
      <w:pPr>
        <w:pStyle w:val="ListParagraph"/>
        <w:numPr>
          <w:ilvl w:val="0"/>
          <w:numId w:val="2"/>
        </w:numPr>
        <w:spacing w:after="80"/>
      </w:pPr>
      <w:r>
        <w:rPr>
          <w:rFonts w:ascii="Arial" w:cs="Arial" w:eastAsia="Arial" w:hAnsi="Arial"/>
          <w:color w:val="1A2340"/>
          <w:sz w:val="20"/>
          <w:szCs w:val="20"/>
        </w:rPr>
        <w:t xml:space="preserve">Owns this policy and all subordinate security policies.</w:t>
      </w:r>
    </w:p>
    <w:p>
      <w:pPr>
        <w:pStyle w:val="ListParagraph"/>
        <w:numPr>
          <w:ilvl w:val="0"/>
          <w:numId w:val="2"/>
        </w:numPr>
        <w:spacing w:after="80"/>
      </w:pPr>
      <w:r>
        <w:rPr>
          <w:rFonts w:ascii="Arial" w:cs="Arial" w:eastAsia="Arial" w:hAnsi="Arial"/>
          <w:color w:val="1A2340"/>
          <w:sz w:val="20"/>
          <w:szCs w:val="20"/>
        </w:rPr>
        <w:t xml:space="preserve">Provides strategic oversight of the information security program.</w:t>
      </w:r>
    </w:p>
    <w:p>
      <w:pPr>
        <w:pStyle w:val="ListParagraph"/>
        <w:numPr>
          <w:ilvl w:val="0"/>
          <w:numId w:val="2"/>
        </w:numPr>
        <w:spacing w:after="80"/>
      </w:pPr>
      <w:r>
        <w:rPr>
          <w:rFonts w:ascii="Arial" w:cs="Arial" w:eastAsia="Arial" w:hAnsi="Arial"/>
          <w:color w:val="1A2340"/>
          <w:sz w:val="20"/>
          <w:szCs w:val="20"/>
        </w:rPr>
        <w:t xml:space="preserve">Conducts annual risk assessments and maintains the risk register.</w:t>
      </w:r>
    </w:p>
    <w:p>
      <w:pPr>
        <w:pStyle w:val="ListParagraph"/>
        <w:numPr>
          <w:ilvl w:val="0"/>
          <w:numId w:val="2"/>
        </w:numPr>
        <w:spacing w:after="80"/>
      </w:pPr>
      <w:r>
        <w:rPr>
          <w:rFonts w:ascii="Arial" w:cs="Arial" w:eastAsia="Arial" w:hAnsi="Arial"/>
          <w:color w:val="1A2340"/>
          <w:sz w:val="20"/>
          <w:szCs w:val="20"/>
        </w:rPr>
        <w:t xml:space="preserve">Holds exception authority — approves or rejects policy exceptions.</w:t>
      </w:r>
    </w:p>
    <w:p>
      <w:pPr>
        <w:pStyle w:val="ListParagraph"/>
        <w:numPr>
          <w:ilvl w:val="0"/>
          <w:numId w:val="2"/>
        </w:numPr>
        <w:spacing w:after="80"/>
      </w:pPr>
      <w:r>
        <w:rPr>
          <w:rFonts w:ascii="Arial" w:cs="Arial" w:eastAsia="Arial" w:hAnsi="Arial"/>
          <w:color w:val="1A2340"/>
          <w:sz w:val="20"/>
          <w:szCs w:val="20"/>
        </w:rPr>
        <w:t xml:space="preserve">Reports to Executive Leadership on security posture, risks, and program maturity.</w:t>
      </w:r>
    </w:p>
    <w:p>
      <w:pPr>
        <w:pStyle w:val="ListParagraph"/>
        <w:numPr>
          <w:ilvl w:val="0"/>
          <w:numId w:val="2"/>
        </w:numPr>
        <w:spacing w:after="80"/>
      </w:pPr>
      <w:r>
        <w:rPr>
          <w:rFonts w:ascii="Arial" w:cs="Arial" w:eastAsia="Arial" w:hAnsi="Arial"/>
          <w:color w:val="1A2340"/>
          <w:sz w:val="20"/>
          <w:szCs w:val="20"/>
        </w:rPr>
        <w:t xml:space="preserve">Coordinates incident response and breach notification activities.</w:t>
      </w:r>
    </w:p>
    <w:p>
      <w:pPr>
        <w:spacing w:after="80"/>
      </w:pPr>
      <w:r>
        <w:t xml:space="preserve"/>
      </w:r>
    </w:p>
    <w:p>
      <w:pPr>
        <w:pStyle w:val="Heading2"/>
      </w:pPr>
      <w:r>
        <w:rPr>
          <w:rFonts w:ascii="Arial" w:cs="Arial" w:eastAsia="Arial" w:hAnsi="Arial"/>
          <w:b/>
          <w:bCs/>
          <w:color w:val="152168"/>
          <w:sz w:val="24"/>
          <w:szCs w:val="24"/>
        </w:rPr>
        <w:t xml:space="preserve">5.3 IT / System Administrators</w:t>
      </w:r>
    </w:p>
    <w:p>
      <w:pPr>
        <w:pStyle w:val="ListParagraph"/>
        <w:numPr>
          <w:ilvl w:val="0"/>
          <w:numId w:val="2"/>
        </w:numPr>
        <w:spacing w:after="80"/>
      </w:pPr>
      <w:r>
        <w:rPr>
          <w:rFonts w:ascii="Arial" w:cs="Arial" w:eastAsia="Arial" w:hAnsi="Arial"/>
          <w:color w:val="1A2340"/>
          <w:sz w:val="20"/>
          <w:szCs w:val="20"/>
        </w:rPr>
        <w:t xml:space="preserve">Implement and maintain technical security controls across systems and networks.</w:t>
      </w:r>
    </w:p>
    <w:p>
      <w:pPr>
        <w:pStyle w:val="ListParagraph"/>
        <w:numPr>
          <w:ilvl w:val="0"/>
          <w:numId w:val="2"/>
        </w:numPr>
        <w:spacing w:after="80"/>
      </w:pPr>
      <w:r>
        <w:rPr>
          <w:rFonts w:ascii="Arial" w:cs="Arial" w:eastAsia="Arial" w:hAnsi="Arial"/>
          <w:color w:val="1A2340"/>
          <w:sz w:val="20"/>
          <w:szCs w:val="20"/>
        </w:rPr>
        <w:t xml:space="preserve">Apply security patches and configuration baselines in a timely manner.</w:t>
      </w:r>
    </w:p>
    <w:p>
      <w:pPr>
        <w:pStyle w:val="ListParagraph"/>
        <w:numPr>
          <w:ilvl w:val="0"/>
          <w:numId w:val="2"/>
        </w:numPr>
        <w:spacing w:after="80"/>
      </w:pPr>
      <w:r>
        <w:rPr>
          <w:rFonts w:ascii="Arial" w:cs="Arial" w:eastAsia="Arial" w:hAnsi="Arial"/>
          <w:color w:val="1A2340"/>
          <w:sz w:val="20"/>
          <w:szCs w:val="20"/>
        </w:rPr>
        <w:t xml:space="preserve">Manage access control systems and enforce the principle of least privilege.</w:t>
      </w:r>
    </w:p>
    <w:p>
      <w:pPr>
        <w:pStyle w:val="ListParagraph"/>
        <w:numPr>
          <w:ilvl w:val="0"/>
          <w:numId w:val="2"/>
        </w:numPr>
        <w:spacing w:after="80"/>
      </w:pPr>
      <w:r>
        <w:rPr>
          <w:rFonts w:ascii="Arial" w:cs="Arial" w:eastAsia="Arial" w:hAnsi="Arial"/>
          <w:color w:val="1A2340"/>
          <w:sz w:val="20"/>
          <w:szCs w:val="20"/>
        </w:rPr>
        <w:t xml:space="preserve">Monitor systems and respond to technical security alerts.</w:t>
      </w:r>
    </w:p>
    <w:p>
      <w:pPr>
        <w:pStyle w:val="ListParagraph"/>
        <w:numPr>
          <w:ilvl w:val="0"/>
          <w:numId w:val="2"/>
        </w:numPr>
        <w:spacing w:after="80"/>
      </w:pPr>
      <w:r>
        <w:rPr>
          <w:rFonts w:ascii="Arial" w:cs="Arial" w:eastAsia="Arial" w:hAnsi="Arial"/>
          <w:color w:val="1A2340"/>
          <w:sz w:val="20"/>
          <w:szCs w:val="20"/>
        </w:rPr>
        <w:t xml:space="preserve">Maintain logs and audit trails as required by policy.</w:t>
      </w:r>
    </w:p>
    <w:p>
      <w:pPr>
        <w:spacing w:after="80"/>
      </w:pPr>
      <w:r>
        <w:t xml:space="preserve"/>
      </w:r>
    </w:p>
    <w:p>
      <w:pPr>
        <w:pStyle w:val="Heading2"/>
      </w:pPr>
      <w:r>
        <w:rPr>
          <w:rFonts w:ascii="Arial" w:cs="Arial" w:eastAsia="Arial" w:hAnsi="Arial"/>
          <w:b/>
          <w:bCs/>
          <w:color w:val="152168"/>
          <w:sz w:val="24"/>
          <w:szCs w:val="24"/>
        </w:rPr>
        <w:t xml:space="preserve">5.4 Department Managers</w:t>
      </w:r>
    </w:p>
    <w:p>
      <w:pPr>
        <w:pStyle w:val="ListParagraph"/>
        <w:numPr>
          <w:ilvl w:val="0"/>
          <w:numId w:val="2"/>
        </w:numPr>
        <w:spacing w:after="80"/>
      </w:pPr>
      <w:r>
        <w:rPr>
          <w:rFonts w:ascii="Arial" w:cs="Arial" w:eastAsia="Arial" w:hAnsi="Arial"/>
          <w:color w:val="1A2340"/>
          <w:sz w:val="20"/>
          <w:szCs w:val="20"/>
        </w:rPr>
        <w:t xml:space="preserve">Enforce this policy and all subordinate policies within their teams.</w:t>
      </w:r>
    </w:p>
    <w:p>
      <w:pPr>
        <w:pStyle w:val="ListParagraph"/>
        <w:numPr>
          <w:ilvl w:val="0"/>
          <w:numId w:val="2"/>
        </w:numPr>
        <w:spacing w:after="80"/>
      </w:pPr>
      <w:r>
        <w:rPr>
          <w:rFonts w:ascii="Arial" w:cs="Arial" w:eastAsia="Arial" w:hAnsi="Arial"/>
          <w:color w:val="1A2340"/>
          <w:sz w:val="20"/>
          <w:szCs w:val="20"/>
        </w:rPr>
        <w:t xml:space="preserve">Ensure all team members complete required security awareness training.</w:t>
      </w:r>
    </w:p>
    <w:p>
      <w:pPr>
        <w:pStyle w:val="ListParagraph"/>
        <w:numPr>
          <w:ilvl w:val="0"/>
          <w:numId w:val="2"/>
        </w:numPr>
        <w:spacing w:after="80"/>
      </w:pPr>
      <w:r>
        <w:rPr>
          <w:rFonts w:ascii="Arial" w:cs="Arial" w:eastAsia="Arial" w:hAnsi="Arial"/>
          <w:color w:val="1A2340"/>
          <w:sz w:val="20"/>
          <w:szCs w:val="20"/>
        </w:rPr>
        <w:t xml:space="preserve">Report suspected security incidents to the security team promptly.</w:t>
      </w:r>
    </w:p>
    <w:p>
      <w:pPr>
        <w:pStyle w:val="ListParagraph"/>
        <w:numPr>
          <w:ilvl w:val="0"/>
          <w:numId w:val="2"/>
        </w:numPr>
        <w:spacing w:after="80"/>
      </w:pPr>
      <w:r>
        <w:rPr>
          <w:rFonts w:ascii="Arial" w:cs="Arial" w:eastAsia="Arial" w:hAnsi="Arial"/>
          <w:color w:val="1A2340"/>
          <w:sz w:val="20"/>
          <w:szCs w:val="20"/>
        </w:rPr>
        <w:t xml:space="preserve">Support periodic access reviews for systems under their responsibility.</w:t>
      </w:r>
    </w:p>
    <w:p>
      <w:pPr>
        <w:spacing w:after="80"/>
      </w:pPr>
      <w:r>
        <w:t xml:space="preserve"/>
      </w:r>
    </w:p>
    <w:p>
      <w:pPr>
        <w:pStyle w:val="Heading2"/>
      </w:pPr>
      <w:r>
        <w:rPr>
          <w:rFonts w:ascii="Arial" w:cs="Arial" w:eastAsia="Arial" w:hAnsi="Arial"/>
          <w:b/>
          <w:bCs/>
          <w:color w:val="152168"/>
          <w:sz w:val="24"/>
          <w:szCs w:val="24"/>
        </w:rPr>
        <w:t xml:space="preserve">5.5 All Personnel (Employees, Contractors, and Temporary Workers)</w:t>
      </w:r>
    </w:p>
    <w:p>
      <w:pPr>
        <w:pStyle w:val="ListParagraph"/>
        <w:numPr>
          <w:ilvl w:val="0"/>
          <w:numId w:val="2"/>
        </w:numPr>
        <w:spacing w:after="80"/>
      </w:pPr>
      <w:r>
        <w:rPr>
          <w:rFonts w:ascii="Arial" w:cs="Arial" w:eastAsia="Arial" w:hAnsi="Arial"/>
          <w:color w:val="1A2340"/>
          <w:sz w:val="20"/>
          <w:szCs w:val="20"/>
        </w:rPr>
        <w:t xml:space="preserve">Comply with this policy and all subordinate security policies.</w:t>
      </w:r>
    </w:p>
    <w:p>
      <w:pPr>
        <w:pStyle w:val="ListParagraph"/>
        <w:numPr>
          <w:ilvl w:val="0"/>
          <w:numId w:val="2"/>
        </w:numPr>
        <w:spacing w:after="80"/>
      </w:pPr>
      <w:r>
        <w:rPr>
          <w:rFonts w:ascii="Arial" w:cs="Arial" w:eastAsia="Arial" w:hAnsi="Arial"/>
          <w:color w:val="1A2340"/>
          <w:sz w:val="20"/>
          <w:szCs w:val="20"/>
        </w:rPr>
        <w:t xml:space="preserve">Complete mandatory security awareness training upon onboarding and annually.</w:t>
      </w:r>
    </w:p>
    <w:p>
      <w:pPr>
        <w:pStyle w:val="ListParagraph"/>
        <w:numPr>
          <w:ilvl w:val="0"/>
          <w:numId w:val="2"/>
        </w:numPr>
        <w:spacing w:after="80"/>
      </w:pPr>
      <w:r>
        <w:rPr>
          <w:rFonts w:ascii="Arial" w:cs="Arial" w:eastAsia="Arial" w:hAnsi="Arial"/>
          <w:color w:val="1A2340"/>
          <w:sz w:val="20"/>
          <w:szCs w:val="20"/>
        </w:rPr>
        <w:t xml:space="preserve">Report suspected or known security incidents, vulnerabilities, or policy violations.</w:t>
      </w:r>
    </w:p>
    <w:p>
      <w:pPr>
        <w:pStyle w:val="ListParagraph"/>
        <w:numPr>
          <w:ilvl w:val="0"/>
          <w:numId w:val="2"/>
        </w:numPr>
        <w:spacing w:after="80"/>
      </w:pPr>
      <w:r>
        <w:rPr>
          <w:rFonts w:ascii="Arial" w:cs="Arial" w:eastAsia="Arial" w:hAnsi="Arial"/>
          <w:color w:val="1A2340"/>
          <w:sz w:val="20"/>
          <w:szCs w:val="20"/>
        </w:rPr>
        <w:t xml:space="preserve">Protect credentials and do not share access with others.</w:t>
      </w:r>
    </w:p>
    <w:p>
      <w:pPr>
        <w:pStyle w:val="ListParagraph"/>
        <w:numPr>
          <w:ilvl w:val="0"/>
          <w:numId w:val="2"/>
        </w:numPr>
        <w:spacing w:after="80"/>
      </w:pPr>
      <w:r>
        <w:rPr>
          <w:rFonts w:ascii="Arial" w:cs="Arial" w:eastAsia="Arial" w:hAnsi="Arial"/>
          <w:color w:val="1A2340"/>
          <w:sz w:val="20"/>
          <w:szCs w:val="20"/>
        </w:rPr>
        <w:t xml:space="preserve">Use organizational systems and data only for authorized business purposes.</w:t>
      </w:r>
    </w:p>
    <w:p>
      <w:pPr>
        <w:spacing w:after="80"/>
      </w:pPr>
      <w:r>
        <w:t xml:space="preserve"/>
      </w:r>
    </w:p>
    <w:p>
      <w:pPr>
        <w:pStyle w:val="Heading2"/>
      </w:pPr>
      <w:r>
        <w:rPr>
          <w:rFonts w:ascii="Arial" w:cs="Arial" w:eastAsia="Arial" w:hAnsi="Arial"/>
          <w:b/>
          <w:bCs/>
          <w:color w:val="152168"/>
          <w:sz w:val="24"/>
          <w:szCs w:val="24"/>
        </w:rPr>
        <w:t xml:space="preserve">5.6 Third Parties</w:t>
      </w:r>
    </w:p>
    <w:p>
      <w:pPr>
        <w:pStyle w:val="ListParagraph"/>
        <w:numPr>
          <w:ilvl w:val="0"/>
          <w:numId w:val="2"/>
        </w:numPr>
        <w:spacing w:after="80"/>
      </w:pPr>
      <w:r>
        <w:rPr>
          <w:rFonts w:ascii="Arial" w:cs="Arial" w:eastAsia="Arial" w:hAnsi="Arial"/>
          <w:color w:val="1A2340"/>
          <w:sz w:val="20"/>
          <w:szCs w:val="20"/>
        </w:rPr>
        <w:t xml:space="preserve">Are bound by contractual security obligations at least as stringent as this policy.</w:t>
      </w:r>
    </w:p>
    <w:p>
      <w:pPr>
        <w:pStyle w:val="ListParagraph"/>
        <w:numPr>
          <w:ilvl w:val="0"/>
          <w:numId w:val="2"/>
        </w:numPr>
        <w:spacing w:after="80"/>
      </w:pPr>
      <w:r>
        <w:rPr>
          <w:rFonts w:ascii="Arial" w:cs="Arial" w:eastAsia="Arial" w:hAnsi="Arial"/>
          <w:color w:val="1A2340"/>
          <w:sz w:val="20"/>
          <w:szCs w:val="20"/>
        </w:rPr>
        <w:t xml:space="preserve">Must complete security due diligence as a condition of engagement.</w:t>
      </w:r>
    </w:p>
    <w:p>
      <w:pPr>
        <w:pStyle w:val="ListParagraph"/>
        <w:numPr>
          <w:ilvl w:val="0"/>
          <w:numId w:val="2"/>
        </w:numPr>
        <w:spacing w:after="80"/>
      </w:pPr>
      <w:r>
        <w:rPr>
          <w:rFonts w:ascii="Arial" w:cs="Arial" w:eastAsia="Arial" w:hAnsi="Arial"/>
          <w:color w:val="1A2340"/>
          <w:sz w:val="20"/>
          <w:szCs w:val="20"/>
        </w:rPr>
        <w:t xml:space="preserve">Must notify the organization promptly of any security incident affecting organizational data.</w:t>
      </w:r>
    </w:p>
    <w:p>
      <w:pPr>
        <w:pStyle w:val="ListParagraph"/>
        <w:numPr>
          <w:ilvl w:val="0"/>
          <w:numId w:val="2"/>
        </w:numPr>
        <w:spacing w:after="80"/>
      </w:pPr>
      <w:r>
        <w:rPr>
          <w:rFonts w:ascii="Arial" w:cs="Arial" w:eastAsia="Arial" w:hAnsi="Arial"/>
          <w:color w:val="1A2340"/>
          <w:sz w:val="20"/>
          <w:szCs w:val="20"/>
        </w:rPr>
        <w:t xml:space="preserve">Are subject to audit rights as specified in their contracts.</w:t>
      </w:r>
    </w:p>
    <w:p>
      <w:pPr>
        <w:spacing w:after="120"/>
      </w:pPr>
      <w:r>
        <w:t xml:space="preserve"/>
      </w:r>
    </w:p>
    <w:p>
      <w:pPr>
        <w:pStyle w:val="Heading1"/>
      </w:pPr>
      <w:r>
        <w:rPr>
          <w:rFonts w:ascii="Arial" w:cs="Arial" w:eastAsia="Arial" w:hAnsi="Arial"/>
          <w:b/>
          <w:bCs/>
          <w:color w:val="152168"/>
          <w:sz w:val="28"/>
          <w:szCs w:val="28"/>
        </w:rPr>
        <w:t xml:space="preserve">6. Policy Requirements</w:t>
      </w:r>
    </w:p>
    <w:p>
      <w:pPr>
        <w:spacing w:after="60"/>
      </w:pPr>
      <w:r>
        <w:t xml:space="preserve"/>
      </w:r>
    </w:p>
    <w:p>
      <w:pPr>
        <w:pStyle w:val="Heading2"/>
      </w:pPr>
      <w:r>
        <w:rPr>
          <w:rFonts w:ascii="Arial" w:cs="Arial" w:eastAsia="Arial" w:hAnsi="Arial"/>
          <w:b/>
          <w:bCs/>
          <w:color w:val="152168"/>
          <w:sz w:val="24"/>
          <w:szCs w:val="24"/>
        </w:rPr>
        <w:t xml:space="preserve">6.1 Information Security Program</w:t>
      </w:r>
    </w:p>
    <w:p>
      <w:pPr>
        <w:spacing w:after="120"/>
      </w:pPr>
      <w:r>
        <w:rPr>
          <w:rFonts w:ascii="Arial" w:cs="Arial" w:eastAsia="Arial" w:hAnsi="Arial"/>
          <w:color w:val="1A2340"/>
          <w:sz w:val="20"/>
          <w:szCs w:val="20"/>
        </w:rPr>
        <w:t xml:space="preserve">The organization shall establish, implement, maintain, and continually improve an Information Security Management System (ISMS) that encompasses the following components:</w:t>
      </w:r>
    </w:p>
    <w:p>
      <w:pPr>
        <w:spacing w:after="60"/>
      </w:pPr>
      <w:r>
        <w:t xml:space="preserve"/>
      </w:r>
    </w:p>
    <w:p>
      <w:pPr>
        <w:pStyle w:val="ListParagraph"/>
        <w:numPr>
          <w:ilvl w:val="0"/>
          <w:numId w:val="2"/>
        </w:numPr>
        <w:spacing w:after="80"/>
      </w:pPr>
      <w:r>
        <w:rPr>
          <w:rFonts w:ascii="Arial" w:cs="Arial" w:eastAsia="Arial" w:hAnsi="Arial"/>
          <w:color w:val="1A2340"/>
          <w:sz w:val="20"/>
          <w:szCs w:val="20"/>
        </w:rPr>
        <w:t xml:space="preserve">Policies and standards — documented requirements governing security behaviour.</w:t>
      </w:r>
    </w:p>
    <w:p>
      <w:pPr>
        <w:pStyle w:val="ListParagraph"/>
        <w:numPr>
          <w:ilvl w:val="0"/>
          <w:numId w:val="2"/>
        </w:numPr>
        <w:spacing w:after="80"/>
      </w:pPr>
      <w:r>
        <w:rPr>
          <w:rFonts w:ascii="Arial" w:cs="Arial" w:eastAsia="Arial" w:hAnsi="Arial"/>
          <w:color w:val="1A2340"/>
          <w:sz w:val="20"/>
          <w:szCs w:val="20"/>
        </w:rPr>
        <w:t xml:space="preserve">Risk management — identification, assessment, treatment, and monitoring of information security risks.</w:t>
      </w:r>
    </w:p>
    <w:p>
      <w:pPr>
        <w:pStyle w:val="ListParagraph"/>
        <w:numPr>
          <w:ilvl w:val="0"/>
          <w:numId w:val="2"/>
        </w:numPr>
        <w:spacing w:after="80"/>
      </w:pPr>
      <w:r>
        <w:rPr>
          <w:rFonts w:ascii="Arial" w:cs="Arial" w:eastAsia="Arial" w:hAnsi="Arial"/>
          <w:color w:val="1A2340"/>
          <w:sz w:val="20"/>
          <w:szCs w:val="20"/>
        </w:rPr>
        <w:t xml:space="preserve">Asset management — inventory and classification of information assets.</w:t>
      </w:r>
    </w:p>
    <w:p>
      <w:pPr>
        <w:pStyle w:val="ListParagraph"/>
        <w:numPr>
          <w:ilvl w:val="0"/>
          <w:numId w:val="2"/>
        </w:numPr>
        <w:spacing w:after="80"/>
      </w:pPr>
      <w:r>
        <w:rPr>
          <w:rFonts w:ascii="Arial" w:cs="Arial" w:eastAsia="Arial" w:hAnsi="Arial"/>
          <w:color w:val="1A2340"/>
          <w:sz w:val="20"/>
          <w:szCs w:val="20"/>
        </w:rPr>
        <w:t xml:space="preserve">Access control — restriction of access to information based on business need and authorization.</w:t>
      </w:r>
    </w:p>
    <w:p>
      <w:pPr>
        <w:pStyle w:val="ListParagraph"/>
        <w:numPr>
          <w:ilvl w:val="0"/>
          <w:numId w:val="2"/>
        </w:numPr>
        <w:spacing w:after="80"/>
      </w:pPr>
      <w:r>
        <w:rPr>
          <w:rFonts w:ascii="Arial" w:cs="Arial" w:eastAsia="Arial" w:hAnsi="Arial"/>
          <w:color w:val="1A2340"/>
          <w:sz w:val="20"/>
          <w:szCs w:val="20"/>
        </w:rPr>
        <w:t xml:space="preserve">Security awareness and training — education of personnel on security responsibilities.</w:t>
      </w:r>
    </w:p>
    <w:p>
      <w:pPr>
        <w:pStyle w:val="ListParagraph"/>
        <w:numPr>
          <w:ilvl w:val="0"/>
          <w:numId w:val="2"/>
        </w:numPr>
        <w:spacing w:after="80"/>
      </w:pPr>
      <w:r>
        <w:rPr>
          <w:rFonts w:ascii="Arial" w:cs="Arial" w:eastAsia="Arial" w:hAnsi="Arial"/>
          <w:color w:val="1A2340"/>
          <w:sz w:val="20"/>
          <w:szCs w:val="20"/>
        </w:rPr>
        <w:t xml:space="preserve">Incident response — capability to detect, contain, recover from, and learn from security incidents.</w:t>
      </w:r>
    </w:p>
    <w:p>
      <w:pPr>
        <w:pStyle w:val="ListParagraph"/>
        <w:numPr>
          <w:ilvl w:val="0"/>
          <w:numId w:val="2"/>
        </w:numPr>
        <w:spacing w:after="80"/>
      </w:pPr>
      <w:r>
        <w:rPr>
          <w:rFonts w:ascii="Arial" w:cs="Arial" w:eastAsia="Arial" w:hAnsi="Arial"/>
          <w:color w:val="1A2340"/>
          <w:sz w:val="20"/>
          <w:szCs w:val="20"/>
        </w:rPr>
        <w:t xml:space="preserve">Business continuity and disaster recovery — plans to maintain operations during disruptions.</w:t>
      </w:r>
    </w:p>
    <w:p>
      <w:pPr>
        <w:pStyle w:val="ListParagraph"/>
        <w:numPr>
          <w:ilvl w:val="0"/>
          <w:numId w:val="2"/>
        </w:numPr>
        <w:spacing w:after="80"/>
      </w:pPr>
      <w:r>
        <w:rPr>
          <w:rFonts w:ascii="Arial" w:cs="Arial" w:eastAsia="Arial" w:hAnsi="Arial"/>
          <w:color w:val="1A2340"/>
          <w:sz w:val="20"/>
          <w:szCs w:val="20"/>
        </w:rPr>
        <w:t xml:space="preserve">Third-party oversight — management of security risks introduced by vendors and partners.</w:t>
      </w:r>
    </w:p>
    <w:p>
      <w:pPr>
        <w:spacing w:after="80"/>
      </w:pPr>
      <w:r>
        <w:t xml:space="preserve"/>
      </w:r>
    </w:p>
    <w:p>
      <w:pPr>
        <w:spacing w:after="120"/>
      </w:pPr>
      <w:r>
        <w:rPr>
          <w:rFonts w:ascii="Arial" w:cs="Arial" w:eastAsia="Arial" w:hAnsi="Arial"/>
          <w:color w:val="1A2340"/>
          <w:sz w:val="20"/>
          <w:szCs w:val="20"/>
        </w:rPr>
        <w:t xml:space="preserve">ISMS Scope Statement: The ISMS applies to all information assets, personnel, systems, and processes within [ORGANIZATION NAME] as defined in Section 2 of this policy.</w:t>
      </w:r>
    </w:p>
    <w:p>
      <w:pPr>
        <w:spacing w:after="100"/>
      </w:pPr>
      <w:r>
        <w:t xml:space="preserve"/>
      </w:r>
    </w:p>
    <w:p>
      <w:pPr>
        <w:pStyle w:val="Heading2"/>
      </w:pPr>
      <w:r>
        <w:rPr>
          <w:rFonts w:ascii="Arial" w:cs="Arial" w:eastAsia="Arial" w:hAnsi="Arial"/>
          <w:b/>
          <w:bCs/>
          <w:color w:val="152168"/>
          <w:sz w:val="24"/>
          <w:szCs w:val="24"/>
        </w:rPr>
        <w:t xml:space="preserve">6.2 Policy Hierarchy</w:t>
      </w:r>
    </w:p>
    <w:p>
      <w:pPr>
        <w:spacing w:after="120"/>
      </w:pPr>
      <w:r>
        <w:rPr>
          <w:rFonts w:ascii="Arial" w:cs="Arial" w:eastAsia="Arial" w:hAnsi="Arial"/>
          <w:color w:val="1A2340"/>
          <w:sz w:val="20"/>
          <w:szCs w:val="20"/>
        </w:rPr>
        <w:t xml:space="preserve">This Information Security Policy is the parent (apex) policy. All domain-specific policies listed below are subordinate to and must be consistent with this policy. In the event of a conflict, this policy takes precedence.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160"/>
        <w:gridCol w:w="1800"/>
      </w:tblGrid>
      <w:tr>
        <w:trPr>
          <w:tblHeader/>
        </w:trPr>
        <w:tc>
          <w:tcPr>
            <w:tcW w:type="dxa" w:w="3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Policy Name</w:t>
            </w:r>
          </w:p>
        </w:tc>
        <w:tc>
          <w:tcPr>
            <w:tcW w:type="dxa" w:w="2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Domain</w:t>
            </w:r>
          </w:p>
        </w:tc>
        <w:tc>
          <w:tcPr>
            <w:tcW w:type="dxa" w:w="21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18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Review Frequency</w:t>
            </w:r>
          </w:p>
        </w:tc>
      </w:tr>
      <w:tr>
        <w:tc>
          <w:tcPr>
            <w:tcW w:type="dxa" w:w="3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Access Control Policy</w:t>
            </w:r>
          </w:p>
        </w:tc>
        <w:tc>
          <w:tcPr>
            <w:tcW w:type="dxa" w:w="2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Access Management</w:t>
            </w:r>
          </w:p>
        </w:tc>
        <w:tc>
          <w:tcPr>
            <w:tcW w:type="dxa" w:w="2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CISO / vCISO</w:t>
            </w:r>
          </w:p>
        </w:tc>
        <w:tc>
          <w:tcPr>
            <w:tcW w:type="dxa" w:w="1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Annual</w:t>
            </w:r>
          </w:p>
        </w:tc>
      </w:tr>
      <w:tr>
        <w:tc>
          <w:tcPr>
            <w:tcW w:type="dxa" w:w="3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Acceptable Use Policy</w:t>
            </w:r>
          </w:p>
        </w:tc>
        <w:tc>
          <w:tcPr>
            <w:tcW w:type="dxa" w:w="2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Personnel Security</w:t>
            </w:r>
          </w:p>
        </w:tc>
        <w:tc>
          <w:tcPr>
            <w:tcW w:type="dxa" w:w="2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CISO / vCISO</w:t>
            </w:r>
          </w:p>
        </w:tc>
        <w:tc>
          <w:tcPr>
            <w:tcW w:type="dxa" w:w="1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Annual</w:t>
            </w:r>
          </w:p>
        </w:tc>
      </w:tr>
      <w:tr>
        <w:tc>
          <w:tcPr>
            <w:tcW w:type="dxa" w:w="3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Data Classification Policy</w:t>
            </w:r>
          </w:p>
        </w:tc>
        <w:tc>
          <w:tcPr>
            <w:tcW w:type="dxa" w:w="2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Information Management</w:t>
            </w:r>
          </w:p>
        </w:tc>
        <w:tc>
          <w:tcPr>
            <w:tcW w:type="dxa" w:w="2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CISO / vCISO</w:t>
            </w:r>
          </w:p>
        </w:tc>
        <w:tc>
          <w:tcPr>
            <w:tcW w:type="dxa" w:w="1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Annual</w:t>
            </w:r>
          </w:p>
        </w:tc>
      </w:tr>
      <w:tr>
        <w:tc>
          <w:tcPr>
            <w:tcW w:type="dxa" w:w="3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Incident Response Policy</w:t>
            </w:r>
          </w:p>
        </w:tc>
        <w:tc>
          <w:tcPr>
            <w:tcW w:type="dxa" w:w="2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Incident Management</w:t>
            </w:r>
          </w:p>
        </w:tc>
        <w:tc>
          <w:tcPr>
            <w:tcW w:type="dxa" w:w="2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CISO / vCISO</w:t>
            </w:r>
          </w:p>
        </w:tc>
        <w:tc>
          <w:tcPr>
            <w:tcW w:type="dxa" w:w="1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Annual</w:t>
            </w:r>
          </w:p>
        </w:tc>
      </w:tr>
      <w:tr>
        <w:tc>
          <w:tcPr>
            <w:tcW w:type="dxa" w:w="3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Business Continuity Policy</w:t>
            </w:r>
          </w:p>
        </w:tc>
        <w:tc>
          <w:tcPr>
            <w:tcW w:type="dxa" w:w="2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Resilience</w:t>
            </w:r>
          </w:p>
        </w:tc>
        <w:tc>
          <w:tcPr>
            <w:tcW w:type="dxa" w:w="2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CISO / vCISO</w:t>
            </w:r>
          </w:p>
        </w:tc>
        <w:tc>
          <w:tcPr>
            <w:tcW w:type="dxa" w:w="1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Annual</w:t>
            </w:r>
          </w:p>
        </w:tc>
      </w:tr>
      <w:tr>
        <w:tc>
          <w:tcPr>
            <w:tcW w:type="dxa" w:w="3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Vendor Management Policy</w:t>
            </w:r>
          </w:p>
        </w:tc>
        <w:tc>
          <w:tcPr>
            <w:tcW w:type="dxa" w:w="2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Third-Party Risk</w:t>
            </w:r>
          </w:p>
        </w:tc>
        <w:tc>
          <w:tcPr>
            <w:tcW w:type="dxa" w:w="2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CISO / vCISO</w:t>
            </w:r>
          </w:p>
        </w:tc>
        <w:tc>
          <w:tcPr>
            <w:tcW w:type="dxa" w:w="1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Annual</w:t>
            </w:r>
          </w:p>
        </w:tc>
      </w:tr>
      <w:tr>
        <w:tc>
          <w:tcPr>
            <w:tcW w:type="dxa" w:w="3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Vulnerability Management Policy</w:t>
            </w:r>
          </w:p>
        </w:tc>
        <w:tc>
          <w:tcPr>
            <w:tcW w:type="dxa" w:w="2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Technical Controls</w:t>
            </w:r>
          </w:p>
        </w:tc>
        <w:tc>
          <w:tcPr>
            <w:tcW w:type="dxa" w:w="2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IT / System Admin</w:t>
            </w:r>
          </w:p>
        </w:tc>
        <w:tc>
          <w:tcPr>
            <w:tcW w:type="dxa" w:w="1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Annual</w:t>
            </w:r>
          </w:p>
        </w:tc>
      </w:tr>
      <w:tr>
        <w:tc>
          <w:tcPr>
            <w:tcW w:type="dxa" w:w="3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Password and Authentication Policy</w:t>
            </w:r>
          </w:p>
        </w:tc>
        <w:tc>
          <w:tcPr>
            <w:tcW w:type="dxa" w:w="2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Access Management</w:t>
            </w:r>
          </w:p>
        </w:tc>
        <w:tc>
          <w:tcPr>
            <w:tcW w:type="dxa" w:w="2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IT / System Admin</w:t>
            </w:r>
          </w:p>
        </w:tc>
        <w:tc>
          <w:tcPr>
            <w:tcW w:type="dxa" w:w="1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Annual</w:t>
            </w:r>
          </w:p>
        </w:tc>
      </w:tr>
      <w:tr>
        <w:tc>
          <w:tcPr>
            <w:tcW w:type="dxa" w:w="3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Physical Security Policy</w:t>
            </w:r>
          </w:p>
        </w:tc>
        <w:tc>
          <w:tcPr>
            <w:tcW w:type="dxa" w:w="2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Physical Controls</w:t>
            </w:r>
          </w:p>
        </w:tc>
        <w:tc>
          <w:tcPr>
            <w:tcW w:type="dxa" w:w="2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Facilities Manager</w:t>
            </w:r>
          </w:p>
        </w:tc>
        <w:tc>
          <w:tcPr>
            <w:tcW w:type="dxa" w:w="1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Annual</w:t>
            </w:r>
          </w:p>
        </w:tc>
      </w:tr>
      <w:tr>
        <w:tc>
          <w:tcPr>
            <w:tcW w:type="dxa" w:w="3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Data Retention and Disposal Policy</w:t>
            </w:r>
          </w:p>
        </w:tc>
        <w:tc>
          <w:tcPr>
            <w:tcW w:type="dxa" w:w="2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Information Management</w:t>
            </w:r>
          </w:p>
        </w:tc>
        <w:tc>
          <w:tcPr>
            <w:tcW w:type="dxa" w:w="2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CISO / vCISO</w:t>
            </w:r>
          </w:p>
        </w:tc>
        <w:tc>
          <w:tcPr>
            <w:tcW w:type="dxa" w:w="1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Annual</w:t>
            </w:r>
          </w:p>
        </w:tc>
      </w:tr>
    </w:tbl>
    <w:p>
      <w:pPr>
        <w:spacing w:after="100"/>
      </w:pPr>
      <w:r>
        <w:t xml:space="preserve"/>
      </w:r>
    </w:p>
    <w:p>
      <w:pPr>
        <w:pStyle w:val="Heading2"/>
      </w:pPr>
      <w:r>
        <w:rPr>
          <w:rFonts w:ascii="Arial" w:cs="Arial" w:eastAsia="Arial" w:hAnsi="Arial"/>
          <w:b/>
          <w:bCs/>
          <w:color w:val="152168"/>
          <w:sz w:val="24"/>
          <w:szCs w:val="24"/>
        </w:rPr>
        <w:t xml:space="preserve">6.3 Risk Management</w:t>
      </w:r>
    </w:p>
    <w:p>
      <w:pPr>
        <w:pStyle w:val="ListParagraph"/>
        <w:numPr>
          <w:ilvl w:val="0"/>
          <w:numId w:val="2"/>
        </w:numPr>
        <w:spacing w:after="80"/>
      </w:pPr>
      <w:r>
        <w:rPr>
          <w:rFonts w:ascii="Arial" w:cs="Arial" w:eastAsia="Arial" w:hAnsi="Arial"/>
          <w:color w:val="1A2340"/>
          <w:sz w:val="20"/>
          <w:szCs w:val="20"/>
        </w:rPr>
        <w:t xml:space="preserve">The organization shall maintain a risk register documenting identified information security risks, their likelihood, impact, and treatment status.</w:t>
      </w:r>
    </w:p>
    <w:p>
      <w:pPr>
        <w:pStyle w:val="ListParagraph"/>
        <w:numPr>
          <w:ilvl w:val="0"/>
          <w:numId w:val="2"/>
        </w:numPr>
        <w:spacing w:after="80"/>
      </w:pPr>
      <w:r>
        <w:rPr>
          <w:rFonts w:ascii="Arial" w:cs="Arial" w:eastAsia="Arial" w:hAnsi="Arial"/>
          <w:color w:val="1A2340"/>
          <w:sz w:val="20"/>
          <w:szCs w:val="20"/>
        </w:rPr>
        <w:t xml:space="preserve">A formal risk assessment shall be conducted at least annually and upon any material change to the business, systems, or threat landscape.</w:t>
      </w:r>
    </w:p>
    <w:p>
      <w:pPr>
        <w:pStyle w:val="ListParagraph"/>
        <w:numPr>
          <w:ilvl w:val="0"/>
          <w:numId w:val="2"/>
        </w:numPr>
        <w:spacing w:after="80"/>
      </w:pPr>
      <w:r>
        <w:rPr>
          <w:rFonts w:ascii="Arial" w:cs="Arial" w:eastAsia="Arial" w:hAnsi="Arial"/>
          <w:color w:val="1A2340"/>
          <w:sz w:val="20"/>
          <w:szCs w:val="20"/>
        </w:rPr>
        <w:t xml:space="preserve">Risk treatment options include: Accept, Avoid, Transfer, and Mitigate.</w:t>
      </w:r>
    </w:p>
    <w:p>
      <w:pPr>
        <w:pStyle w:val="ListParagraph"/>
        <w:numPr>
          <w:ilvl w:val="0"/>
          <w:numId w:val="2"/>
        </w:numPr>
        <w:spacing w:after="80"/>
      </w:pPr>
      <w:r>
        <w:rPr>
          <w:rFonts w:ascii="Arial" w:cs="Arial" w:eastAsia="Arial" w:hAnsi="Arial"/>
          <w:color w:val="1A2340"/>
          <w:sz w:val="20"/>
          <w:szCs w:val="20"/>
        </w:rPr>
        <w:t xml:space="preserve">A risk treatment plan shall be maintained, with remediation timelines and owners assigned to each open risk.</w:t>
      </w:r>
    </w:p>
    <w:p>
      <w:pPr>
        <w:pStyle w:val="ListParagraph"/>
        <w:numPr>
          <w:ilvl w:val="0"/>
          <w:numId w:val="2"/>
        </w:numPr>
        <w:spacing w:after="80"/>
      </w:pPr>
      <w:r>
        <w:rPr>
          <w:rFonts w:ascii="Arial" w:cs="Arial" w:eastAsia="Arial" w:hAnsi="Arial"/>
          <w:color w:val="1A2340"/>
          <w:sz w:val="20"/>
          <w:szCs w:val="20"/>
        </w:rPr>
        <w:t xml:space="preserve">The CISO/vCISO shall provide sign-off on all residual risk acceptance decisions.</w:t>
      </w:r>
    </w:p>
    <w:p>
      <w:pPr>
        <w:spacing w:after="100"/>
      </w:pPr>
      <w:r>
        <w:t xml:space="preserve"/>
      </w:r>
    </w:p>
    <w:p>
      <w:pPr>
        <w:pStyle w:val="Heading2"/>
      </w:pPr>
      <w:r>
        <w:rPr>
          <w:rFonts w:ascii="Arial" w:cs="Arial" w:eastAsia="Arial" w:hAnsi="Arial"/>
          <w:b/>
          <w:bCs/>
          <w:color w:val="152168"/>
          <w:sz w:val="24"/>
          <w:szCs w:val="24"/>
        </w:rPr>
        <w:t xml:space="preserve">6.4 Legal and Regulatory Obligations</w:t>
      </w:r>
    </w:p>
    <w:p>
      <w:pPr>
        <w:spacing w:after="120"/>
      </w:pPr>
      <w:r>
        <w:rPr>
          <w:rFonts w:ascii="Arial" w:cs="Arial" w:eastAsia="Arial" w:hAnsi="Arial"/>
          <w:color w:val="1A2340"/>
          <w:sz w:val="20"/>
          <w:szCs w:val="20"/>
        </w:rPr>
        <w:t xml:space="preserve">The organization shall identify and comply with all applicable legal, regulatory, and contractual obligations related to information security and privacy. The following table identifies key obligations: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Obligation</w:t>
            </w:r>
          </w:p>
        </w:tc>
        <w:tc>
          <w:tcPr>
            <w:tcW w:type="dxa" w:w="37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Applicable When</w:t>
            </w:r>
          </w:p>
        </w:tc>
        <w:tc>
          <w:tcPr>
            <w:tcW w:type="dxa" w:w="30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Responsible Party</w:t>
            </w:r>
          </w:p>
        </w:tc>
      </w:tr>
      <w:tr>
        <w:tc>
          <w:tcPr>
            <w:tcW w:type="dxa" w:w="2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PIPEDA (Personal Information Protection and Electronic Documents Act)</w:t>
            </w:r>
          </w:p>
        </w:tc>
        <w:tc>
          <w:tcPr>
            <w:tcW w:type="dxa" w:w="3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Collecting, using, or disclosing personal information in the course of commercial activity in Canada.</w:t>
            </w:r>
          </w:p>
        </w:tc>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CISO / vCISO, Legal</w:t>
            </w:r>
          </w:p>
        </w:tc>
      </w:tr>
      <w:tr>
        <w:tc>
          <w:tcPr>
            <w:tcW w:type="dxa" w:w="2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GDPR (General Data Protection Regulation)</w:t>
            </w:r>
          </w:p>
        </w:tc>
        <w:tc>
          <w:tcPr>
            <w:tcW w:type="dxa" w:w="3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Processing personal data of individuals located in the European Union or United Kingdom.</w:t>
            </w:r>
          </w:p>
        </w:tc>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CISO / vCISO, Legal</w:t>
            </w:r>
          </w:p>
        </w:tc>
      </w:tr>
      <w:tr>
        <w:tc>
          <w:tcPr>
            <w:tcW w:type="dxa" w:w="2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PCI DSS (Payment Card Industry Data Security Standard)</w:t>
            </w:r>
          </w:p>
        </w:tc>
        <w:tc>
          <w:tcPr>
            <w:tcW w:type="dxa" w:w="3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Processing, storing, or transmitting payment card data.</w:t>
            </w:r>
          </w:p>
        </w:tc>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CISO / vCISO, IT</w:t>
            </w:r>
          </w:p>
        </w:tc>
      </w:tr>
      <w:tr>
        <w:tc>
          <w:tcPr>
            <w:tcW w:type="dxa" w:w="2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HIPAA (Health Insurance Portability and Accountability Act)</w:t>
            </w:r>
          </w:p>
        </w:tc>
        <w:tc>
          <w:tcPr>
            <w:tcW w:type="dxa" w:w="3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Processing, storing, or transmitting protected health information (PHI) — US-nexus engagements only.</w:t>
            </w:r>
          </w:p>
        </w:tc>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CISO / vCISO, Legal</w:t>
            </w:r>
          </w:p>
        </w:tc>
      </w:tr>
      <w:tr>
        <w:tc>
          <w:tcPr>
            <w:tcW w:type="dxa" w:w="2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BC PIPA (Personal Information Protection Act)</w:t>
            </w:r>
          </w:p>
        </w:tc>
        <w:tc>
          <w:tcPr>
            <w:tcW w:type="dxa" w:w="3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Collecting, using, or disclosing personal information in the province of British Columbia.</w:t>
            </w:r>
          </w:p>
        </w:tc>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CISO / vCISO, Legal</w:t>
            </w:r>
          </w:p>
        </w:tc>
      </w:tr>
    </w:tbl>
    <w:p>
      <w:pPr>
        <w:spacing w:after="100"/>
      </w:pPr>
      <w:r>
        <w:t xml:space="preserve"/>
      </w:r>
    </w:p>
    <w:p>
      <w:pPr>
        <w:pStyle w:val="Heading2"/>
      </w:pPr>
      <w:r>
        <w:rPr>
          <w:rFonts w:ascii="Arial" w:cs="Arial" w:eastAsia="Arial" w:hAnsi="Arial"/>
          <w:b/>
          <w:bCs/>
          <w:color w:val="152168"/>
          <w:sz w:val="24"/>
          <w:szCs w:val="24"/>
        </w:rPr>
        <w:t xml:space="preserve">6.5 Security Baseline</w:t>
      </w:r>
    </w:p>
    <w:p>
      <w:pPr>
        <w:spacing w:after="120"/>
      </w:pPr>
      <w:r>
        <w:rPr>
          <w:rFonts w:ascii="Arial" w:cs="Arial" w:eastAsia="Arial" w:hAnsi="Arial"/>
          <w:color w:val="1A2340"/>
          <w:sz w:val="20"/>
          <w:szCs w:val="20"/>
        </w:rPr>
        <w:t xml:space="preserve">The following minimum security controls apply to all systems and all personnel, regardless of role or location:</w:t>
      </w:r>
    </w:p>
    <w:p>
      <w:pPr>
        <w:spacing w:after="80"/>
      </w:pPr>
      <w:r>
        <w:t xml:space="preserve"/>
      </w:r>
    </w:p>
    <w:p>
      <w:pPr>
        <w:pStyle w:val="ListParagraph"/>
        <w:numPr>
          <w:ilvl w:val="0"/>
          <w:numId w:val="2"/>
        </w:numPr>
        <w:spacing w:after="80"/>
      </w:pPr>
      <w:r>
        <w:rPr>
          <w:rFonts w:ascii="Arial" w:cs="Arial" w:eastAsia="Arial" w:hAnsi="Arial"/>
          <w:b/>
          <w:bCs/>
          <w:color w:val="1A2340"/>
          <w:sz w:val="20"/>
          <w:szCs w:val="20"/>
        </w:rPr>
        <w:t xml:space="preserve">Multi-Factor Authentication (MFA): </w:t>
      </w:r>
      <w:r>
        <w:rPr>
          <w:rFonts w:ascii="Arial" w:cs="Arial" w:eastAsia="Arial" w:hAnsi="Arial"/>
          <w:color w:val="1A2340"/>
          <w:sz w:val="20"/>
          <w:szCs w:val="20"/>
        </w:rPr>
        <w:t xml:space="preserve">Required for all remote access to organizational systems and all privileged accounts. No exceptions without a documented risk acceptance.</w:t>
      </w:r>
    </w:p>
    <w:p>
      <w:pPr>
        <w:pStyle w:val="ListParagraph"/>
        <w:numPr>
          <w:ilvl w:val="0"/>
          <w:numId w:val="2"/>
        </w:numPr>
        <w:spacing w:after="80"/>
      </w:pPr>
      <w:r>
        <w:rPr>
          <w:rFonts w:ascii="Arial" w:cs="Arial" w:eastAsia="Arial" w:hAnsi="Arial"/>
          <w:b/>
          <w:bCs/>
          <w:color w:val="1A2340"/>
          <w:sz w:val="20"/>
          <w:szCs w:val="20"/>
        </w:rPr>
        <w:t xml:space="preserve">Encryption at Rest: </w:t>
      </w:r>
      <w:r>
        <w:rPr>
          <w:rFonts w:ascii="Arial" w:cs="Arial" w:eastAsia="Arial" w:hAnsi="Arial"/>
          <w:color w:val="1A2340"/>
          <w:sz w:val="20"/>
          <w:szCs w:val="20"/>
        </w:rPr>
        <w:t xml:space="preserve">All sensitive data (PII, payment data, health data, or Confidential-classified data) must be encrypted at rest using industry-accepted algorithms (AES-256 or equivalent).</w:t>
      </w:r>
    </w:p>
    <w:p>
      <w:pPr>
        <w:pStyle w:val="ListParagraph"/>
        <w:numPr>
          <w:ilvl w:val="0"/>
          <w:numId w:val="2"/>
        </w:numPr>
        <w:spacing w:after="80"/>
      </w:pPr>
      <w:r>
        <w:rPr>
          <w:rFonts w:ascii="Arial" w:cs="Arial" w:eastAsia="Arial" w:hAnsi="Arial"/>
          <w:b/>
          <w:bCs/>
          <w:color w:val="1A2340"/>
          <w:sz w:val="20"/>
          <w:szCs w:val="20"/>
        </w:rPr>
        <w:t xml:space="preserve">Encryption in Transit: </w:t>
      </w:r>
      <w:r>
        <w:rPr>
          <w:rFonts w:ascii="Arial" w:cs="Arial" w:eastAsia="Arial" w:hAnsi="Arial"/>
          <w:color w:val="1A2340"/>
          <w:sz w:val="20"/>
          <w:szCs w:val="20"/>
        </w:rPr>
        <w:t xml:space="preserve">All data in transit across public or untrusted networks must be encrypted using TLS 1.2 or higher.</w:t>
      </w:r>
    </w:p>
    <w:p>
      <w:pPr>
        <w:pStyle w:val="ListParagraph"/>
        <w:numPr>
          <w:ilvl w:val="0"/>
          <w:numId w:val="2"/>
        </w:numPr>
        <w:spacing w:after="80"/>
      </w:pPr>
      <w:r>
        <w:rPr>
          <w:rFonts w:ascii="Arial" w:cs="Arial" w:eastAsia="Arial" w:hAnsi="Arial"/>
          <w:b/>
          <w:bCs/>
          <w:color w:val="1A2340"/>
          <w:sz w:val="20"/>
          <w:szCs w:val="20"/>
        </w:rPr>
        <w:t xml:space="preserve">Security Awareness Training: </w:t>
      </w:r>
      <w:r>
        <w:rPr>
          <w:rFonts w:ascii="Arial" w:cs="Arial" w:eastAsia="Arial" w:hAnsi="Arial"/>
          <w:color w:val="1A2340"/>
          <w:sz w:val="20"/>
          <w:szCs w:val="20"/>
        </w:rPr>
        <w:t xml:space="preserve">All personnel must complete security awareness training upon onboarding and at least annually thereafter.</w:t>
      </w:r>
    </w:p>
    <w:p>
      <w:pPr>
        <w:pStyle w:val="ListParagraph"/>
        <w:numPr>
          <w:ilvl w:val="0"/>
          <w:numId w:val="2"/>
        </w:numPr>
        <w:spacing w:after="80"/>
      </w:pPr>
      <w:r>
        <w:rPr>
          <w:rFonts w:ascii="Arial" w:cs="Arial" w:eastAsia="Arial" w:hAnsi="Arial"/>
          <w:b/>
          <w:bCs/>
          <w:color w:val="1A2340"/>
          <w:sz w:val="20"/>
          <w:szCs w:val="20"/>
        </w:rPr>
        <w:t xml:space="preserve">Patch Management: </w:t>
      </w:r>
      <w:r>
        <w:rPr>
          <w:rFonts w:ascii="Arial" w:cs="Arial" w:eastAsia="Arial" w:hAnsi="Arial"/>
          <w:color w:val="1A2340"/>
          <w:sz w:val="20"/>
          <w:szCs w:val="20"/>
        </w:rPr>
        <w:t xml:space="preserve">Critical and high-severity security patches must be applied within defined timelines as specified in the Vulnerability Management Policy.</w:t>
      </w:r>
    </w:p>
    <w:p>
      <w:pPr>
        <w:pStyle w:val="ListParagraph"/>
        <w:numPr>
          <w:ilvl w:val="0"/>
          <w:numId w:val="2"/>
        </w:numPr>
        <w:spacing w:after="80"/>
      </w:pPr>
      <w:r>
        <w:rPr>
          <w:rFonts w:ascii="Arial" w:cs="Arial" w:eastAsia="Arial" w:hAnsi="Arial"/>
          <w:b/>
          <w:bCs/>
          <w:color w:val="1A2340"/>
          <w:sz w:val="20"/>
          <w:szCs w:val="20"/>
        </w:rPr>
        <w:t xml:space="preserve">Access Reviews: </w:t>
      </w:r>
      <w:r>
        <w:rPr>
          <w:rFonts w:ascii="Arial" w:cs="Arial" w:eastAsia="Arial" w:hAnsi="Arial"/>
          <w:color w:val="1A2340"/>
          <w:sz w:val="20"/>
          <w:szCs w:val="20"/>
        </w:rPr>
        <w:t xml:space="preserve">User access rights shall be reviewed at least semi-annually. Privileged access shall be reviewed quarterly.</w:t>
      </w:r>
    </w:p>
    <w:p>
      <w:pPr>
        <w:spacing w:after="100"/>
      </w:pPr>
      <w:r>
        <w:t xml:space="preserve"/>
      </w:r>
    </w:p>
    <w:p>
      <w:pPr>
        <w:pStyle w:val="Heading2"/>
      </w:pPr>
      <w:r>
        <w:rPr>
          <w:rFonts w:ascii="Arial" w:cs="Arial" w:eastAsia="Arial" w:hAnsi="Arial"/>
          <w:b/>
          <w:bCs/>
          <w:color w:val="152168"/>
          <w:sz w:val="24"/>
          <w:szCs w:val="24"/>
        </w:rPr>
        <w:t xml:space="preserve">6.6 Exception Process</w:t>
      </w:r>
    </w:p>
    <w:p>
      <w:pPr>
        <w:spacing w:after="120"/>
      </w:pPr>
      <w:r>
        <w:rPr>
          <w:rFonts w:ascii="Arial" w:cs="Arial" w:eastAsia="Arial" w:hAnsi="Arial"/>
          <w:color w:val="1A2340"/>
          <w:sz w:val="20"/>
          <w:szCs w:val="20"/>
        </w:rPr>
        <w:t xml:space="preserve">No policy exception is permanent. The following process governs all requests to deviate from policy requirements:</w:t>
      </w:r>
    </w:p>
    <w:p>
      <w:pPr>
        <w:spacing w:after="60"/>
      </w:pPr>
      <w:r>
        <w:t xml:space="preserve"/>
      </w:r>
    </w:p>
    <w:p>
      <w:pPr>
        <w:pStyle w:val="ListParagraph"/>
        <w:numPr>
          <w:ilvl w:val="0"/>
          <w:numId w:val="2"/>
        </w:numPr>
        <w:spacing w:after="80"/>
      </w:pPr>
      <w:r>
        <w:rPr>
          <w:rFonts w:ascii="Arial" w:cs="Arial" w:eastAsia="Arial" w:hAnsi="Arial"/>
          <w:color w:val="1A2340"/>
          <w:sz w:val="20"/>
          <w:szCs w:val="20"/>
        </w:rPr>
        <w:t xml:space="preserve">Any individual or department may request a policy exception in writing, specifying the policy requirement, the reason for the exception, the proposed compensating control, and the requested duration.</w:t>
      </w:r>
    </w:p>
    <w:p>
      <w:pPr>
        <w:pStyle w:val="ListParagraph"/>
        <w:numPr>
          <w:ilvl w:val="0"/>
          <w:numId w:val="2"/>
        </w:numPr>
        <w:spacing w:after="80"/>
      </w:pPr>
      <w:r>
        <w:rPr>
          <w:rFonts w:ascii="Arial" w:cs="Arial" w:eastAsia="Arial" w:hAnsi="Arial"/>
          <w:color w:val="1A2340"/>
          <w:sz w:val="20"/>
          <w:szCs w:val="20"/>
        </w:rPr>
        <w:t xml:space="preserve">Exceptions must be reviewed and approved by the CISO/vCISO. No exception may be self-approved.</w:t>
      </w:r>
    </w:p>
    <w:p>
      <w:pPr>
        <w:pStyle w:val="ListParagraph"/>
        <w:numPr>
          <w:ilvl w:val="0"/>
          <w:numId w:val="2"/>
        </w:numPr>
        <w:spacing w:after="80"/>
      </w:pPr>
      <w:r>
        <w:rPr>
          <w:rFonts w:ascii="Arial" w:cs="Arial" w:eastAsia="Arial" w:hAnsi="Arial"/>
          <w:color w:val="1A2340"/>
          <w:sz w:val="20"/>
          <w:szCs w:val="20"/>
        </w:rPr>
        <w:t xml:space="preserve">All approved exceptions are time-limited — the maximum initial term is 90 days, with renewal requiring fresh review and approval.</w:t>
      </w:r>
    </w:p>
    <w:p>
      <w:pPr>
        <w:pStyle w:val="ListParagraph"/>
        <w:numPr>
          <w:ilvl w:val="0"/>
          <w:numId w:val="2"/>
        </w:numPr>
        <w:spacing w:after="80"/>
      </w:pPr>
      <w:r>
        <w:rPr>
          <w:rFonts w:ascii="Arial" w:cs="Arial" w:eastAsia="Arial" w:hAnsi="Arial"/>
          <w:color w:val="1A2340"/>
          <w:sz w:val="20"/>
          <w:szCs w:val="20"/>
        </w:rPr>
        <w:t xml:space="preserve">Approved exceptions must include a risk acceptance statement signed by the relevant Business Owner.</w:t>
      </w:r>
    </w:p>
    <w:p>
      <w:pPr>
        <w:pStyle w:val="ListParagraph"/>
        <w:numPr>
          <w:ilvl w:val="0"/>
          <w:numId w:val="2"/>
        </w:numPr>
        <w:spacing w:after="80"/>
      </w:pPr>
      <w:r>
        <w:rPr>
          <w:rFonts w:ascii="Arial" w:cs="Arial" w:eastAsia="Arial" w:hAnsi="Arial"/>
          <w:color w:val="1A2340"/>
          <w:sz w:val="20"/>
          <w:szCs w:val="20"/>
        </w:rPr>
        <w:t xml:space="preserve">All exceptions (granted or denied) are tracked in the organization's exception register, maintained by the CISO/vCISO.</w:t>
      </w:r>
    </w:p>
    <w:p>
      <w:pPr>
        <w:spacing w:after="100"/>
      </w:pPr>
      <w:r>
        <w:t xml:space="preserve"/>
      </w:r>
    </w:p>
    <w:p>
      <w:pPr>
        <w:pStyle w:val="Heading2"/>
      </w:pPr>
      <w:r>
        <w:rPr>
          <w:rFonts w:ascii="Arial" w:cs="Arial" w:eastAsia="Arial" w:hAnsi="Arial"/>
          <w:b/>
          <w:bCs/>
          <w:color w:val="152168"/>
          <w:sz w:val="24"/>
          <w:szCs w:val="24"/>
        </w:rPr>
        <w:t xml:space="preserve">6.7 Policy Review</w:t>
      </w:r>
    </w:p>
    <w:p>
      <w:pPr>
        <w:spacing w:after="120"/>
      </w:pPr>
      <w:r>
        <w:rPr>
          <w:rFonts w:ascii="Arial" w:cs="Arial" w:eastAsia="Arial" w:hAnsi="Arial"/>
          <w:color w:val="1A2340"/>
          <w:sz w:val="20"/>
          <w:szCs w:val="20"/>
        </w:rPr>
        <w:t xml:space="preserve">This policy shall be reviewed and updated:</w:t>
      </w:r>
    </w:p>
    <w:p>
      <w:pPr>
        <w:pStyle w:val="ListParagraph"/>
        <w:numPr>
          <w:ilvl w:val="0"/>
          <w:numId w:val="2"/>
        </w:numPr>
        <w:spacing w:after="80"/>
      </w:pPr>
      <w:r>
        <w:rPr>
          <w:rFonts w:ascii="Arial" w:cs="Arial" w:eastAsia="Arial" w:hAnsi="Arial"/>
          <w:color w:val="1A2340"/>
          <w:sz w:val="20"/>
          <w:szCs w:val="20"/>
        </w:rPr>
        <w:t xml:space="preserve">At least annually, as part of the organization's management review cycle.</w:t>
      </w:r>
    </w:p>
    <w:p>
      <w:pPr>
        <w:pStyle w:val="ListParagraph"/>
        <w:numPr>
          <w:ilvl w:val="0"/>
          <w:numId w:val="2"/>
        </w:numPr>
        <w:spacing w:after="80"/>
      </w:pPr>
      <w:r>
        <w:rPr>
          <w:rFonts w:ascii="Arial" w:cs="Arial" w:eastAsia="Arial" w:hAnsi="Arial"/>
          <w:color w:val="1A2340"/>
          <w:sz w:val="20"/>
          <w:szCs w:val="20"/>
        </w:rPr>
        <w:t xml:space="preserve">Following any material security incident that reveals a gap in policy coverage.</w:t>
      </w:r>
    </w:p>
    <w:p>
      <w:pPr>
        <w:pStyle w:val="ListParagraph"/>
        <w:numPr>
          <w:ilvl w:val="0"/>
          <w:numId w:val="2"/>
        </w:numPr>
        <w:spacing w:after="80"/>
      </w:pPr>
      <w:r>
        <w:rPr>
          <w:rFonts w:ascii="Arial" w:cs="Arial" w:eastAsia="Arial" w:hAnsi="Arial"/>
          <w:color w:val="1A2340"/>
          <w:sz w:val="20"/>
          <w:szCs w:val="20"/>
        </w:rPr>
        <w:t xml:space="preserve">Following any significant change to the regulatory environment, business operations, or threat landscape.</w:t>
      </w:r>
    </w:p>
    <w:p>
      <w:pPr>
        <w:pStyle w:val="ListParagraph"/>
        <w:numPr>
          <w:ilvl w:val="0"/>
          <w:numId w:val="2"/>
        </w:numPr>
        <w:spacing w:after="80"/>
      </w:pPr>
      <w:r>
        <w:rPr>
          <w:rFonts w:ascii="Arial" w:cs="Arial" w:eastAsia="Arial" w:hAnsi="Arial"/>
          <w:color w:val="1A2340"/>
          <w:sz w:val="20"/>
          <w:szCs w:val="20"/>
        </w:rPr>
        <w:t xml:space="preserve">When a subordinate policy review identifies a conflict or gap at the parent level.</w:t>
      </w:r>
    </w:p>
    <w:p>
      <w:pPr>
        <w:spacing w:after="120"/>
      </w:pPr>
      <w:r>
        <w:rPr>
          <w:rFonts w:ascii="Arial" w:cs="Arial" w:eastAsia="Arial" w:hAnsi="Arial"/>
          <w:color w:val="1A2340"/>
          <w:sz w:val="20"/>
          <w:szCs w:val="20"/>
        </w:rPr>
        <w:t xml:space="preserve">All changes to this policy require approval from the CISO/vCISO and Executive Leadership.</w:t>
      </w:r>
    </w:p>
    <w:p>
      <w:pPr>
        <w:spacing w:after="100"/>
      </w:pPr>
      <w:r>
        <w:t xml:space="preserve"/>
      </w:r>
    </w:p>
    <w:p>
      <w:pPr>
        <w:pStyle w:val="Heading2"/>
      </w:pPr>
      <w:r>
        <w:rPr>
          <w:rFonts w:ascii="Arial" w:cs="Arial" w:eastAsia="Arial" w:hAnsi="Arial"/>
          <w:b/>
          <w:bCs/>
          <w:color w:val="152168"/>
          <w:sz w:val="24"/>
          <w:szCs w:val="24"/>
        </w:rPr>
        <w:t xml:space="preserve">6.8 Compliance Monitoring</w:t>
      </w:r>
    </w:p>
    <w:p>
      <w:pPr>
        <w:pStyle w:val="ListParagraph"/>
        <w:numPr>
          <w:ilvl w:val="0"/>
          <w:numId w:val="2"/>
        </w:numPr>
        <w:spacing w:after="80"/>
      </w:pPr>
      <w:r>
        <w:rPr>
          <w:rFonts w:ascii="Arial" w:cs="Arial" w:eastAsia="Arial" w:hAnsi="Arial"/>
          <w:color w:val="1A2340"/>
          <w:sz w:val="20"/>
          <w:szCs w:val="20"/>
        </w:rPr>
        <w:t xml:space="preserve">The CISO/vCISO shall conduct or commission internal compliance reviews at least annually.</w:t>
      </w:r>
    </w:p>
    <w:p>
      <w:pPr>
        <w:pStyle w:val="ListParagraph"/>
        <w:numPr>
          <w:ilvl w:val="0"/>
          <w:numId w:val="2"/>
        </w:numPr>
        <w:spacing w:after="80"/>
      </w:pPr>
      <w:r>
        <w:rPr>
          <w:rFonts w:ascii="Arial" w:cs="Arial" w:eastAsia="Arial" w:hAnsi="Arial"/>
          <w:color w:val="1A2340"/>
          <w:sz w:val="20"/>
          <w:szCs w:val="20"/>
        </w:rPr>
        <w:t xml:space="preserve">The organization reserves the right to audit any individual or system for compliance with this policy.</w:t>
      </w:r>
    </w:p>
    <w:p>
      <w:pPr>
        <w:pStyle w:val="ListParagraph"/>
        <w:numPr>
          <w:ilvl w:val="0"/>
          <w:numId w:val="2"/>
        </w:numPr>
        <w:spacing w:after="80"/>
      </w:pPr>
      <w:r>
        <w:rPr>
          <w:rFonts w:ascii="Arial" w:cs="Arial" w:eastAsia="Arial" w:hAnsi="Arial"/>
          <w:color w:val="1A2340"/>
          <w:sz w:val="20"/>
          <w:szCs w:val="20"/>
        </w:rPr>
        <w:t xml:space="preserve">Non-compliance identified through monitoring or audit will result in a corrective action plan, with timelines and owners assigned.</w:t>
      </w:r>
    </w:p>
    <w:p>
      <w:pPr>
        <w:pStyle w:val="ListParagraph"/>
        <w:numPr>
          <w:ilvl w:val="0"/>
          <w:numId w:val="2"/>
        </w:numPr>
        <w:spacing w:after="80"/>
      </w:pPr>
      <w:r>
        <w:rPr>
          <w:rFonts w:ascii="Arial" w:cs="Arial" w:eastAsia="Arial" w:hAnsi="Arial"/>
          <w:color w:val="1A2340"/>
          <w:sz w:val="20"/>
          <w:szCs w:val="20"/>
        </w:rPr>
        <w:t xml:space="preserve">Material non-compliance will be escalated to Executive Leadership.</w:t>
      </w:r>
    </w:p>
    <w:p>
      <w:pPr>
        <w:spacing w:after="120"/>
      </w:pPr>
      <w:r>
        <w:t xml:space="preserve"/>
      </w:r>
    </w:p>
    <w:p>
      <w:pPr>
        <w:pStyle w:val="Heading1"/>
      </w:pPr>
      <w:r>
        <w:rPr>
          <w:rFonts w:ascii="Arial" w:cs="Arial" w:eastAsia="Arial" w:hAnsi="Arial"/>
          <w:b/>
          <w:bCs/>
          <w:color w:val="152168"/>
          <w:sz w:val="28"/>
          <w:szCs w:val="28"/>
        </w:rPr>
        <w:t xml:space="preserve">7. Enforcement</w:t>
      </w:r>
    </w:p>
    <w:p>
      <w:pPr>
        <w:spacing w:after="120"/>
      </w:pPr>
      <w:r>
        <w:rPr>
          <w:rFonts w:ascii="Arial" w:cs="Arial" w:eastAsia="Arial" w:hAnsi="Arial"/>
          <w:color w:val="1A2340"/>
          <w:sz w:val="20"/>
          <w:szCs w:val="20"/>
        </w:rPr>
        <w:t xml:space="preserve">Compliance with this policy and all subordinate security policies is mandatory. Violations will be addressed in accordance with the organization's Human Resources policies and applicable law. The severity of consequences is commensurate with the nature of the breach: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Breach Level</w:t>
            </w:r>
          </w:p>
        </w:tc>
        <w:tc>
          <w:tcPr>
            <w:tcW w:type="dxa" w:w="37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Examples</w:t>
            </w:r>
          </w:p>
        </w:tc>
        <w:tc>
          <w:tcPr>
            <w:tcW w:type="dxa" w:w="34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Consequences</w:t>
            </w:r>
          </w:p>
        </w:tc>
      </w:tr>
      <w:tr>
        <w:tc>
          <w:tcPr>
            <w:tcW w:type="dxa" w:w="2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Minor Breach</w:t>
            </w:r>
          </w:p>
        </w:tc>
        <w:tc>
          <w:tcPr>
            <w:tcW w:type="dxa" w:w="3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First-time accidental policy violation; failure to complete training on time; inadvertent sharing of non-sensitive information.</w:t>
            </w:r>
          </w:p>
        </w:tc>
        <w:tc>
          <w:tcPr>
            <w:tcW w:type="dxa" w:w="3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Verbal or written warning; mandatory remedial training; corrective action plan.</w:t>
            </w:r>
          </w:p>
        </w:tc>
      </w:tr>
      <w:tr>
        <w:tc>
          <w:tcPr>
            <w:tcW w:type="dxa" w:w="2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Serious Breach</w:t>
            </w:r>
          </w:p>
        </w:tc>
        <w:tc>
          <w:tcPr>
            <w:tcW w:type="dxa" w:w="3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Repeated policy violations; deliberate circumvention of a security control; sharing credentials with a colleague; failure to report a known incident.</w:t>
            </w:r>
          </w:p>
        </w:tc>
        <w:tc>
          <w:tcPr>
            <w:tcW w:type="dxa" w:w="3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Formal written warning; suspension of system access privileges; mandatory review with HR and management.</w:t>
            </w:r>
          </w:p>
        </w:tc>
      </w:tr>
      <w:tr>
        <w:tc>
          <w:tcPr>
            <w:tcW w:type="dxa" w:w="2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Gross Misconduct</w:t>
            </w:r>
          </w:p>
        </w:tc>
        <w:tc>
          <w:tcPr>
            <w:tcW w:type="dxa" w:w="3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Deliberate disclosure of confidential information; accessing systems without authorization; sabotage of security controls; actions that result in a data breach.</w:t>
            </w:r>
          </w:p>
        </w:tc>
        <w:tc>
          <w:tcPr>
            <w:tcW w:type="dxa" w:w="3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Immediate suspension of access; potential termination of employment or contract; referral to legal authorities where warranted.</w:t>
            </w:r>
          </w:p>
        </w:tc>
      </w:tr>
    </w:tbl>
    <w:p>
      <w:pPr>
        <w:spacing w:after="120"/>
      </w:pPr>
      <w:r>
        <w:rPr>
          <w:rFonts w:ascii="Arial" w:cs="Arial" w:eastAsia="Arial" w:hAnsi="Arial"/>
          <w:color w:val="1A2340"/>
          <w:sz w:val="20"/>
          <w:szCs w:val="20"/>
        </w:rPr>
        <w:t xml:space="preserve">Nothing in this section limits the organization's right to pursue civil or criminal remedies for security violations.</w:t>
      </w:r>
    </w:p>
    <w:p>
      <w:pPr>
        <w:spacing w:after="120"/>
      </w:pPr>
      <w:r>
        <w:t xml:space="preserve"/>
      </w:r>
    </w:p>
    <w:p>
      <w:pPr>
        <w:pStyle w:val="Heading1"/>
      </w:pPr>
      <w:r>
        <w:rPr>
          <w:rFonts w:ascii="Arial" w:cs="Arial" w:eastAsia="Arial" w:hAnsi="Arial"/>
          <w:b/>
          <w:bCs/>
          <w:color w:val="152168"/>
          <w:sz w:val="28"/>
          <w:szCs w:val="28"/>
        </w:rPr>
        <w:t xml:space="preserve">8. Related Documents</w:t>
      </w:r>
    </w:p>
    <w:p>
      <w:pPr>
        <w:spacing w:after="120"/>
      </w:pPr>
      <w:r>
        <w:rPr>
          <w:rFonts w:ascii="Arial" w:cs="Arial" w:eastAsia="Arial" w:hAnsi="Arial"/>
          <w:color w:val="1A2340"/>
          <w:sz w:val="20"/>
          <w:szCs w:val="20"/>
        </w:rPr>
        <w:t xml:space="preserve">This policy is the parent document for the following domain-specific security policies. All personnel subject to this policy should be aware of the subordinate policies relevant to their role:</w:t>
      </w:r>
    </w:p>
    <w:p>
      <w:pPr>
        <w:spacing w:after="80"/>
      </w:pPr>
      <w:r>
        <w:t xml:space="preserve"/>
      </w:r>
    </w:p>
    <w:p>
      <w:pPr>
        <w:pStyle w:val="ListParagraph"/>
        <w:numPr>
          <w:ilvl w:val="0"/>
          <w:numId w:val="2"/>
        </w:numPr>
        <w:spacing w:after="80"/>
      </w:pPr>
      <w:r>
        <w:rPr>
          <w:rFonts w:ascii="Arial" w:cs="Arial" w:eastAsia="Arial" w:hAnsi="Arial"/>
          <w:color w:val="1A2340"/>
          <w:sz w:val="20"/>
          <w:szCs w:val="20"/>
        </w:rPr>
        <w:t xml:space="preserve">Access Control Policy</w:t>
      </w:r>
    </w:p>
    <w:p>
      <w:pPr>
        <w:pStyle w:val="ListParagraph"/>
        <w:numPr>
          <w:ilvl w:val="0"/>
          <w:numId w:val="2"/>
        </w:numPr>
        <w:spacing w:after="80"/>
      </w:pPr>
      <w:r>
        <w:rPr>
          <w:rFonts w:ascii="Arial" w:cs="Arial" w:eastAsia="Arial" w:hAnsi="Arial"/>
          <w:color w:val="1A2340"/>
          <w:sz w:val="20"/>
          <w:szCs w:val="20"/>
        </w:rPr>
        <w:t xml:space="preserve">Acceptable Use Policy</w:t>
      </w:r>
    </w:p>
    <w:p>
      <w:pPr>
        <w:pStyle w:val="ListParagraph"/>
        <w:numPr>
          <w:ilvl w:val="0"/>
          <w:numId w:val="2"/>
        </w:numPr>
        <w:spacing w:after="80"/>
      </w:pPr>
      <w:r>
        <w:rPr>
          <w:rFonts w:ascii="Arial" w:cs="Arial" w:eastAsia="Arial" w:hAnsi="Arial"/>
          <w:color w:val="1A2340"/>
          <w:sz w:val="20"/>
          <w:szCs w:val="20"/>
        </w:rPr>
        <w:t xml:space="preserve">Data Classification Policy</w:t>
      </w:r>
    </w:p>
    <w:p>
      <w:pPr>
        <w:pStyle w:val="ListParagraph"/>
        <w:numPr>
          <w:ilvl w:val="0"/>
          <w:numId w:val="2"/>
        </w:numPr>
        <w:spacing w:after="80"/>
      </w:pPr>
      <w:r>
        <w:rPr>
          <w:rFonts w:ascii="Arial" w:cs="Arial" w:eastAsia="Arial" w:hAnsi="Arial"/>
          <w:color w:val="1A2340"/>
          <w:sz w:val="20"/>
          <w:szCs w:val="20"/>
        </w:rPr>
        <w:t xml:space="preserve">Incident Response Policy</w:t>
      </w:r>
    </w:p>
    <w:p>
      <w:pPr>
        <w:pStyle w:val="ListParagraph"/>
        <w:numPr>
          <w:ilvl w:val="0"/>
          <w:numId w:val="2"/>
        </w:numPr>
        <w:spacing w:after="80"/>
      </w:pPr>
      <w:r>
        <w:rPr>
          <w:rFonts w:ascii="Arial" w:cs="Arial" w:eastAsia="Arial" w:hAnsi="Arial"/>
          <w:color w:val="1A2340"/>
          <w:sz w:val="20"/>
          <w:szCs w:val="20"/>
        </w:rPr>
        <w:t xml:space="preserve">Business Continuity and Disaster Recovery Policy</w:t>
      </w:r>
    </w:p>
    <w:p>
      <w:pPr>
        <w:pStyle w:val="ListParagraph"/>
        <w:numPr>
          <w:ilvl w:val="0"/>
          <w:numId w:val="2"/>
        </w:numPr>
        <w:spacing w:after="80"/>
      </w:pPr>
      <w:r>
        <w:rPr>
          <w:rFonts w:ascii="Arial" w:cs="Arial" w:eastAsia="Arial" w:hAnsi="Arial"/>
          <w:color w:val="1A2340"/>
          <w:sz w:val="20"/>
          <w:szCs w:val="20"/>
        </w:rPr>
        <w:t xml:space="preserve">Vendor and Third-Party Management Policy</w:t>
      </w:r>
    </w:p>
    <w:p>
      <w:pPr>
        <w:pStyle w:val="ListParagraph"/>
        <w:numPr>
          <w:ilvl w:val="0"/>
          <w:numId w:val="2"/>
        </w:numPr>
        <w:spacing w:after="80"/>
      </w:pPr>
      <w:r>
        <w:rPr>
          <w:rFonts w:ascii="Arial" w:cs="Arial" w:eastAsia="Arial" w:hAnsi="Arial"/>
          <w:color w:val="1A2340"/>
          <w:sz w:val="20"/>
          <w:szCs w:val="20"/>
        </w:rPr>
        <w:t xml:space="preserve">Vulnerability Management Policy</w:t>
      </w:r>
    </w:p>
    <w:p>
      <w:pPr>
        <w:pStyle w:val="ListParagraph"/>
        <w:numPr>
          <w:ilvl w:val="0"/>
          <w:numId w:val="2"/>
        </w:numPr>
        <w:spacing w:after="80"/>
      </w:pPr>
      <w:r>
        <w:rPr>
          <w:rFonts w:ascii="Arial" w:cs="Arial" w:eastAsia="Arial" w:hAnsi="Arial"/>
          <w:color w:val="1A2340"/>
          <w:sz w:val="20"/>
          <w:szCs w:val="20"/>
        </w:rPr>
        <w:t xml:space="preserve">Password and Authentication Policy</w:t>
      </w:r>
    </w:p>
    <w:p>
      <w:pPr>
        <w:pStyle w:val="ListParagraph"/>
        <w:numPr>
          <w:ilvl w:val="0"/>
          <w:numId w:val="2"/>
        </w:numPr>
        <w:spacing w:after="80"/>
      </w:pPr>
      <w:r>
        <w:rPr>
          <w:rFonts w:ascii="Arial" w:cs="Arial" w:eastAsia="Arial" w:hAnsi="Arial"/>
          <w:color w:val="1A2340"/>
          <w:sz w:val="20"/>
          <w:szCs w:val="20"/>
        </w:rPr>
        <w:t xml:space="preserve">Physical Security Policy</w:t>
      </w:r>
    </w:p>
    <w:p>
      <w:pPr>
        <w:pStyle w:val="ListParagraph"/>
        <w:numPr>
          <w:ilvl w:val="0"/>
          <w:numId w:val="2"/>
        </w:numPr>
        <w:spacing w:after="80"/>
      </w:pPr>
      <w:r>
        <w:rPr>
          <w:rFonts w:ascii="Arial" w:cs="Arial" w:eastAsia="Arial" w:hAnsi="Arial"/>
          <w:color w:val="1A2340"/>
          <w:sz w:val="20"/>
          <w:szCs w:val="20"/>
        </w:rPr>
        <w:t xml:space="preserve">Data Retention and Disposal Policy</w:t>
      </w:r>
    </w:p>
    <w:p>
      <w:pPr>
        <w:spacing w:after="120"/>
      </w:pPr>
      <w:r>
        <w:t xml:space="preserve"/>
      </w:r>
    </w:p>
    <w:p>
      <w:pPr>
        <w:pStyle w:val="Heading1"/>
      </w:pPr>
      <w:r>
        <w:rPr>
          <w:rFonts w:ascii="Arial" w:cs="Arial" w:eastAsia="Arial" w:hAnsi="Arial"/>
          <w:b/>
          <w:bCs/>
          <w:color w:val="152168"/>
          <w:sz w:val="28"/>
          <w:szCs w:val="28"/>
        </w:rPr>
        <w:t xml:space="preserve">9.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960"/>
        <w:gridCol w:w="1600"/>
      </w:tblGrid>
      <w:tr>
        <w:trPr>
          <w:tblHeader/>
        </w:trPr>
        <w:tc>
          <w:tcPr>
            <w:tcW w:type="dxa" w:w="16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20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c>
          <w:tcPr>
            <w:tcW w:type="dxa" w:w="2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Author</w:t>
            </w:r>
          </w:p>
        </w:tc>
        <w:tc>
          <w:tcPr>
            <w:tcW w:type="dxa" w:w="19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Approved By</w:t>
            </w:r>
          </w:p>
        </w:tc>
        <w:tc>
          <w:tcPr>
            <w:tcW w:type="dxa" w:w="16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Changes</w:t>
            </w:r>
          </w:p>
        </w:tc>
      </w:tr>
      <w:tr>
        <w:tc>
          <w:tcPr>
            <w:tcW w:type="dxa" w:w="1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1.0</w:t>
            </w:r>
          </w:p>
        </w:tc>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[DATE]</w:t>
            </w:r>
          </w:p>
        </w:tc>
        <w:tc>
          <w:tcPr>
            <w:tcW w:type="dxa" w:w="2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[AUTHOR]</w:t>
            </w:r>
          </w:p>
        </w:tc>
        <w:tc>
          <w:tcPr>
            <w:tcW w:type="dxa" w:w="19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[APPROVER]</w:t>
            </w:r>
          </w:p>
        </w:tc>
        <w:tc>
          <w:tcPr>
            <w:tcW w:type="dxa" w:w="1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Initial release</w:t>
            </w:r>
          </w:p>
        </w:tc>
      </w:tr>
    </w:tbl>
    <w:p>
      <w:pPr>
        <w:spacing w:after="120"/>
      </w:pPr>
      <w:r>
        <w:t xml:space="preserve"/>
      </w:r>
    </w:p>
    <w:p>
      <w:pPr>
        <w:pStyle w:val="Heading1"/>
        <w:pageBreakBefore/>
      </w:pPr>
      <w:r>
        <w:rPr>
          <w:rFonts w:ascii="Arial" w:cs="Arial" w:eastAsia="Arial" w:hAnsi="Arial"/>
          <w:b/>
          <w:bCs/>
          <w:color w:val="152168"/>
          <w:sz w:val="28"/>
          <w:szCs w:val="28"/>
        </w:rPr>
        <w:t xml:space="preserve">Appendix A: Information Security Policy Hierarchy</w:t>
      </w:r>
    </w:p>
    <w:p>
      <w:pPr>
        <w:spacing w:after="120"/>
      </w:pPr>
      <w:r>
        <w:rPr>
          <w:rFonts w:ascii="Arial" w:cs="Arial" w:eastAsia="Arial" w:hAnsi="Arial"/>
          <w:color w:val="1A2340"/>
          <w:sz w:val="20"/>
          <w:szCs w:val="20"/>
        </w:rPr>
        <w:t xml:space="preserve">The following table lists all security policies subordinate to this Information Security Policy, including their domain, owner, and review schedule. Policies are organized by security domain.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160"/>
        <w:gridCol w:w="1560"/>
        <w:gridCol w:w="840"/>
      </w:tblGrid>
      <w:tr>
        <w:trPr>
          <w:tblHeader/>
        </w:trPr>
        <w:tc>
          <w:tcPr>
            <w:tcW w:type="dxa" w:w="30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Policy Name</w:t>
            </w:r>
          </w:p>
        </w:tc>
        <w:tc>
          <w:tcPr>
            <w:tcW w:type="dxa" w:w="18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Domain</w:t>
            </w:r>
          </w:p>
        </w:tc>
        <w:tc>
          <w:tcPr>
            <w:tcW w:type="dxa" w:w="21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1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Review Cycle</w:t>
            </w:r>
          </w:p>
        </w:tc>
        <w:tc>
          <w:tcPr>
            <w:tcW w:type="dxa" w:w="8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Access Control Policy</w:t>
            </w:r>
          </w:p>
        </w:tc>
        <w:tc>
          <w:tcPr>
            <w:tcW w:type="dxa" w:w="1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Access Management</w:t>
            </w:r>
          </w:p>
        </w:tc>
        <w:tc>
          <w:tcPr>
            <w:tcW w:type="dxa" w:w="2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CISO / vCISO</w:t>
            </w:r>
          </w:p>
        </w:tc>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Annual</w:t>
            </w:r>
          </w:p>
        </w:tc>
        <w:tc>
          <w:tcPr>
            <w:tcW w:type="dxa" w:w="8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Active</w:t>
            </w:r>
          </w:p>
        </w:tc>
      </w:tr>
      <w:tr>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Acceptable Use Policy</w:t>
            </w:r>
          </w:p>
        </w:tc>
        <w:tc>
          <w:tcPr>
            <w:tcW w:type="dxa" w:w="1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Personnel Security</w:t>
            </w:r>
          </w:p>
        </w:tc>
        <w:tc>
          <w:tcPr>
            <w:tcW w:type="dxa" w:w="2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CISO / vCISO</w:t>
            </w:r>
          </w:p>
        </w:tc>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Annual</w:t>
            </w:r>
          </w:p>
        </w:tc>
        <w:tc>
          <w:tcPr>
            <w:tcW w:type="dxa" w:w="8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Active</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Data Classification Policy</w:t>
            </w:r>
          </w:p>
        </w:tc>
        <w:tc>
          <w:tcPr>
            <w:tcW w:type="dxa" w:w="1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Information Mgmt</w:t>
            </w:r>
          </w:p>
        </w:tc>
        <w:tc>
          <w:tcPr>
            <w:tcW w:type="dxa" w:w="2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CISO / vCISO</w:t>
            </w:r>
          </w:p>
        </w:tc>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Annual</w:t>
            </w:r>
          </w:p>
        </w:tc>
        <w:tc>
          <w:tcPr>
            <w:tcW w:type="dxa" w:w="8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Active</w:t>
            </w:r>
          </w:p>
        </w:tc>
      </w:tr>
      <w:tr>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Incident Response Policy</w:t>
            </w:r>
          </w:p>
        </w:tc>
        <w:tc>
          <w:tcPr>
            <w:tcW w:type="dxa" w:w="1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Incident Management</w:t>
            </w:r>
          </w:p>
        </w:tc>
        <w:tc>
          <w:tcPr>
            <w:tcW w:type="dxa" w:w="2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CISO / vCISO</w:t>
            </w:r>
          </w:p>
        </w:tc>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Annual</w:t>
            </w:r>
          </w:p>
        </w:tc>
        <w:tc>
          <w:tcPr>
            <w:tcW w:type="dxa" w:w="8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Active</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Business Continuity Policy</w:t>
            </w:r>
          </w:p>
        </w:tc>
        <w:tc>
          <w:tcPr>
            <w:tcW w:type="dxa" w:w="1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Resilience</w:t>
            </w:r>
          </w:p>
        </w:tc>
        <w:tc>
          <w:tcPr>
            <w:tcW w:type="dxa" w:w="2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CISO / vCISO</w:t>
            </w:r>
          </w:p>
        </w:tc>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Annual</w:t>
            </w:r>
          </w:p>
        </w:tc>
        <w:tc>
          <w:tcPr>
            <w:tcW w:type="dxa" w:w="8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Active</w:t>
            </w:r>
          </w:p>
        </w:tc>
      </w:tr>
      <w:tr>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Vendor Management Policy</w:t>
            </w:r>
          </w:p>
        </w:tc>
        <w:tc>
          <w:tcPr>
            <w:tcW w:type="dxa" w:w="1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Third-Party Risk</w:t>
            </w:r>
          </w:p>
        </w:tc>
        <w:tc>
          <w:tcPr>
            <w:tcW w:type="dxa" w:w="2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CISO / vCISO</w:t>
            </w:r>
          </w:p>
        </w:tc>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Annual</w:t>
            </w:r>
          </w:p>
        </w:tc>
        <w:tc>
          <w:tcPr>
            <w:tcW w:type="dxa" w:w="8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Active</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Vulnerability Management Policy</w:t>
            </w:r>
          </w:p>
        </w:tc>
        <w:tc>
          <w:tcPr>
            <w:tcW w:type="dxa" w:w="1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Technical Controls</w:t>
            </w:r>
          </w:p>
        </w:tc>
        <w:tc>
          <w:tcPr>
            <w:tcW w:type="dxa" w:w="2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IT / System Admin</w:t>
            </w:r>
          </w:p>
        </w:tc>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Annual</w:t>
            </w:r>
          </w:p>
        </w:tc>
        <w:tc>
          <w:tcPr>
            <w:tcW w:type="dxa" w:w="8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Active</w:t>
            </w:r>
          </w:p>
        </w:tc>
      </w:tr>
      <w:tr>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Password and Authentication Policy</w:t>
            </w:r>
          </w:p>
        </w:tc>
        <w:tc>
          <w:tcPr>
            <w:tcW w:type="dxa" w:w="1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Access Management</w:t>
            </w:r>
          </w:p>
        </w:tc>
        <w:tc>
          <w:tcPr>
            <w:tcW w:type="dxa" w:w="2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IT / System Admin</w:t>
            </w:r>
          </w:p>
        </w:tc>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Annual</w:t>
            </w:r>
          </w:p>
        </w:tc>
        <w:tc>
          <w:tcPr>
            <w:tcW w:type="dxa" w:w="8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Active</w:t>
            </w:r>
          </w:p>
        </w:tc>
      </w:tr>
      <w:tr>
        <w:tc>
          <w:tcPr>
            <w:tcW w:type="dxa" w:w="3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Physical Security Policy</w:t>
            </w:r>
          </w:p>
        </w:tc>
        <w:tc>
          <w:tcPr>
            <w:tcW w:type="dxa" w:w="1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Physical Controls</w:t>
            </w:r>
          </w:p>
        </w:tc>
        <w:tc>
          <w:tcPr>
            <w:tcW w:type="dxa" w:w="2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Facilities Manager</w:t>
            </w:r>
          </w:p>
        </w:tc>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Annual</w:t>
            </w:r>
          </w:p>
        </w:tc>
        <w:tc>
          <w:tcPr>
            <w:tcW w:type="dxa" w:w="8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Active</w:t>
            </w:r>
          </w:p>
        </w:tc>
      </w:tr>
      <w:tr>
        <w:tc>
          <w:tcPr>
            <w:tcW w:type="dxa" w:w="30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Data Retention and Disposal Policy</w:t>
            </w:r>
          </w:p>
        </w:tc>
        <w:tc>
          <w:tcPr>
            <w:tcW w:type="dxa" w:w="1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Information Mgmt</w:t>
            </w:r>
          </w:p>
        </w:tc>
        <w:tc>
          <w:tcPr>
            <w:tcW w:type="dxa" w:w="2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CISO / vCISO</w:t>
            </w:r>
          </w:p>
        </w:tc>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Annual</w:t>
            </w:r>
          </w:p>
        </w:tc>
        <w:tc>
          <w:tcPr>
            <w:tcW w:type="dxa" w:w="8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Active</w:t>
            </w:r>
          </w:p>
        </w:tc>
      </w:tr>
    </w:tbl>
    <w:p>
      <w:pPr>
        <w:spacing w:after="120"/>
      </w:pPr>
      <w:r>
        <w:t xml:space="preserve"/>
      </w:r>
    </w:p>
    <w:p>
      <w:pPr>
        <w:pStyle w:val="Heading1"/>
        <w:pageBreakBefore/>
      </w:pPr>
      <w:r>
        <w:rPr>
          <w:rFonts w:ascii="Arial" w:cs="Arial" w:eastAsia="Arial" w:hAnsi="Arial"/>
          <w:b/>
          <w:bCs/>
          <w:color w:val="152168"/>
          <w:sz w:val="28"/>
          <w:szCs w:val="28"/>
        </w:rPr>
        <w:t xml:space="preserve">Appendix B: Regulatory Obligation Summary</w:t>
      </w:r>
    </w:p>
    <w:p>
      <w:pPr>
        <w:spacing w:after="120"/>
      </w:pPr>
      <w:r>
        <w:rPr>
          <w:rFonts w:ascii="Arial" w:cs="Arial" w:eastAsia="Arial" w:hAnsi="Arial"/>
          <w:color w:val="1A2340"/>
          <w:sz w:val="20"/>
          <w:szCs w:val="20"/>
        </w:rPr>
        <w:t xml:space="preserve">This appendix provides an expanded summary of the regulatory obligations referenced in Section 6.4. Organizations must confirm applicability based on their specific operations, client base, and data handling practices.</w:t>
      </w:r>
    </w:p>
    <w:p>
      <w:pPr>
        <w:spacing w:after="80"/>
      </w:pPr>
      <w:r>
        <w:t xml:space="preserve"/>
      </w:r>
    </w:p>
    <w:p>
      <w:pPr>
        <w:pStyle w:val="Heading2"/>
      </w:pPr>
      <w:r>
        <w:rPr>
          <w:rFonts w:ascii="Arial" w:cs="Arial" w:eastAsia="Arial" w:hAnsi="Arial"/>
          <w:b/>
          <w:bCs/>
          <w:color w:val="152168"/>
          <w:sz w:val="24"/>
          <w:szCs w:val="24"/>
        </w:rPr>
        <w:t xml:space="preserve">PIPEDA — Personal Information Protection and Electronic Documents Act</w:t>
      </w:r>
    </w:p>
    <w:p>
      <w:pPr>
        <w:spacing w:after="120"/>
      </w:pPr>
      <w:r>
        <w:rPr>
          <w:rFonts w:ascii="Arial" w:cs="Arial" w:eastAsia="Arial" w:hAnsi="Arial"/>
          <w:color w:val="1A2340"/>
          <w:sz w:val="20"/>
          <w:szCs w:val="20"/>
        </w:rPr>
        <w:t xml:space="preserve">Jurisdiction: Canada (federal). Applicability: Organizations engaged in commercial activities involving personal information. Key requirements: meaningful consent, purpose limitation, data minimization, breach notification to the Office of the Privacy Commissioner (OPC), and individual access rights. Penalty: up to $100,000 CAD per violation.</w:t>
      </w:r>
    </w:p>
    <w:p>
      <w:pPr>
        <w:spacing w:after="80"/>
      </w:pPr>
      <w:r>
        <w:t xml:space="preserve"/>
      </w:r>
    </w:p>
    <w:p>
      <w:pPr>
        <w:pStyle w:val="Heading2"/>
      </w:pPr>
      <w:r>
        <w:rPr>
          <w:rFonts w:ascii="Arial" w:cs="Arial" w:eastAsia="Arial" w:hAnsi="Arial"/>
          <w:b/>
          <w:bCs/>
          <w:color w:val="152168"/>
          <w:sz w:val="24"/>
          <w:szCs w:val="24"/>
        </w:rPr>
        <w:t xml:space="preserve">BC PIPA — Personal Information Protection Act</w:t>
      </w:r>
    </w:p>
    <w:p>
      <w:pPr>
        <w:spacing w:after="120"/>
      </w:pPr>
      <w:r>
        <w:rPr>
          <w:rFonts w:ascii="Arial" w:cs="Arial" w:eastAsia="Arial" w:hAnsi="Arial"/>
          <w:color w:val="1A2340"/>
          <w:sz w:val="20"/>
          <w:szCs w:val="20"/>
        </w:rPr>
        <w:t xml:space="preserve">Jurisdiction: British Columbia, Canada. Applicability: Private-sector organizations in BC. Note: BC PIPA is substantially similar to PIPEDA but applies specifically to organizations operating in BC and may impose additional obligations for BC residents' data.</w:t>
      </w:r>
    </w:p>
    <w:p>
      <w:pPr>
        <w:spacing w:after="80"/>
      </w:pPr>
      <w:r>
        <w:t xml:space="preserve"/>
      </w:r>
    </w:p>
    <w:p>
      <w:pPr>
        <w:pStyle w:val="Heading2"/>
      </w:pPr>
      <w:r>
        <w:rPr>
          <w:rFonts w:ascii="Arial" w:cs="Arial" w:eastAsia="Arial" w:hAnsi="Arial"/>
          <w:b/>
          <w:bCs/>
          <w:color w:val="152168"/>
          <w:sz w:val="24"/>
          <w:szCs w:val="24"/>
        </w:rPr>
        <w:t xml:space="preserve">GDPR — General Data Protection Regulation</w:t>
      </w:r>
    </w:p>
    <w:p>
      <w:pPr>
        <w:spacing w:after="120"/>
      </w:pPr>
      <w:r>
        <w:rPr>
          <w:rFonts w:ascii="Arial" w:cs="Arial" w:eastAsia="Arial" w:hAnsi="Arial"/>
          <w:color w:val="1A2340"/>
          <w:sz w:val="20"/>
          <w:szCs w:val="20"/>
        </w:rPr>
        <w:t xml:space="preserve">Jurisdiction: European Union and United Kingdom. Applicability: Any organization processing personal data of EU/UK residents, regardless of where the organization is located. Key requirements: lawful basis for processing, data subject rights (access, erasure, portability), 72-hour breach notification to supervisory authority, Data Protection Impact Assessments (DPIA). Penalty: up to EUR 20 million or 4% of global annual turnover, whichever is higher.</w:t>
      </w:r>
    </w:p>
    <w:p>
      <w:pPr>
        <w:spacing w:after="80"/>
      </w:pPr>
      <w:r>
        <w:t xml:space="preserve"/>
      </w:r>
    </w:p>
    <w:p>
      <w:pPr>
        <w:pStyle w:val="Heading2"/>
      </w:pPr>
      <w:r>
        <w:rPr>
          <w:rFonts w:ascii="Arial" w:cs="Arial" w:eastAsia="Arial" w:hAnsi="Arial"/>
          <w:b/>
          <w:bCs/>
          <w:color w:val="152168"/>
          <w:sz w:val="24"/>
          <w:szCs w:val="24"/>
        </w:rPr>
        <w:t xml:space="preserve">PCI DSS — Payment Card Industry Data Security Standard</w:t>
      </w:r>
    </w:p>
    <w:p>
      <w:pPr>
        <w:spacing w:after="120"/>
      </w:pPr>
      <w:r>
        <w:rPr>
          <w:rFonts w:ascii="Arial" w:cs="Arial" w:eastAsia="Arial" w:hAnsi="Arial"/>
          <w:color w:val="1A2340"/>
          <w:sz w:val="20"/>
          <w:szCs w:val="20"/>
        </w:rPr>
        <w:t xml:space="preserve">Applicability: Any organization that processes, stores, or transmits payment card data. Key requirements: network segmentation, encryption of cardholder data, access control, vulnerability scanning, penetration testing, and annual assessment (or quarterly scans). Applicability level depends on transaction volume.</w:t>
      </w:r>
    </w:p>
    <w:p>
      <w:pPr>
        <w:spacing w:after="80"/>
      </w:pPr>
      <w:r>
        <w:t xml:space="preserve"/>
      </w:r>
    </w:p>
    <w:p>
      <w:pPr>
        <w:pStyle w:val="Heading2"/>
      </w:pPr>
      <w:r>
        <w:rPr>
          <w:rFonts w:ascii="Arial" w:cs="Arial" w:eastAsia="Arial" w:hAnsi="Arial"/>
          <w:b/>
          <w:bCs/>
          <w:color w:val="152168"/>
          <w:sz w:val="24"/>
          <w:szCs w:val="24"/>
        </w:rPr>
        <w:t xml:space="preserve">HIPAA — Health Insurance Portability and Accountability Act</w:t>
      </w:r>
    </w:p>
    <w:p>
      <w:pPr>
        <w:spacing w:after="120"/>
      </w:pPr>
      <w:r>
        <w:rPr>
          <w:rFonts w:ascii="Arial" w:cs="Arial" w:eastAsia="Arial" w:hAnsi="Arial"/>
          <w:color w:val="1A2340"/>
          <w:sz w:val="20"/>
          <w:szCs w:val="20"/>
        </w:rPr>
        <w:t xml:space="preserve">Jurisdiction: United States. Applicability: Covered entities and their business associates processing protected health information (PHI). Key requirements: privacy rule, security rule (administrative, physical, technical safeguards), breach notification rule. Note: May apply to Canadian organizations providing services to US-based healthcare clients.</w:t>
      </w:r>
    </w:p>
    <w:p>
      <w:pPr>
        <w:spacing w:after="120"/>
      </w:pPr>
      <w:r>
        <w:t xml:space="preserve"/>
      </w:r>
    </w:p>
    <w:p>
      <w:pPr>
        <w:pStyle w:val="Heading1"/>
        <w:pageBreakBefore/>
      </w:pPr>
      <w:r>
        <w:rPr>
          <w:rFonts w:ascii="Arial" w:cs="Arial" w:eastAsia="Arial" w:hAnsi="Arial"/>
          <w:b/>
          <w:bCs/>
          <w:color w:val="152168"/>
          <w:sz w:val="28"/>
          <w:szCs w:val="28"/>
        </w:rPr>
        <w:t xml:space="preserve">Appendix C: Security Baseline Checklist</w:t>
      </w:r>
    </w:p>
    <w:p>
      <w:pPr>
        <w:spacing w:after="120"/>
      </w:pPr>
      <w:r>
        <w:rPr>
          <w:rFonts w:ascii="Arial" w:cs="Arial" w:eastAsia="Arial" w:hAnsi="Arial"/>
          <w:color w:val="1A2340"/>
          <w:sz w:val="20"/>
          <w:szCs w:val="20"/>
        </w:rPr>
        <w:t xml:space="preserve">This checklist provides a printable reference for the minimum security controls required under Section 6.5 of this policy. It may be used for self-assessments, onboarding reviews, or periodic compliance checks.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800"/>
        <w:gridCol w:w="2400"/>
        <w:gridCol w:w="1600"/>
      </w:tblGrid>
      <w:tr>
        <w:trPr>
          <w:tblHeader/>
        </w:trPr>
        <w:tc>
          <w:tcPr>
            <w:tcW w:type="dxa" w:w="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48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Control Requirement</w:t>
            </w:r>
          </w:p>
        </w:tc>
        <w:tc>
          <w:tcPr>
            <w:tcW w:type="dxa" w:w="24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Responsible Party</w:t>
            </w:r>
          </w:p>
        </w:tc>
        <w:tc>
          <w:tcPr>
            <w:tcW w:type="dxa" w:w="16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Verified By / Date</w:t>
            </w:r>
          </w:p>
        </w:tc>
      </w:tr>
      <w:tr>
        <w:tc>
          <w:tcPr>
            <w:tcW w:type="dxa" w:w="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1</w:t>
            </w:r>
          </w:p>
        </w:tc>
        <w:tc>
          <w:tcPr>
            <w:tcW w:type="dxa" w:w="4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Multi-Factor Authentication (MFA) is enabled for all remote access and all privileged accounts.</w:t>
            </w:r>
          </w:p>
        </w:tc>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IT / System Admin</w:t>
            </w:r>
          </w:p>
        </w:tc>
        <w:tc>
          <w:tcPr>
            <w:tcW w:type="dxa" w:w="1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
            </w:r>
          </w:p>
        </w:tc>
      </w:tr>
      <w:tr>
        <w:tc>
          <w:tcPr>
            <w:tcW w:type="dxa" w:w="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2</w:t>
            </w:r>
          </w:p>
        </w:tc>
        <w:tc>
          <w:tcPr>
            <w:tcW w:type="dxa" w:w="4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All sensitive data at rest is encrypted using AES-256 or equivalent.</w:t>
            </w:r>
          </w:p>
        </w:tc>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IT / System Admin</w:t>
            </w:r>
          </w:p>
        </w:tc>
        <w:tc>
          <w:tcPr>
            <w:tcW w:type="dxa" w:w="1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
            </w:r>
          </w:p>
        </w:tc>
      </w:tr>
      <w:tr>
        <w:tc>
          <w:tcPr>
            <w:tcW w:type="dxa" w:w="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3</w:t>
            </w:r>
          </w:p>
        </w:tc>
        <w:tc>
          <w:tcPr>
            <w:tcW w:type="dxa" w:w="4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All data in transit over public or untrusted networks is encrypted using TLS 1.2 or higher.</w:t>
            </w:r>
          </w:p>
        </w:tc>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IT / System Admin</w:t>
            </w:r>
          </w:p>
        </w:tc>
        <w:tc>
          <w:tcPr>
            <w:tcW w:type="dxa" w:w="1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
            </w:r>
          </w:p>
        </w:tc>
      </w:tr>
      <w:tr>
        <w:tc>
          <w:tcPr>
            <w:tcW w:type="dxa" w:w="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4</w:t>
            </w:r>
          </w:p>
        </w:tc>
        <w:tc>
          <w:tcPr>
            <w:tcW w:type="dxa" w:w="4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All personnel have completed security awareness training in the current calendar year.</w:t>
            </w:r>
          </w:p>
        </w:tc>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HR / Department Managers</w:t>
            </w:r>
          </w:p>
        </w:tc>
        <w:tc>
          <w:tcPr>
            <w:tcW w:type="dxa" w:w="1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
            </w:r>
          </w:p>
        </w:tc>
      </w:tr>
      <w:tr>
        <w:tc>
          <w:tcPr>
            <w:tcW w:type="dxa" w:w="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5</w:t>
            </w:r>
          </w:p>
        </w:tc>
        <w:tc>
          <w:tcPr>
            <w:tcW w:type="dxa" w:w="4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Critical and high security patches are applied within defined timelines per the Vulnerability Management Policy.</w:t>
            </w:r>
          </w:p>
        </w:tc>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IT / System Admin</w:t>
            </w:r>
          </w:p>
        </w:tc>
        <w:tc>
          <w:tcPr>
            <w:tcW w:type="dxa" w:w="1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
            </w:r>
          </w:p>
        </w:tc>
      </w:tr>
      <w:tr>
        <w:tc>
          <w:tcPr>
            <w:tcW w:type="dxa" w:w="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6</w:t>
            </w:r>
          </w:p>
        </w:tc>
        <w:tc>
          <w:tcPr>
            <w:tcW w:type="dxa" w:w="4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User access rights have been reviewed in the past six months.</w:t>
            </w:r>
          </w:p>
        </w:tc>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CISO / vCISO, IT</w:t>
            </w:r>
          </w:p>
        </w:tc>
        <w:tc>
          <w:tcPr>
            <w:tcW w:type="dxa" w:w="1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
            </w:r>
          </w:p>
        </w:tc>
      </w:tr>
      <w:tr>
        <w:tc>
          <w:tcPr>
            <w:tcW w:type="dxa" w:w="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7</w:t>
            </w:r>
          </w:p>
        </w:tc>
        <w:tc>
          <w:tcPr>
            <w:tcW w:type="dxa" w:w="4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Privileged access rights have been reviewed in the past three months.</w:t>
            </w:r>
          </w:p>
        </w:tc>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CISO / vCISO, IT</w:t>
            </w:r>
          </w:p>
        </w:tc>
        <w:tc>
          <w:tcPr>
            <w:tcW w:type="dxa" w:w="1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
            </w:r>
          </w:p>
        </w:tc>
      </w:tr>
      <w:tr>
        <w:tc>
          <w:tcPr>
            <w:tcW w:type="dxa" w:w="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8</w:t>
            </w:r>
          </w:p>
        </w:tc>
        <w:tc>
          <w:tcPr>
            <w:tcW w:type="dxa" w:w="4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An up-to-date asset inventory exists for all information assets in scope.</w:t>
            </w:r>
          </w:p>
        </w:tc>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IT / System Admin</w:t>
            </w:r>
          </w:p>
        </w:tc>
        <w:tc>
          <w:tcPr>
            <w:tcW w:type="dxa" w:w="1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
            </w:r>
          </w:p>
        </w:tc>
      </w:tr>
      <w:tr>
        <w:tc>
          <w:tcPr>
            <w:tcW w:type="dxa" w:w="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9</w:t>
            </w:r>
          </w:p>
        </w:tc>
        <w:tc>
          <w:tcPr>
            <w:tcW w:type="dxa" w:w="4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The risk register has been updated within the past 12 months.</w:t>
            </w:r>
          </w:p>
        </w:tc>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CISO / vCISO</w:t>
            </w:r>
          </w:p>
        </w:tc>
        <w:tc>
          <w:tcPr>
            <w:tcW w:type="dxa" w:w="1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
            </w:r>
          </w:p>
        </w:tc>
      </w:tr>
      <w:tr>
        <w:tc>
          <w:tcPr>
            <w:tcW w:type="dxa" w:w="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10</w:t>
            </w:r>
          </w:p>
        </w:tc>
        <w:tc>
          <w:tcPr>
            <w:tcW w:type="dxa" w:w="4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All active policy exceptions are documented and have not exceeded their approved duration.</w:t>
            </w:r>
          </w:p>
        </w:tc>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CISO / vCISO</w:t>
            </w:r>
          </w:p>
        </w:tc>
        <w:tc>
          <w:tcPr>
            <w:tcW w:type="dxa" w:w="1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
            </w:r>
          </w:p>
        </w:tc>
      </w:tr>
    </w:tbl>
    <w:p>
      <w:pPr>
        <w:spacing w:after="120"/>
      </w:pPr>
      <w:r>
        <w:t xml:space="preserve"/>
      </w:r>
    </w:p>
    <w:p>
      <w:pPr>
        <w:pStyle w:val="Heading1"/>
        <w:pageBreakBefore/>
      </w:pPr>
      <w:r>
        <w:rPr>
          <w:rFonts w:ascii="Arial" w:cs="Arial" w:eastAsia="Arial" w:hAnsi="Arial"/>
          <w:b/>
          <w:bCs/>
          <w:color w:val="152168"/>
          <w:sz w:val="28"/>
          <w:szCs w:val="28"/>
        </w:rPr>
        <w:t xml:space="preserve">Appendix D: NIST CSF 2.0 / ISO 27001:2022 Mapping</w:t>
      </w:r>
    </w:p>
    <w:p>
      <w:pPr>
        <w:spacing w:after="120"/>
      </w:pPr>
      <w:r>
        <w:rPr>
          <w:rFonts w:ascii="Arial" w:cs="Arial" w:eastAsia="Arial" w:hAnsi="Arial"/>
          <w:color w:val="1A2340"/>
          <w:sz w:val="20"/>
          <w:szCs w:val="20"/>
        </w:rPr>
        <w:t xml:space="preserve">The following table maps the key requirements of this policy to the relevant controls and functions in NIST Cybersecurity Framework 2.0 and ISO/IEC 27001:2022.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680"/>
        <w:gridCol w:w="1400"/>
      </w:tblGrid>
      <w:tr>
        <w:trPr>
          <w:tblHeader/>
        </w:trPr>
        <w:tc>
          <w:tcPr>
            <w:tcW w:type="dxa" w:w="24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Policy Section</w:t>
            </w:r>
          </w:p>
        </w:tc>
        <w:tc>
          <w:tcPr>
            <w:tcW w:type="dxa" w:w="28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NIST CSF 2.0</w:t>
            </w:r>
          </w:p>
        </w:tc>
        <w:tc>
          <w:tcPr>
            <w:tcW w:type="dxa" w:w="26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ISO/IEC 27001:2022</w:t>
            </w:r>
          </w:p>
        </w:tc>
        <w:tc>
          <w:tcPr>
            <w:tcW w:type="dxa" w:w="14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18"/>
                <w:szCs w:val="18"/>
              </w:rPr>
              <w:t xml:space="preserve">Control Theme</w:t>
            </w:r>
          </w:p>
        </w:tc>
      </w:tr>
      <w:tr>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3. Policy Statement — Core Principles</w:t>
            </w:r>
          </w:p>
        </w:tc>
        <w:tc>
          <w:tcPr>
            <w:tcW w:type="dxa" w:w="28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GV.OC-01, GV.PO-01</w:t>
            </w:r>
          </w:p>
        </w:tc>
        <w:tc>
          <w:tcPr>
            <w:tcW w:type="dxa" w:w="26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Clause 5.1, A.5.1</w:t>
            </w:r>
          </w:p>
        </w:tc>
        <w:tc>
          <w:tcPr>
            <w:tcW w:type="dxa" w:w="1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Governance</w:t>
            </w:r>
          </w:p>
        </w:tc>
      </w:tr>
      <w:tr>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5. Roles and Responsibilities</w:t>
            </w:r>
          </w:p>
        </w:tc>
        <w:tc>
          <w:tcPr>
            <w:tcW w:type="dxa" w:w="28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GV.RR-01, GV.RR-02</w:t>
            </w:r>
          </w:p>
        </w:tc>
        <w:tc>
          <w:tcPr>
            <w:tcW w:type="dxa" w:w="2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Clause 5.2, A.5.2</w:t>
            </w:r>
          </w:p>
        </w:tc>
        <w:tc>
          <w:tcPr>
            <w:tcW w:type="dxa" w:w="1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Governance</w:t>
            </w:r>
          </w:p>
        </w:tc>
      </w:tr>
      <w:tr>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6.1 Information Security Program</w:t>
            </w:r>
          </w:p>
        </w:tc>
        <w:tc>
          <w:tcPr>
            <w:tcW w:type="dxa" w:w="28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GV.OC-01, GV.OC-03</w:t>
            </w:r>
          </w:p>
        </w:tc>
        <w:tc>
          <w:tcPr>
            <w:tcW w:type="dxa" w:w="26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Clause 4.4, 6.1</w:t>
            </w:r>
          </w:p>
        </w:tc>
        <w:tc>
          <w:tcPr>
            <w:tcW w:type="dxa" w:w="1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Governance</w:t>
            </w:r>
          </w:p>
        </w:tc>
      </w:tr>
      <w:tr>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6.3 Risk Management</w:t>
            </w:r>
          </w:p>
        </w:tc>
        <w:tc>
          <w:tcPr>
            <w:tcW w:type="dxa" w:w="28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GV.RM-01, ID.RA-01</w:t>
            </w:r>
          </w:p>
        </w:tc>
        <w:tc>
          <w:tcPr>
            <w:tcW w:type="dxa" w:w="2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Clause 6.1.2, 6.1.3</w:t>
            </w:r>
          </w:p>
        </w:tc>
        <w:tc>
          <w:tcPr>
            <w:tcW w:type="dxa" w:w="1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Risk Management</w:t>
            </w:r>
          </w:p>
        </w:tc>
      </w:tr>
      <w:tr>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6.4 Legal and Regulatory Compliance</w:t>
            </w:r>
          </w:p>
        </w:tc>
        <w:tc>
          <w:tcPr>
            <w:tcW w:type="dxa" w:w="28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GV.OC-03, GV.OC-05</w:t>
            </w:r>
          </w:p>
        </w:tc>
        <w:tc>
          <w:tcPr>
            <w:tcW w:type="dxa" w:w="26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Clause 4.2, A.5.31</w:t>
            </w:r>
          </w:p>
        </w:tc>
        <w:tc>
          <w:tcPr>
            <w:tcW w:type="dxa" w:w="1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Compliance</w:t>
            </w:r>
          </w:p>
        </w:tc>
      </w:tr>
      <w:tr>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6.5 Security Baseline — MFA</w:t>
            </w:r>
          </w:p>
        </w:tc>
        <w:tc>
          <w:tcPr>
            <w:tcW w:type="dxa" w:w="28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PR.AA-02, PR.AA-05</w:t>
            </w:r>
          </w:p>
        </w:tc>
        <w:tc>
          <w:tcPr>
            <w:tcW w:type="dxa" w:w="2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A.5.17, A.8.5</w:t>
            </w:r>
          </w:p>
        </w:tc>
        <w:tc>
          <w:tcPr>
            <w:tcW w:type="dxa" w:w="1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Access Control</w:t>
            </w:r>
          </w:p>
        </w:tc>
      </w:tr>
      <w:tr>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6.5 Security Baseline — Encryption</w:t>
            </w:r>
          </w:p>
        </w:tc>
        <w:tc>
          <w:tcPr>
            <w:tcW w:type="dxa" w:w="28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PR.DS-01, PR.DS-02</w:t>
            </w:r>
          </w:p>
        </w:tc>
        <w:tc>
          <w:tcPr>
            <w:tcW w:type="dxa" w:w="26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A.8.24</w:t>
            </w:r>
          </w:p>
        </w:tc>
        <w:tc>
          <w:tcPr>
            <w:tcW w:type="dxa" w:w="1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Data Protection</w:t>
            </w:r>
          </w:p>
        </w:tc>
      </w:tr>
      <w:tr>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6.5 Security Baseline — Training</w:t>
            </w:r>
          </w:p>
        </w:tc>
        <w:tc>
          <w:tcPr>
            <w:tcW w:type="dxa" w:w="28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PR.AT-01</w:t>
            </w:r>
          </w:p>
        </w:tc>
        <w:tc>
          <w:tcPr>
            <w:tcW w:type="dxa" w:w="2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A.6.3</w:t>
            </w:r>
          </w:p>
        </w:tc>
        <w:tc>
          <w:tcPr>
            <w:tcW w:type="dxa" w:w="1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Awareness</w:t>
            </w:r>
          </w:p>
        </w:tc>
      </w:tr>
      <w:tr>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6.5 Security Baseline — Patching</w:t>
            </w:r>
          </w:p>
        </w:tc>
        <w:tc>
          <w:tcPr>
            <w:tcW w:type="dxa" w:w="28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ID.RA-01, PR.MA-01</w:t>
            </w:r>
          </w:p>
        </w:tc>
        <w:tc>
          <w:tcPr>
            <w:tcW w:type="dxa" w:w="26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A.8.8</w:t>
            </w:r>
          </w:p>
        </w:tc>
        <w:tc>
          <w:tcPr>
            <w:tcW w:type="dxa" w:w="1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Vulnerability Mgmt</w:t>
            </w:r>
          </w:p>
        </w:tc>
      </w:tr>
      <w:tr>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6.7 Policy Review</w:t>
            </w:r>
          </w:p>
        </w:tc>
        <w:tc>
          <w:tcPr>
            <w:tcW w:type="dxa" w:w="28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GV.PO-02</w:t>
            </w:r>
          </w:p>
        </w:tc>
        <w:tc>
          <w:tcPr>
            <w:tcW w:type="dxa" w:w="2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Clause 9.3</w:t>
            </w:r>
          </w:p>
        </w:tc>
        <w:tc>
          <w:tcPr>
            <w:tcW w:type="dxa" w:w="1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Governance</w:t>
            </w:r>
          </w:p>
        </w:tc>
      </w:tr>
      <w:tr>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6.8 Compliance Monitoring</w:t>
            </w:r>
          </w:p>
        </w:tc>
        <w:tc>
          <w:tcPr>
            <w:tcW w:type="dxa" w:w="28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ID.IM-03, GV.OC-02</w:t>
            </w:r>
          </w:p>
        </w:tc>
        <w:tc>
          <w:tcPr>
            <w:tcW w:type="dxa" w:w="26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Clause 9.1, 9.2</w:t>
            </w:r>
          </w:p>
        </w:tc>
        <w:tc>
          <w:tcPr>
            <w:tcW w:type="dxa" w:w="1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Monitoring</w:t>
            </w:r>
          </w:p>
        </w:tc>
      </w:tr>
      <w:tr>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7. Enforcement</w:t>
            </w:r>
          </w:p>
        </w:tc>
        <w:tc>
          <w:tcPr>
            <w:tcW w:type="dxa" w:w="28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GV.PO-01</w:t>
            </w:r>
          </w:p>
        </w:tc>
        <w:tc>
          <w:tcPr>
            <w:tcW w:type="dxa" w:w="2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Clause 7.3, A.6.4</w:t>
            </w:r>
          </w:p>
        </w:tc>
        <w:tc>
          <w:tcPr>
            <w:tcW w:type="dxa" w:w="1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Governance</w:t>
            </w:r>
          </w:p>
        </w:tc>
      </w:tr>
    </w:tbl>
    <w:p>
      <w:pPr>
        <w:spacing w:after="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4"/>
      </w:pBdr>
      <w:tabs>
        <w:tab w:val="right" w:pos="7920"/>
      </w:tabs>
      <w:spacing w:before="120"/>
    </w:pPr>
    <w:r>
      <w:rPr>
        <w:rFonts w:ascii="Arial" w:cs="Arial" w:eastAsia="Arial" w:hAnsi="Arial"/>
        <w:color w:val="5A6A8A"/>
        <w:sz w:val="14"/>
        <w:szCs w:val="14"/>
      </w:rPr>
      <w:t xml:space="preserve">INTERNAL — CONFIDENTIAL | © [ORGANIZATION NAME]</w:t>
    </w:r>
    <w:r>
      <w:rPr>
        <w:rFonts w:ascii="Arial" w:cs="Arial" w:eastAsia="Arial" w:hAnsi="Arial"/>
        <w:sz w:val="14"/>
        <w:szCs w:val="14"/>
      </w:rPr>
      <w:t xml:space="preserve">	</w:t>
    </w:r>
    <w:r>
      <w:rPr>
        <w:rFonts w:ascii="Arial" w:cs="Arial" w:eastAsia="Arial" w:hAnsi="Arial"/>
        <w:color w:val="5A6A8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B4D9" w:sz="4" w:space="4"/>
      </w:pBdr>
      <w:tabs>
        <w:tab w:val="right" w:pos="7920"/>
      </w:tabs>
      <w:spacing w:after="120"/>
    </w:pPr>
    <w:r>
      <w:rPr>
        <w:rFonts w:ascii="Arial" w:cs="Arial" w:eastAsia="Arial" w:hAnsi="Arial"/>
        <w:color w:val="5A6A8A"/>
        <w:sz w:val="16"/>
        <w:szCs w:val="16"/>
      </w:rPr>
      <w:t xml:space="preserve">Information Security Policy</w:t>
    </w:r>
    <w:r>
      <w:rPr>
        <w:rFonts w:ascii="Arial" w:cs="Arial" w:eastAsia="Arial" w:hAnsi="Arial"/>
        <w:color w:val="5A6A8A"/>
        <w:sz w:val="14"/>
        <w:szCs w:val="14"/>
      </w:rPr>
      <w:t xml:space="preserve">	ENT-Draft-POL-Information Security-Comprehensive-6.26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5216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52168"/>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4F46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2026-06-19T04:19:22.596Z</dcterms:created>
  <dcterms:modified xsi:type="dcterms:W3CDTF">2026-06-19T04:19:22.598Z</dcterms:modified>
</cp:coreProperties>
</file>

<file path=docProps/custom.xml><?xml version="1.0" encoding="utf-8"?>
<Properties xmlns="http://schemas.openxmlformats.org/officeDocument/2006/custom-properties" xmlns:vt="http://schemas.openxmlformats.org/officeDocument/2006/docPropsVTypes"/>
</file>