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p>
      <w:pPr>
        <w:spacing w:after="120" w:before="0"/>
        <w:jc w:val="center"/>
      </w:pPr>
      <w:r>
        <w:rPr>
          <w:rFonts w:ascii="Arial" w:cs="Arial" w:eastAsia="Arial" w:hAnsi="Arial"/>
          <w:b/>
          <w:bCs/>
          <w:color w:val="152168"/>
          <w:sz w:val="52"/>
          <w:szCs w:val="52"/>
        </w:rPr>
        <w:t xml:space="preserve">Information Security Risk Management Policy</w:t>
      </w:r>
    </w:p>
    <w:p>
      <w:pPr>
        <w:spacing w:after="60" w:before="0"/>
        <w:jc w:val="center"/>
      </w:pPr>
      <w:r>
        <w:rPr>
          <w:rFonts w:ascii="Arial" w:cs="Arial" w:eastAsia="Arial" w:hAnsi="Arial"/>
          <w:color w:val="07B4D9"/>
          <w:sz w:val="26"/>
          <w:szCs w:val="26"/>
        </w:rPr>
        <w:t xml:space="preserve">Enterprise Policy Template</w:t>
      </w:r>
    </w:p>
    <w:p>
      <w:pPr>
        <w:spacing w:after="400" w:before="0"/>
        <w:jc w:val="center"/>
      </w:pPr>
      <w:r>
        <w:rPr>
          <w:rFonts w:ascii="Arial" w:cs="Arial" w:eastAsia="Arial" w:hAnsi="Arial"/>
          <w:i/>
          <w:iCs/>
          <w:color w:val="5A6A8A"/>
          <w:sz w:val="20"/>
          <w:szCs w:val="20"/>
        </w:rPr>
        <w:t xml:space="preserve">NIST CSF 2.0  |  ISO/IEC 27001:2022  |  ISO 31000:2018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b/>
                <w:bCs/>
                <w:color w:val="152168"/>
                <w:sz w:val="20"/>
                <w:szCs w:val="20"/>
              </w:rPr>
              <w:t xml:space="preserve">Document ID:</w:t>
            </w:r>
          </w:p>
        </w:tc>
        <w:tc>
          <w:tcPr>
            <w:tcW w:type="dxa" w:w="6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20"/>
                <w:szCs w:val="20"/>
              </w:rPr>
              <w:t xml:space="preserve">ENT-Draft-POL-Risk Management-Comprehensive-6.26</w:t>
            </w:r>
          </w:p>
        </w:tc>
      </w:tr>
      <w:tr>
        <w:tc>
          <w:tcPr>
            <w:tcW w:type="dxa" w:w="2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b/>
                <w:bCs/>
                <w:color w:val="152168"/>
                <w:sz w:val="20"/>
                <w:szCs w:val="20"/>
              </w:rPr>
              <w:t xml:space="preserve">Policy Title:</w:t>
            </w:r>
          </w:p>
        </w:tc>
        <w:tc>
          <w:tcPr>
            <w:tcW w:type="dxa" w:w="6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20"/>
                <w:szCs w:val="20"/>
              </w:rPr>
              <w:t xml:space="preserve">Information Security Risk Management Policy</w:t>
            </w:r>
          </w:p>
        </w:tc>
      </w:tr>
      <w:tr>
        <w:tc>
          <w:tcPr>
            <w:tcW w:type="dxa" w:w="2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b/>
                <w:bCs/>
                <w:color w:val="152168"/>
                <w:sz w:val="20"/>
                <w:szCs w:val="20"/>
              </w:rPr>
              <w:t xml:space="preserve">Version:</w:t>
            </w:r>
          </w:p>
        </w:tc>
        <w:tc>
          <w:tcPr>
            <w:tcW w:type="dxa" w:w="6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20"/>
                <w:szCs w:val="20"/>
              </w:rPr>
              <w:t xml:space="preserve">1.0 -- Initial Release</w:t>
            </w:r>
          </w:p>
        </w:tc>
      </w:tr>
      <w:tr>
        <w:tc>
          <w:tcPr>
            <w:tcW w:type="dxa" w:w="2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b/>
                <w:bCs/>
                <w:color w:val="152168"/>
                <w:sz w:val="20"/>
                <w:szCs w:val="20"/>
              </w:rPr>
              <w:t xml:space="preserve">Effective Date:</w:t>
            </w:r>
          </w:p>
        </w:tc>
        <w:tc>
          <w:tcPr>
            <w:tcW w:type="dxa" w:w="6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20"/>
                <w:szCs w:val="20"/>
              </w:rPr>
              <w:t xml:space="preserve">June 2026</w:t>
            </w:r>
          </w:p>
        </w:tc>
      </w:tr>
      <w:tr>
        <w:tc>
          <w:tcPr>
            <w:tcW w:type="dxa" w:w="2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b/>
                <w:bCs/>
                <w:color w:val="152168"/>
                <w:sz w:val="20"/>
                <w:szCs w:val="20"/>
              </w:rPr>
              <w:t xml:space="preserve">Policy Owner:</w:t>
            </w:r>
          </w:p>
        </w:tc>
        <w:tc>
          <w:tcPr>
            <w:tcW w:type="dxa" w:w="6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20"/>
                <w:szCs w:val="20"/>
              </w:rPr>
              <w:t xml:space="preserve">CISO / vCISO</w:t>
            </w:r>
          </w:p>
        </w:tc>
      </w:tr>
      <w:tr>
        <w:tc>
          <w:tcPr>
            <w:tcW w:type="dxa" w:w="2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b/>
                <w:bCs/>
                <w:color w:val="152168"/>
                <w:sz w:val="20"/>
                <w:szCs w:val="20"/>
              </w:rPr>
              <w:t xml:space="preserve">Approved By:</w:t>
            </w:r>
          </w:p>
        </w:tc>
        <w:tc>
          <w:tcPr>
            <w:tcW w:type="dxa" w:w="6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20"/>
                <w:szCs w:val="20"/>
              </w:rPr>
              <w:t xml:space="preserve">[Name, Title]</w:t>
            </w:r>
          </w:p>
        </w:tc>
      </w:tr>
      <w:tr>
        <w:tc>
          <w:tcPr>
            <w:tcW w:type="dxa" w:w="2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b/>
                <w:bCs/>
                <w:color w:val="152168"/>
                <w:sz w:val="20"/>
                <w:szCs w:val="20"/>
              </w:rPr>
              <w:t xml:space="preserve">Classification:</w:t>
            </w:r>
          </w:p>
        </w:tc>
        <w:tc>
          <w:tcPr>
            <w:tcW w:type="dxa" w:w="6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20"/>
                <w:szCs w:val="20"/>
              </w:rPr>
              <w:t xml:space="preserve">Internal -- Confidential</w:t>
            </w:r>
          </w:p>
        </w:tc>
      </w:tr>
      <w:tr>
        <w:tc>
          <w:tcPr>
            <w:tcW w:type="dxa" w:w="2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b/>
                <w:bCs/>
                <w:color w:val="152168"/>
                <w:sz w:val="20"/>
                <w:szCs w:val="20"/>
              </w:rPr>
              <w:t xml:space="preserve">Framework Refs:</w:t>
            </w:r>
          </w:p>
        </w:tc>
        <w:tc>
          <w:tcPr>
            <w:tcW w:type="dxa" w:w="6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20"/>
                <w:szCs w:val="20"/>
              </w:rPr>
              <w:t xml:space="preserve">NIST CSF 2.0 (GV.RM, ID.RA) | ISO/IEC 27001:2022 Clauses 6.1, 8.2, 8.3 | ISO 31000:2018</w:t>
            </w:r>
          </w:p>
        </w:tc>
      </w:tr>
      <w:tr>
        <w:tc>
          <w:tcPr>
            <w:tcW w:type="dxa" w:w="2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b/>
                <w:bCs/>
                <w:color w:val="152168"/>
                <w:sz w:val="20"/>
                <w:szCs w:val="20"/>
              </w:rPr>
              <w:t xml:space="preserve">Next Review:</w:t>
            </w:r>
          </w:p>
        </w:tc>
        <w:tc>
          <w:tcPr>
            <w:tcW w:type="dxa" w:w="6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20"/>
                <w:szCs w:val="20"/>
              </w:rPr>
              <w:t xml:space="preserve">June 2026 (Annual)</w:t>
            </w:r>
          </w:p>
        </w:tc>
      </w:tr>
    </w:tbl>
    <w:p>
      <w:pPr>
        <w:spacing w:after="360" w:before="0"/>
      </w:pPr>
      <w:r>
        <w:t xml:space="preserve"/>
      </w:r>
    </w:p>
    <w:p>
      <w:pPr>
        <w:jc w:val="center"/>
      </w:pPr>
      <w:r>
        <w:rPr>
          <w:rFonts w:ascii="Arial" w:cs="Arial" w:eastAsia="Arial" w:hAnsi="Arial"/>
          <w:b/>
          <w:bCs/>
          <w:color w:val="991B1B"/>
          <w:sz w:val="20"/>
          <w:szCs w:val="20"/>
        </w:rPr>
        <w:t xml:space="preserve">INTERNAL -- CONFIDENTIAL</w:t>
      </w:r>
    </w:p>
    <w:p>
      <w:pPr>
        <w:spacing w:after="0" w:before="40"/>
        <w:jc w:val="center"/>
      </w:pPr>
      <w:r>
        <w:rPr>
          <w:rFonts w:ascii="Arial" w:cs="Arial" w:eastAsia="Arial" w:hAnsi="Arial"/>
          <w:i/>
          <w:iCs/>
          <w:color w:val="5A6A8A"/>
          <w:sz w:val="18"/>
          <w:szCs w:val="18"/>
        </w:rPr>
        <w:t xml:space="preserve">This document contains confidential information. Distribution is restricted to authorized personnel only.</w:t>
      </w:r>
    </w:p>
    <w:p>
      <w:r>
        <w:br w:type="page"/>
      </w:r>
    </w:p>
    <w:p>
      <w:pPr>
        <w:pStyle w:val="Heading1"/>
        <w:pBdr>
          <w:bottom w:val="single" w:color="07B4D9" w:sz="8" w:space="4"/>
        </w:pBdr>
        <w:spacing w:after="120" w:before="400"/>
      </w:pPr>
      <w:bookmarkStart w:name="s1" w:id="1"/>
      <w:r>
        <w:rPr>
          <w:rFonts w:ascii="Arial" w:cs="Arial" w:eastAsia="Arial" w:hAnsi="Arial"/>
          <w:b/>
          <w:bCs/>
          <w:color w:val="152168"/>
          <w:sz w:val="30"/>
          <w:szCs w:val="30"/>
        </w:rPr>
        <w:t xml:space="preserve">1. Purpose</w:t>
      </w:r>
      <w:bookmarkEnd w:id="2"/>
    </w:p>
    <w:p>
      <w:pPr>
        <w:spacing w:after="80" w:before="60"/>
        <w:jc w:val="both"/>
      </w:pPr>
      <w:r>
        <w:rPr>
          <w:rFonts w:ascii="Arial" w:cs="Arial" w:eastAsia="Arial" w:hAnsi="Arial"/>
          <w:color w:val="1A2340"/>
          <w:sz w:val="22"/>
          <w:szCs w:val="22"/>
        </w:rPr>
        <w:t xml:space="preserve">This policy establishes the framework, principles, and requirements for identifying, assessing, treating, and monitoring information security risks across the Organization. Effective risk management is the foundation of a mature information security program, enabling the Organization to protect its information assets, meet regulatory obligations, and make informed business decisions.</w:t>
      </w:r>
    </w:p>
    <w:p>
      <w:pPr>
        <w:spacing w:after="80" w:before="60"/>
        <w:jc w:val="both"/>
      </w:pPr>
      <w:r>
        <w:rPr>
          <w:rFonts w:ascii="Arial" w:cs="Arial" w:eastAsia="Arial" w:hAnsi="Arial"/>
          <w:color w:val="1A2340"/>
          <w:sz w:val="22"/>
          <w:szCs w:val="22"/>
        </w:rPr>
        <w:t xml:space="preserve">This policy implements the risk management requirements of ISO/IEC 27001:2022 Clauses 6.1, 8.2, and 8.3; aligns with the NIST Cybersecurity Framework 2.0 Govern (GV.RM) and Identify (ID.RA) functions; and is consistent with the risk management principles of ISO 31000:2018.</w:t>
      </w:r>
    </w:p>
    <w:p>
      <w:pPr>
        <w:spacing w:after="120" w:before="0"/>
      </w:pPr>
      <w:r>
        <w:t xml:space="preserve"/>
      </w:r>
    </w:p>
    <w:p>
      <w:pPr>
        <w:pStyle w:val="Heading1"/>
        <w:pBdr>
          <w:bottom w:val="single" w:color="07B4D9" w:sz="8" w:space="4"/>
        </w:pBdr>
        <w:spacing w:after="120" w:before="400"/>
      </w:pPr>
      <w:bookmarkStart w:name="s2" w:id="3"/>
      <w:r>
        <w:rPr>
          <w:rFonts w:ascii="Arial" w:cs="Arial" w:eastAsia="Arial" w:hAnsi="Arial"/>
          <w:b/>
          <w:bCs/>
          <w:color w:val="152168"/>
          <w:sz w:val="30"/>
          <w:szCs w:val="30"/>
        </w:rPr>
        <w:t xml:space="preserve">2. Scope</w:t>
      </w:r>
      <w:bookmarkEnd w:id="4"/>
    </w:p>
    <w:p>
      <w:pPr>
        <w:spacing w:after="80" w:before="60"/>
        <w:jc w:val="both"/>
      </w:pPr>
      <w:r>
        <w:rPr>
          <w:rFonts w:ascii="Arial" w:cs="Arial" w:eastAsia="Arial" w:hAnsi="Arial"/>
          <w:color w:val="1A2340"/>
          <w:sz w:val="22"/>
          <w:szCs w:val="22"/>
        </w:rPr>
        <w:t xml:space="preserve">This policy applies to all information assets, systems, processes, and personnel within the scope of the Organization's Information Security Management System (ISMS), including:</w:t>
      </w:r>
    </w:p>
    <w:p>
      <w:pPr>
        <w:pStyle w:val="ListParagraph"/>
        <w:numPr>
          <w:ilvl w:val="0"/>
          <w:numId w:val="2"/>
        </w:numPr>
        <w:spacing w:after="40" w:before="40"/>
      </w:pPr>
      <w:r>
        <w:rPr>
          <w:rFonts w:ascii="Arial" w:cs="Arial" w:eastAsia="Arial" w:hAnsi="Arial"/>
          <w:color w:val="1A2340"/>
          <w:sz w:val="22"/>
          <w:szCs w:val="22"/>
        </w:rPr>
        <w:t xml:space="preserve">All information assets in any format (digital, physical, intellectual)</w:t>
      </w:r>
    </w:p>
    <w:p>
      <w:pPr>
        <w:pStyle w:val="ListParagraph"/>
        <w:numPr>
          <w:ilvl w:val="0"/>
          <w:numId w:val="2"/>
        </w:numPr>
        <w:spacing w:after="40" w:before="40"/>
      </w:pPr>
      <w:r>
        <w:rPr>
          <w:rFonts w:ascii="Arial" w:cs="Arial" w:eastAsia="Arial" w:hAnsi="Arial"/>
          <w:color w:val="1A2340"/>
          <w:sz w:val="22"/>
          <w:szCs w:val="22"/>
        </w:rPr>
        <w:t xml:space="preserve">All information systems, networks, and technology infrastructure</w:t>
      </w:r>
    </w:p>
    <w:p>
      <w:pPr>
        <w:pStyle w:val="ListParagraph"/>
        <w:numPr>
          <w:ilvl w:val="0"/>
          <w:numId w:val="2"/>
        </w:numPr>
        <w:spacing w:after="40" w:before="40"/>
      </w:pPr>
      <w:r>
        <w:rPr>
          <w:rFonts w:ascii="Arial" w:cs="Arial" w:eastAsia="Arial" w:hAnsi="Arial"/>
          <w:color w:val="1A2340"/>
          <w:sz w:val="22"/>
          <w:szCs w:val="22"/>
        </w:rPr>
        <w:t xml:space="preserve">All business processes that create, process, store, or transmit information</w:t>
      </w:r>
    </w:p>
    <w:p>
      <w:pPr>
        <w:pStyle w:val="ListParagraph"/>
        <w:numPr>
          <w:ilvl w:val="0"/>
          <w:numId w:val="2"/>
        </w:numPr>
        <w:spacing w:after="40" w:before="40"/>
      </w:pPr>
      <w:r>
        <w:rPr>
          <w:rFonts w:ascii="Arial" w:cs="Arial" w:eastAsia="Arial" w:hAnsi="Arial"/>
          <w:color w:val="1A2340"/>
          <w:sz w:val="22"/>
          <w:szCs w:val="22"/>
        </w:rPr>
        <w:t xml:space="preserve">All employees, contractors, consultants, and temporary workers</w:t>
      </w:r>
    </w:p>
    <w:p>
      <w:pPr>
        <w:pStyle w:val="ListParagraph"/>
        <w:numPr>
          <w:ilvl w:val="0"/>
          <w:numId w:val="2"/>
        </w:numPr>
        <w:spacing w:after="40" w:before="40"/>
      </w:pPr>
      <w:r>
        <w:rPr>
          <w:rFonts w:ascii="Arial" w:cs="Arial" w:eastAsia="Arial" w:hAnsi="Arial"/>
          <w:color w:val="1A2340"/>
          <w:sz w:val="22"/>
          <w:szCs w:val="22"/>
        </w:rPr>
        <w:t xml:space="preserve">Third-party suppliers, vendors, and service providers with access to organizational information or systems</w:t>
      </w:r>
    </w:p>
    <w:p>
      <w:pPr>
        <w:pStyle w:val="ListParagraph"/>
        <w:numPr>
          <w:ilvl w:val="0"/>
          <w:numId w:val="2"/>
        </w:numPr>
        <w:spacing w:after="40" w:before="40"/>
      </w:pPr>
      <w:r>
        <w:rPr>
          <w:rFonts w:ascii="Arial" w:cs="Arial" w:eastAsia="Arial" w:hAnsi="Arial"/>
          <w:color w:val="1A2340"/>
          <w:sz w:val="22"/>
          <w:szCs w:val="22"/>
        </w:rPr>
        <w:t xml:space="preserve">Cloud services and externally hosted systems within the ISMS boundary</w:t>
      </w:r>
    </w:p>
    <w:p>
      <w:pPr>
        <w:spacing w:after="120" w:before="0"/>
      </w:pPr>
      <w:r>
        <w:t xml:space="preserve"/>
      </w:r>
    </w:p>
    <w:p>
      <w:pPr>
        <w:spacing w:after="80" w:before="60"/>
        <w:jc w:val="both"/>
      </w:pPr>
      <w:r>
        <w:rPr>
          <w:rFonts w:ascii="Arial" w:cs="Arial" w:eastAsia="Arial" w:hAnsi="Arial"/>
          <w:color w:val="1A2340"/>
          <w:sz w:val="22"/>
          <w:szCs w:val="22"/>
        </w:rPr>
        <w:t xml:space="preserve">The CISO/vCISO shall define and maintain the ISMS scope in a separate ISMS Scope document, which shall be reviewed annually and updated as the business evolves.</w:t>
      </w:r>
    </w:p>
    <w:p>
      <w:pPr>
        <w:spacing w:after="120" w:before="0"/>
      </w:pPr>
      <w:r>
        <w:t xml:space="preserve"/>
      </w:r>
    </w:p>
    <w:p>
      <w:pPr>
        <w:pStyle w:val="Heading1"/>
        <w:pBdr>
          <w:bottom w:val="single" w:color="07B4D9" w:sz="8" w:space="4"/>
        </w:pBdr>
        <w:spacing w:after="120" w:before="400"/>
      </w:pPr>
      <w:bookmarkStart w:name="s3" w:id="5"/>
      <w:r>
        <w:rPr>
          <w:rFonts w:ascii="Arial" w:cs="Arial" w:eastAsia="Arial" w:hAnsi="Arial"/>
          <w:b/>
          <w:bCs/>
          <w:color w:val="152168"/>
          <w:sz w:val="30"/>
          <w:szCs w:val="30"/>
        </w:rPr>
        <w:t xml:space="preserve">3. Policy Statement</w:t>
      </w:r>
      <w:bookmarkEnd w:id="6"/>
    </w:p>
    <w:p>
      <w:pPr>
        <w:spacing w:after="80" w:before="60"/>
        <w:jc w:val="both"/>
      </w:pPr>
      <w:r>
        <w:rPr>
          <w:rFonts w:ascii="Arial" w:cs="Arial" w:eastAsia="Arial" w:hAnsi="Arial"/>
          <w:color w:val="1A2340"/>
          <w:sz w:val="22"/>
          <w:szCs w:val="22"/>
        </w:rPr>
        <w:t xml:space="preserve">The Organization is committed to identifying and managing information security risks in a systematic, consistent, and risk-proportionate manner. This commitment is grounded in five core principles:</w:t>
      </w:r>
    </w:p>
    <w:p>
      <w:pPr>
        <w:spacing w:after="120" w:before="0"/>
      </w:pPr>
      <w:r>
        <w:t xml:space="preserve"/>
      </w:r>
    </w:p>
    <w:p>
      <w:pPr>
        <w:pStyle w:val="Heading3"/>
        <w:spacing w:after="60" w:before="220"/>
      </w:pPr>
      <w:r>
        <w:rPr>
          <w:rFonts w:ascii="Arial" w:cs="Arial" w:eastAsia="Arial" w:hAnsi="Arial"/>
          <w:b/>
          <w:bCs/>
          <w:color w:val="4F46E5"/>
          <w:sz w:val="23"/>
          <w:szCs w:val="23"/>
        </w:rPr>
        <w:t xml:space="preserve">Principle 1: Risk-Informed Decision Making</w:t>
      </w:r>
    </w:p>
    <w:p>
      <w:pPr>
        <w:spacing w:after="80" w:before="60"/>
        <w:jc w:val="both"/>
      </w:pPr>
      <w:r>
        <w:rPr>
          <w:rFonts w:ascii="Arial" w:cs="Arial" w:eastAsia="Arial" w:hAnsi="Arial"/>
          <w:color w:val="1A2340"/>
          <w:sz w:val="22"/>
          <w:szCs w:val="22"/>
        </w:rPr>
        <w:t xml:space="preserve">All significant information security decisions shall be based on a documented understanding of risk. Risk assessments shall be conducted before implementing new systems, processes, or significant changes to existing operations.</w:t>
      </w:r>
    </w:p>
    <w:p>
      <w:pPr>
        <w:spacing w:after="120" w:before="0"/>
      </w:pPr>
      <w:r>
        <w:t xml:space="preserve"/>
      </w:r>
    </w:p>
    <w:p>
      <w:pPr>
        <w:pStyle w:val="Heading3"/>
        <w:spacing w:after="60" w:before="220"/>
      </w:pPr>
      <w:r>
        <w:rPr>
          <w:rFonts w:ascii="Arial" w:cs="Arial" w:eastAsia="Arial" w:hAnsi="Arial"/>
          <w:b/>
          <w:bCs/>
          <w:color w:val="4F46E5"/>
          <w:sz w:val="23"/>
          <w:szCs w:val="23"/>
        </w:rPr>
        <w:t xml:space="preserve">Principle 2: Proportionality</w:t>
      </w:r>
    </w:p>
    <w:p>
      <w:pPr>
        <w:spacing w:after="80" w:before="60"/>
        <w:jc w:val="both"/>
      </w:pPr>
      <w:r>
        <w:rPr>
          <w:rFonts w:ascii="Arial" w:cs="Arial" w:eastAsia="Arial" w:hAnsi="Arial"/>
          <w:color w:val="1A2340"/>
          <w:sz w:val="22"/>
          <w:szCs w:val="22"/>
        </w:rPr>
        <w:t xml:space="preserve">Risk treatment resources shall be allocated proportionately to the level of risk. Higher-rated risks shall receive priority attention. The cost of controls shall be considered alongside the risk reduction they provide.</w:t>
      </w:r>
    </w:p>
    <w:p>
      <w:pPr>
        <w:spacing w:after="120" w:before="0"/>
      </w:pPr>
      <w:r>
        <w:t xml:space="preserve"/>
      </w:r>
    </w:p>
    <w:p>
      <w:pPr>
        <w:pStyle w:val="Heading3"/>
        <w:spacing w:after="60" w:before="220"/>
      </w:pPr>
      <w:r>
        <w:rPr>
          <w:rFonts w:ascii="Arial" w:cs="Arial" w:eastAsia="Arial" w:hAnsi="Arial"/>
          <w:b/>
          <w:bCs/>
          <w:color w:val="4F46E5"/>
          <w:sz w:val="23"/>
          <w:szCs w:val="23"/>
        </w:rPr>
        <w:t xml:space="preserve">Principle 3: Accountability</w:t>
      </w:r>
    </w:p>
    <w:p>
      <w:pPr>
        <w:spacing w:after="80" w:before="60"/>
        <w:jc w:val="both"/>
      </w:pPr>
      <w:r>
        <w:rPr>
          <w:rFonts w:ascii="Arial" w:cs="Arial" w:eastAsia="Arial" w:hAnsi="Arial"/>
          <w:color w:val="1A2340"/>
          <w:sz w:val="22"/>
          <w:szCs w:val="22"/>
        </w:rPr>
        <w:t xml:space="preserve">Every risk within the risk register shall have a named Risk Owner who is accountable for ensuring the risk is assessed, treated, and monitored within agreed timelines. Risk ownership cannot be delegated without executive approval.</w:t>
      </w:r>
    </w:p>
    <w:p>
      <w:pPr>
        <w:spacing w:after="120" w:before="0"/>
      </w:pPr>
      <w:r>
        <w:t xml:space="preserve"/>
      </w:r>
    </w:p>
    <w:p>
      <w:pPr>
        <w:pStyle w:val="Heading3"/>
        <w:spacing w:after="60" w:before="220"/>
      </w:pPr>
      <w:r>
        <w:rPr>
          <w:rFonts w:ascii="Arial" w:cs="Arial" w:eastAsia="Arial" w:hAnsi="Arial"/>
          <w:b/>
          <w:bCs/>
          <w:color w:val="4F46E5"/>
          <w:sz w:val="23"/>
          <w:szCs w:val="23"/>
        </w:rPr>
        <w:t xml:space="preserve">Principle 4: Transparency</w:t>
      </w:r>
    </w:p>
    <w:p>
      <w:pPr>
        <w:spacing w:after="80" w:before="60"/>
        <w:jc w:val="both"/>
      </w:pPr>
      <w:r>
        <w:rPr>
          <w:rFonts w:ascii="Arial" w:cs="Arial" w:eastAsia="Arial" w:hAnsi="Arial"/>
          <w:color w:val="1A2340"/>
          <w:sz w:val="22"/>
          <w:szCs w:val="22"/>
        </w:rPr>
        <w:t xml:space="preserve">Risk information shall be communicated clearly and regularly to those who need it to make decisions. Risk reporting shall be honest and accurate, including when risks exceed appetite or treatments are not progressing as planned.</w:t>
      </w:r>
    </w:p>
    <w:p>
      <w:pPr>
        <w:spacing w:after="120" w:before="0"/>
      </w:pPr>
      <w:r>
        <w:t xml:space="preserve"/>
      </w:r>
    </w:p>
    <w:p>
      <w:pPr>
        <w:pStyle w:val="Heading3"/>
        <w:spacing w:after="60" w:before="220"/>
      </w:pPr>
      <w:r>
        <w:rPr>
          <w:rFonts w:ascii="Arial" w:cs="Arial" w:eastAsia="Arial" w:hAnsi="Arial"/>
          <w:b/>
          <w:bCs/>
          <w:color w:val="4F46E5"/>
          <w:sz w:val="23"/>
          <w:szCs w:val="23"/>
        </w:rPr>
        <w:t xml:space="preserve">Principle 5: Continuous Improvement</w:t>
      </w:r>
    </w:p>
    <w:p>
      <w:pPr>
        <w:spacing w:after="80" w:before="60"/>
        <w:jc w:val="both"/>
      </w:pPr>
      <w:r>
        <w:rPr>
          <w:rFonts w:ascii="Arial" w:cs="Arial" w:eastAsia="Arial" w:hAnsi="Arial"/>
          <w:color w:val="1A2340"/>
          <w:sz w:val="22"/>
          <w:szCs w:val="22"/>
        </w:rPr>
        <w:t xml:space="preserve">The risk management program shall be regularly reviewed and improved. Lessons from incidents, near-misses, audits, and external intelligence shall be incorporated into risk assessments and controls on an ongoing basis.</w:t>
      </w:r>
    </w:p>
    <w:p>
      <w:pPr>
        <w:spacing w:after="120" w:before="0"/>
      </w:pPr>
      <w:r>
        <w:t xml:space="preserve"/>
      </w:r>
    </w:p>
    <w:p>
      <w:r>
        <w:br w:type="page"/>
      </w:r>
    </w:p>
    <w:p>
      <w:pPr>
        <w:pStyle w:val="Heading1"/>
        <w:pBdr>
          <w:bottom w:val="single" w:color="07B4D9" w:sz="8" w:space="4"/>
        </w:pBdr>
        <w:spacing w:after="120" w:before="400"/>
      </w:pPr>
      <w:bookmarkStart w:name="s4" w:id="7"/>
      <w:r>
        <w:rPr>
          <w:rFonts w:ascii="Arial" w:cs="Arial" w:eastAsia="Arial" w:hAnsi="Arial"/>
          <w:b/>
          <w:bCs/>
          <w:color w:val="152168"/>
          <w:sz w:val="30"/>
          <w:szCs w:val="30"/>
        </w:rPr>
        <w:t xml:space="preserve">4. Definitions</w:t>
      </w:r>
      <w:bookmarkEnd w:id="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Term</w:t>
            </w:r>
          </w:p>
        </w:tc>
        <w:tc>
          <w:tcPr>
            <w:tcW w:type="dxa" w:w="71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Definition</w:t>
            </w:r>
          </w:p>
        </w:tc>
      </w:tr>
      <w:tr>
        <w:tc>
          <w:tcPr>
            <w:tcW w:type="dxa" w:w="2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Risk</w:t>
            </w:r>
          </w:p>
        </w:tc>
        <w:tc>
          <w:tcPr>
            <w:tcW w:type="dxa" w:w="7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The effect of uncertainty on information security objectives; the combination of the likelihood of a threat exploiting a vulnerability and the resulting impact to the Organization.</w:t>
            </w:r>
          </w:p>
        </w:tc>
      </w:tr>
      <w:tr>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Threat</w:t>
            </w:r>
          </w:p>
        </w:tc>
        <w:tc>
          <w:tcPr>
            <w:tcW w:type="dxa" w:w="7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Any circumstance or event with the potential to adversely impact organizational operations, assets, or individuals through unauthorized access, destruction, disclosure, modification, or denial of service.</w:t>
            </w:r>
          </w:p>
        </w:tc>
      </w:tr>
      <w:tr>
        <w:tc>
          <w:tcPr>
            <w:tcW w:type="dxa" w:w="2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Vulnerability</w:t>
            </w:r>
          </w:p>
        </w:tc>
        <w:tc>
          <w:tcPr>
            <w:tcW w:type="dxa" w:w="7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A weakness in an information system, security procedure, internal control, or implementation that could be exploited by a threat source.</w:t>
            </w:r>
          </w:p>
        </w:tc>
      </w:tr>
      <w:tr>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Likelihood</w:t>
            </w:r>
          </w:p>
        </w:tc>
        <w:tc>
          <w:tcPr>
            <w:tcW w:type="dxa" w:w="7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The estimated probability or frequency that a threat will exploit a vulnerability within a given timeframe. Rated on a 1-5 scale as defined in Section 6.4.</w:t>
            </w:r>
          </w:p>
        </w:tc>
      </w:tr>
      <w:tr>
        <w:tc>
          <w:tcPr>
            <w:tcW w:type="dxa" w:w="2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Impact</w:t>
            </w:r>
          </w:p>
        </w:tc>
        <w:tc>
          <w:tcPr>
            <w:tcW w:type="dxa" w:w="7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The magnitude of harm that would result from unauthorized disclosure, modification, destruction, or loss of information assets. Rated on a 1-5 scale as defined in Section 6.4.</w:t>
            </w:r>
          </w:p>
        </w:tc>
      </w:tr>
      <w:tr>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Risk Rating</w:t>
            </w:r>
          </w:p>
        </w:tc>
        <w:tc>
          <w:tcPr>
            <w:tcW w:type="dxa" w:w="7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A numeric score derived by multiplying Likelihood x Impact. Risk ratings range from 1 (lowest) to 25 (highest) and map to qualitative risk bands (Low, Medium, High, Critical).</w:t>
            </w:r>
          </w:p>
        </w:tc>
      </w:tr>
      <w:tr>
        <w:tc>
          <w:tcPr>
            <w:tcW w:type="dxa" w:w="2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Inherent Risk</w:t>
            </w:r>
          </w:p>
        </w:tc>
        <w:tc>
          <w:tcPr>
            <w:tcW w:type="dxa" w:w="7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The level of risk that exists before any controls or treatment measures are applied.</w:t>
            </w:r>
          </w:p>
        </w:tc>
      </w:tr>
      <w:tr>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Residual Risk</w:t>
            </w:r>
          </w:p>
        </w:tc>
        <w:tc>
          <w:tcPr>
            <w:tcW w:type="dxa" w:w="7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The level of risk that remains after controls and treatment measures have been applied. Residual risk must fall within the Organization's risk appetite or be formally accepted.</w:t>
            </w:r>
          </w:p>
        </w:tc>
      </w:tr>
      <w:tr>
        <w:tc>
          <w:tcPr>
            <w:tcW w:type="dxa" w:w="2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Risk Appetite</w:t>
            </w:r>
          </w:p>
        </w:tc>
        <w:tc>
          <w:tcPr>
            <w:tcW w:type="dxa" w:w="7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The amount and type of risk the Organization is willing to accept in pursuit of its objectives. Set by Executive Leadership and documented in the Risk Appetite Statement (Appendix D).</w:t>
            </w:r>
          </w:p>
        </w:tc>
      </w:tr>
      <w:tr>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Risk Tolerance</w:t>
            </w:r>
          </w:p>
        </w:tc>
        <w:tc>
          <w:tcPr>
            <w:tcW w:type="dxa" w:w="7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The acceptable variation in outcomes related to a specific risk. Risk tolerance defines the operational boundary within the overall risk appetite.</w:t>
            </w:r>
          </w:p>
        </w:tc>
      </w:tr>
      <w:tr>
        <w:tc>
          <w:tcPr>
            <w:tcW w:type="dxa" w:w="2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Risk Treatment</w:t>
            </w:r>
          </w:p>
        </w:tc>
        <w:tc>
          <w:tcPr>
            <w:tcW w:type="dxa" w:w="7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The process of selecting and implementing measures to modify risk. Treatment options are: Accept, Mitigate, Transfer, or Avoid.</w:t>
            </w:r>
          </w:p>
        </w:tc>
      </w:tr>
      <w:tr>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Risk Acceptance</w:t>
            </w:r>
          </w:p>
        </w:tc>
        <w:tc>
          <w:tcPr>
            <w:tcW w:type="dxa" w:w="7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A formal decision to tolerate a risk without additional treatment, where the residual risk is within the defined risk appetite or has been formally accepted by the appropriate authority.</w:t>
            </w:r>
          </w:p>
        </w:tc>
      </w:tr>
      <w:tr>
        <w:tc>
          <w:tcPr>
            <w:tcW w:type="dxa" w:w="2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Risk Register</w:t>
            </w:r>
          </w:p>
        </w:tc>
        <w:tc>
          <w:tcPr>
            <w:tcW w:type="dxa" w:w="7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The centralized record of all identified information security risks, their assessments, treatment plans, owners, and current status.</w:t>
            </w:r>
          </w:p>
        </w:tc>
      </w:tr>
      <w:tr>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Risk Owner</w:t>
            </w:r>
          </w:p>
        </w:tc>
        <w:tc>
          <w:tcPr>
            <w:tcW w:type="dxa" w:w="7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An individual who has been designated as accountable for ensuring a specific risk is assessed, treated, and monitored within agreed timelines.</w:t>
            </w:r>
          </w:p>
        </w:tc>
      </w:tr>
      <w:tr>
        <w:tc>
          <w:tcPr>
            <w:tcW w:type="dxa" w:w="2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Control</w:t>
            </w:r>
          </w:p>
        </w:tc>
        <w:tc>
          <w:tcPr>
            <w:tcW w:type="dxa" w:w="7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A measure that modifies risk. Controls include policies, procedures, guidelines, technical safeguards, organizational structures, and awareness training.</w:t>
            </w:r>
          </w:p>
        </w:tc>
      </w:tr>
      <w:tr>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Risk Assessment</w:t>
            </w:r>
          </w:p>
        </w:tc>
        <w:tc>
          <w:tcPr>
            <w:tcW w:type="dxa" w:w="7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The overall process of risk identification, risk analysis, and risk evaluation.</w:t>
            </w:r>
          </w:p>
        </w:tc>
      </w:tr>
    </w:tbl>
    <w:p>
      <w:pPr>
        <w:spacing w:after="120" w:before="0"/>
      </w:pPr>
      <w:r>
        <w:t xml:space="preserve"/>
      </w:r>
    </w:p>
    <w:p>
      <w:r>
        <w:br w:type="page"/>
      </w:r>
    </w:p>
    <w:p>
      <w:pPr>
        <w:pStyle w:val="Heading1"/>
        <w:pBdr>
          <w:bottom w:val="single" w:color="07B4D9" w:sz="8" w:space="4"/>
        </w:pBdr>
        <w:spacing w:after="120" w:before="400"/>
      </w:pPr>
      <w:bookmarkStart w:name="s5" w:id="9"/>
      <w:r>
        <w:rPr>
          <w:rFonts w:ascii="Arial" w:cs="Arial" w:eastAsia="Arial" w:hAnsi="Arial"/>
          <w:b/>
          <w:bCs/>
          <w:color w:val="152168"/>
          <w:sz w:val="30"/>
          <w:szCs w:val="30"/>
        </w:rPr>
        <w:t xml:space="preserve">5. Roles and Responsibilities</w:t>
      </w:r>
      <w:bookmarkEnd w:id="1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Role</w:t>
            </w:r>
          </w:p>
        </w:tc>
        <w:tc>
          <w:tcPr>
            <w:tcW w:type="dxa" w:w="67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Risk Management Responsibilities</w:t>
            </w:r>
          </w:p>
        </w:tc>
      </w:tr>
      <w:tr>
        <w:tc>
          <w:tcPr>
            <w:tcW w:type="dxa" w:w="26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Executive Leadership</w:t>
            </w:r>
          </w:p>
        </w:tc>
        <w:tc>
          <w:tcPr>
            <w:tcW w:type="dxa" w:w="67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Set and approve the organizational risk appetite and risk tolerance thresholds. Authorize treatment plans for Critical and High risks. Review and approve the annual risk appetite statement. Receive quarterly risk reports. Provide resources for risk treatment.</w:t>
            </w:r>
          </w:p>
        </w:tc>
      </w:tr>
      <w:tr>
        <w:tc>
          <w:tcPr>
            <w:tcW w:type="dxa" w:w="2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CISO / vCISO</w:t>
            </w:r>
          </w:p>
        </w:tc>
        <w:tc>
          <w:tcPr>
            <w:tcW w:type="dxa" w:w="67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Own the information security risk management program. Design, implement, and maintain the risk management framework and methodology. Conduct or coordinate risk assessments. Maintain the Risk Register. Prepare and distribute risk reports. Escalate risks exceeding appetite to Executive Leadership. Advise Risk Owners on treatment strategies.</w:t>
            </w:r>
          </w:p>
        </w:tc>
      </w:tr>
      <w:tr>
        <w:tc>
          <w:tcPr>
            <w:tcW w:type="dxa" w:w="26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Risk Owners</w:t>
            </w:r>
          </w:p>
        </w:tc>
        <w:tc>
          <w:tcPr>
            <w:tcW w:type="dxa" w:w="67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Accept accountability for risks assigned to them. Implement and monitor treatment plans within their domain. Escalate risks that cannot be treated within agreed timelines or budgets. Participate in risk assessments relevant to their area. Report changes in risk status to the CISO/vCISO.</w:t>
            </w:r>
          </w:p>
        </w:tc>
      </w:tr>
      <w:tr>
        <w:tc>
          <w:tcPr>
            <w:tcW w:type="dxa" w:w="2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Department Managers</w:t>
            </w:r>
          </w:p>
        </w:tc>
        <w:tc>
          <w:tcPr>
            <w:tcW w:type="dxa" w:w="67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Identify risks arising from their operations and escalate to the CISO/vCISO. Support risk assessments conducted within their area. Ensure their teams comply with risk treatment actions. Act as Risk Owners for operational risks within their department as assigned.</w:t>
            </w:r>
          </w:p>
        </w:tc>
      </w:tr>
      <w:tr>
        <w:tc>
          <w:tcPr>
            <w:tcW w:type="dxa" w:w="26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All Staff</w:t>
            </w:r>
          </w:p>
        </w:tc>
        <w:tc>
          <w:tcPr>
            <w:tcW w:type="dxa" w:w="67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Report identified risks, vulnerabilities, and security concerns to their Department Manager or directly to the CISO/vCISO. Participate in risk-related awareness and training activities. Comply with controls and treatment measures as implemented.</w:t>
            </w:r>
          </w:p>
        </w:tc>
      </w:tr>
    </w:tbl>
    <w:p>
      <w:pPr>
        <w:spacing w:after="120" w:before="0"/>
      </w:pPr>
      <w:r>
        <w:t xml:space="preserve"/>
      </w:r>
    </w:p>
    <w:p>
      <w:r>
        <w:br w:type="page"/>
      </w:r>
    </w:p>
    <w:p>
      <w:pPr>
        <w:pStyle w:val="Heading1"/>
        <w:pBdr>
          <w:bottom w:val="single" w:color="07B4D9" w:sz="8" w:space="4"/>
        </w:pBdr>
        <w:spacing w:after="120" w:before="400"/>
      </w:pPr>
      <w:bookmarkStart w:name="s6" w:id="11"/>
      <w:r>
        <w:rPr>
          <w:rFonts w:ascii="Arial" w:cs="Arial" w:eastAsia="Arial" w:hAnsi="Arial"/>
          <w:b/>
          <w:bCs/>
          <w:color w:val="152168"/>
          <w:sz w:val="30"/>
          <w:szCs w:val="30"/>
        </w:rPr>
        <w:t xml:space="preserve">6. Policy Requirements</w:t>
      </w:r>
      <w:bookmarkEnd w:id="12"/>
    </w:p>
    <w:p>
      <w:pPr>
        <w:pStyle w:val="Heading2"/>
        <w:spacing w:after="80" w:before="280"/>
      </w:pPr>
      <w:r>
        <w:rPr>
          <w:rFonts w:ascii="Arial" w:cs="Arial" w:eastAsia="Arial" w:hAnsi="Arial"/>
          <w:b/>
          <w:bCs/>
          <w:color w:val="152168"/>
          <w:sz w:val="26"/>
          <w:szCs w:val="26"/>
        </w:rPr>
        <w:t xml:space="preserve">6.1  Risk Appetite Statement</w:t>
      </w:r>
    </w:p>
    <w:p>
      <w:pPr>
        <w:spacing w:after="80" w:before="60"/>
        <w:jc w:val="both"/>
      </w:pPr>
      <w:r>
        <w:rPr>
          <w:rFonts w:ascii="Arial" w:cs="Arial" w:eastAsia="Arial" w:hAnsi="Arial"/>
          <w:color w:val="1A2340"/>
          <w:sz w:val="22"/>
          <w:szCs w:val="22"/>
        </w:rPr>
        <w:t xml:space="preserve">The Organization shall maintain a documented Risk Appetite Statement (see Appendix D for template) that defines the levels of risk the Organization is willing to accept. The Risk Appetite Statement shall be approved by Executive Leadership and reviewed annually, specific to information security risk categories, expressed in qualitative terms aligned to the risk rating bands used in this policy, and communicated to all Risk Owners.</w:t>
      </w:r>
    </w:p>
    <w:p>
      <w:pPr>
        <w:spacing w:after="120" w:before="0"/>
      </w:pPr>
      <w:r>
        <w:t xml:space="preserve"/>
      </w:r>
    </w:p>
    <w:p>
      <w:pPr>
        <w:pStyle w:val="Heading3"/>
        <w:spacing w:after="60" w:before="220"/>
      </w:pPr>
      <w:r>
        <w:rPr>
          <w:rFonts w:ascii="Arial" w:cs="Arial" w:eastAsia="Arial" w:hAnsi="Arial"/>
          <w:b/>
          <w:bCs/>
          <w:color w:val="4F46E5"/>
          <w:sz w:val="23"/>
          <w:szCs w:val="23"/>
        </w:rPr>
        <w:t xml:space="preserve">Standard Risk Appetite Framework</w:t>
      </w:r>
    </w:p>
    <w:p>
      <w:pPr>
        <w:spacing w:after="80" w:before="60"/>
        <w:jc w:val="both"/>
      </w:pPr>
      <w:r>
        <w:rPr>
          <w:rFonts w:ascii="Arial" w:cs="Arial" w:eastAsia="Arial" w:hAnsi="Arial"/>
          <w:color w:val="1A2340"/>
          <w:sz w:val="22"/>
          <w:szCs w:val="22"/>
        </w:rPr>
        <w:t xml:space="preserve">In the absence of a formally approved Risk Appetite Statement, the following default framework applies: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c>
          <w:tcPr>
            <w:tcW w:type="dxa" w:w="16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Rating</w:t>
            </w:r>
          </w:p>
        </w:tc>
        <w:tc>
          <w:tcPr>
            <w:tcW w:type="dxa" w:w="20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Score</w:t>
            </w:r>
          </w:p>
        </w:tc>
        <w:tc>
          <w:tcPr>
            <w:tcW w:type="dxa" w:w="57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Default Appetite</w:t>
            </w:r>
          </w:p>
        </w:tc>
      </w:tr>
      <w:tr>
        <w:tc>
          <w:tcPr>
            <w:tcW w:type="dxa" w:w="1600"/>
            <w:tcBorders>
              <w:top w:val="single" w:color="DDE3EF" w:sz="4"/>
              <w:left w:val="single" w:color="DDE3EF" w:sz="4"/>
              <w:bottom w:val="single" w:color="DDE3EF" w:sz="4"/>
              <w:right w:val="single" w:color="DDE3EF" w:sz="4"/>
            </w:tcBorders>
            <w:shd w:fill="DCFCE7" w:val="clear"/>
            <w:tcMar>
              <w:top w:type="dxa" w:w="80"/>
              <w:left w:type="dxa" w:w="120"/>
              <w:bottom w:type="dxa" w:w="80"/>
              <w:right w:type="dxa" w:w="120"/>
            </w:tcMar>
          </w:tcPr>
          <w:p>
            <w:pPr>
              <w:jc w:val="left"/>
            </w:pPr>
            <w:r>
              <w:rPr>
                <w:rFonts w:ascii="Arial" w:cs="Arial" w:eastAsia="Arial" w:hAnsi="Arial"/>
                <w:b/>
                <w:bCs/>
                <w:i w:val="false"/>
                <w:iCs w:val="false"/>
                <w:color w:val="166534"/>
                <w:sz w:val="20"/>
                <w:szCs w:val="20"/>
              </w:rPr>
              <w:t xml:space="preserve">Low</w:t>
            </w:r>
          </w:p>
        </w:tc>
        <w:tc>
          <w:tcPr>
            <w:tcW w:type="dxa" w:w="2000"/>
            <w:tcBorders>
              <w:top w:val="single" w:color="DDE3EF" w:sz="4"/>
              <w:left w:val="single" w:color="DDE3EF" w:sz="4"/>
              <w:bottom w:val="single" w:color="DDE3EF" w:sz="4"/>
              <w:right w:val="single" w:color="DDE3EF" w:sz="4"/>
            </w:tcBorders>
            <w:shd w:fill="F0FDF4"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1 - 5</w:t>
            </w:r>
          </w:p>
        </w:tc>
        <w:tc>
          <w:tcPr>
            <w:tcW w:type="dxa" w:w="5760"/>
            <w:tcBorders>
              <w:top w:val="single" w:color="DDE3EF" w:sz="4"/>
              <w:left w:val="single" w:color="DDE3EF" w:sz="4"/>
              <w:bottom w:val="single" w:color="DDE3EF" w:sz="4"/>
              <w:right w:val="single" w:color="DDE3EF" w:sz="4"/>
            </w:tcBorders>
            <w:shd w:fill="F0FDF4"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Accepted without formal treatment. Document in Risk Register. Monitor annually.</w:t>
            </w:r>
          </w:p>
        </w:tc>
      </w:tr>
      <w:tr>
        <w:tc>
          <w:tcPr>
            <w:tcW w:type="dxa" w:w="1600"/>
            <w:tcBorders>
              <w:top w:val="single" w:color="DDE3EF" w:sz="4"/>
              <w:left w:val="single" w:color="DDE3EF" w:sz="4"/>
              <w:bottom w:val="single" w:color="DDE3EF" w:sz="4"/>
              <w:right w:val="single" w:color="DDE3EF" w:sz="4"/>
            </w:tcBorders>
            <w:shd w:fill="FEF3C7" w:val="clear"/>
            <w:tcMar>
              <w:top w:type="dxa" w:w="80"/>
              <w:left w:type="dxa" w:w="120"/>
              <w:bottom w:type="dxa" w:w="80"/>
              <w:right w:type="dxa" w:w="120"/>
            </w:tcMar>
          </w:tcPr>
          <w:p>
            <w:pPr>
              <w:jc w:val="left"/>
            </w:pPr>
            <w:r>
              <w:rPr>
                <w:rFonts w:ascii="Arial" w:cs="Arial" w:eastAsia="Arial" w:hAnsi="Arial"/>
                <w:b/>
                <w:bCs/>
                <w:i w:val="false"/>
                <w:iCs w:val="false"/>
                <w:color w:val="92400E"/>
                <w:sz w:val="20"/>
                <w:szCs w:val="20"/>
              </w:rPr>
              <w:t xml:space="preserve">Medium</w:t>
            </w:r>
          </w:p>
        </w:tc>
        <w:tc>
          <w:tcPr>
            <w:tcW w:type="dxa" w:w="2000"/>
            <w:tcBorders>
              <w:top w:val="single" w:color="DDE3EF" w:sz="4"/>
              <w:left w:val="single" w:color="DDE3EF" w:sz="4"/>
              <w:bottom w:val="single" w:color="DDE3EF" w:sz="4"/>
              <w:right w:val="single" w:color="DDE3EF" w:sz="4"/>
            </w:tcBorders>
            <w:shd w:fill="FFFBEB"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6 - 11</w:t>
            </w:r>
          </w:p>
        </w:tc>
        <w:tc>
          <w:tcPr>
            <w:tcW w:type="dxa" w:w="5760"/>
            <w:tcBorders>
              <w:top w:val="single" w:color="DDE3EF" w:sz="4"/>
              <w:left w:val="single" w:color="DDE3EF" w:sz="4"/>
              <w:bottom w:val="single" w:color="DDE3EF" w:sz="4"/>
              <w:right w:val="single" w:color="DDE3EF" w:sz="4"/>
            </w:tcBorders>
            <w:shd w:fill="FFFBEB"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Requires documented treatment plan with assigned owner and target date. CISO/vCISO approval required for formal acceptance.</w:t>
            </w:r>
          </w:p>
        </w:tc>
      </w:tr>
      <w:tr>
        <w:tc>
          <w:tcPr>
            <w:tcW w:type="dxa" w:w="1600"/>
            <w:tcBorders>
              <w:top w:val="single" w:color="DDE3EF" w:sz="4"/>
              <w:left w:val="single" w:color="DDE3EF" w:sz="4"/>
              <w:bottom w:val="single" w:color="DDE3EF" w:sz="4"/>
              <w:right w:val="single" w:color="DDE3EF" w:sz="4"/>
            </w:tcBorders>
            <w:shd w:fill="FEE2E2" w:val="clear"/>
            <w:tcMar>
              <w:top w:type="dxa" w:w="80"/>
              <w:left w:type="dxa" w:w="120"/>
              <w:bottom w:type="dxa" w:w="80"/>
              <w:right w:type="dxa" w:w="120"/>
            </w:tcMar>
          </w:tcPr>
          <w:p>
            <w:pPr>
              <w:jc w:val="left"/>
            </w:pPr>
            <w:r>
              <w:rPr>
                <w:rFonts w:ascii="Arial" w:cs="Arial" w:eastAsia="Arial" w:hAnsi="Arial"/>
                <w:b/>
                <w:bCs/>
                <w:i w:val="false"/>
                <w:iCs w:val="false"/>
                <w:color w:val="991B1B"/>
                <w:sz w:val="20"/>
                <w:szCs w:val="20"/>
              </w:rPr>
              <w:t xml:space="preserve">High</w:t>
            </w:r>
          </w:p>
        </w:tc>
        <w:tc>
          <w:tcPr>
            <w:tcW w:type="dxa" w:w="2000"/>
            <w:tcBorders>
              <w:top w:val="single" w:color="DDE3EF" w:sz="4"/>
              <w:left w:val="single" w:color="DDE3EF" w:sz="4"/>
              <w:bottom w:val="single" w:color="DDE3EF" w:sz="4"/>
              <w:right w:val="single" w:color="DDE3EF" w:sz="4"/>
            </w:tcBorders>
            <w:shd w:fill="FFF5F5"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12 - 19</w:t>
            </w:r>
          </w:p>
        </w:tc>
        <w:tc>
          <w:tcPr>
            <w:tcW w:type="dxa" w:w="5760"/>
            <w:tcBorders>
              <w:top w:val="single" w:color="DDE3EF" w:sz="4"/>
              <w:left w:val="single" w:color="DDE3EF" w:sz="4"/>
              <w:bottom w:val="single" w:color="DDE3EF" w:sz="4"/>
              <w:right w:val="single" w:color="DDE3EF" w:sz="4"/>
            </w:tcBorders>
            <w:shd w:fill="FFF5F5"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Requires executive approval and documented treatment plan. Treatment must be initiated within 90 days. Tracked in monthly risk reporting.</w:t>
            </w:r>
          </w:p>
        </w:tc>
      </w:tr>
      <w:tr>
        <w:tc>
          <w:tcPr>
            <w:tcW w:type="dxa" w:w="1600"/>
            <w:tcBorders>
              <w:top w:val="single" w:color="DDE3EF" w:sz="4"/>
              <w:left w:val="single" w:color="DDE3EF" w:sz="4"/>
              <w:bottom w:val="single" w:color="DDE3EF" w:sz="4"/>
              <w:right w:val="single" w:color="DDE3EF" w:sz="4"/>
            </w:tcBorders>
            <w:shd w:fill="7F1D1D"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Critical</w:t>
            </w:r>
          </w:p>
        </w:tc>
        <w:tc>
          <w:tcPr>
            <w:tcW w:type="dxa" w:w="2000"/>
            <w:tcBorders>
              <w:top w:val="single" w:color="DDE3EF" w:sz="4"/>
              <w:left w:val="single" w:color="DDE3EF" w:sz="4"/>
              <w:bottom w:val="single" w:color="DDE3EF" w:sz="4"/>
              <w:right w:val="single" w:color="DDE3EF" w:sz="4"/>
            </w:tcBorders>
            <w:shd w:fill="991B1B" w:val="clear"/>
            <w:tcMar>
              <w:top w:type="dxa" w:w="80"/>
              <w:left w:type="dxa" w:w="120"/>
              <w:bottom w:type="dxa" w:w="80"/>
              <w:right w:type="dxa" w:w="120"/>
            </w:tcMar>
          </w:tcPr>
          <w:p>
            <w:pPr>
              <w:jc w:val="left"/>
            </w:pPr>
            <w:r>
              <w:rPr>
                <w:rFonts w:ascii="Arial" w:cs="Arial" w:eastAsia="Arial" w:hAnsi="Arial"/>
                <w:b w:val="false"/>
                <w:bCs w:val="false"/>
                <w:i w:val="false"/>
                <w:iCs w:val="false"/>
                <w:color w:val="FFFFFF"/>
                <w:sz w:val="20"/>
                <w:szCs w:val="20"/>
              </w:rPr>
              <w:t xml:space="preserve">20 - 25</w:t>
            </w:r>
          </w:p>
        </w:tc>
        <w:tc>
          <w:tcPr>
            <w:tcW w:type="dxa" w:w="57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Requires immediate treatment and immediate executive notification. Treatment plan approved within 48 hours. Weekly status updates until risk is reduced to High or below.</w:t>
            </w:r>
          </w:p>
        </w:tc>
      </w:tr>
    </w:tbl>
    <w:p>
      <w:pPr>
        <w:spacing w:after="120" w:before="0"/>
      </w:pPr>
      <w:r>
        <w:t xml:space="preserve"/>
      </w:r>
    </w:p>
    <w:p>
      <w:pPr>
        <w:pStyle w:val="Heading2"/>
        <w:spacing w:after="80" w:before="280"/>
      </w:pPr>
      <w:r>
        <w:rPr>
          <w:rFonts w:ascii="Arial" w:cs="Arial" w:eastAsia="Arial" w:hAnsi="Arial"/>
          <w:b/>
          <w:bCs/>
          <w:color w:val="152168"/>
          <w:sz w:val="26"/>
          <w:szCs w:val="26"/>
        </w:rPr>
        <w:t xml:space="preserve">6.2  Risk Assessment Process</w:t>
      </w:r>
    </w:p>
    <w:p>
      <w:pPr>
        <w:pStyle w:val="Heading3"/>
        <w:spacing w:after="60" w:before="220"/>
      </w:pPr>
      <w:r>
        <w:rPr>
          <w:rFonts w:ascii="Arial" w:cs="Arial" w:eastAsia="Arial" w:hAnsi="Arial"/>
          <w:b/>
          <w:bCs/>
          <w:color w:val="4F46E5"/>
          <w:sz w:val="23"/>
          <w:szCs w:val="23"/>
        </w:rPr>
        <w:t xml:space="preserve">Scope</w:t>
      </w:r>
    </w:p>
    <w:p>
      <w:pPr>
        <w:spacing w:after="80" w:before="60"/>
        <w:jc w:val="both"/>
      </w:pPr>
      <w:r>
        <w:rPr>
          <w:rFonts w:ascii="Arial" w:cs="Arial" w:eastAsia="Arial" w:hAnsi="Arial"/>
          <w:color w:val="1A2340"/>
          <w:sz w:val="22"/>
          <w:szCs w:val="22"/>
        </w:rPr>
        <w:t xml:space="preserve">Risk assessments shall cover all information assets, systems, and processes within the ISMS scope. Each assessment shall define the specific assets and processes in scope, the assessment methodology used, and the timeframe covered.</w:t>
      </w:r>
    </w:p>
    <w:p>
      <w:pPr>
        <w:spacing w:after="120" w:before="0"/>
      </w:pPr>
      <w:r>
        <w:t xml:space="preserve"/>
      </w:r>
    </w:p>
    <w:p>
      <w:pPr>
        <w:pStyle w:val="Heading3"/>
        <w:spacing w:after="60" w:before="220"/>
      </w:pPr>
      <w:r>
        <w:rPr>
          <w:rFonts w:ascii="Arial" w:cs="Arial" w:eastAsia="Arial" w:hAnsi="Arial"/>
          <w:b/>
          <w:bCs/>
          <w:color w:val="4F46E5"/>
          <w:sz w:val="23"/>
          <w:szCs w:val="23"/>
        </w:rPr>
        <w:t xml:space="preserve">Frequency</w:t>
      </w:r>
    </w:p>
    <w:p>
      <w:pPr>
        <w:spacing w:after="80" w:before="60"/>
        <w:jc w:val="both"/>
      </w:pPr>
      <w:r>
        <w:rPr>
          <w:rFonts w:ascii="Arial" w:cs="Arial" w:eastAsia="Arial" w:hAnsi="Arial"/>
          <w:color w:val="1A2340"/>
          <w:sz w:val="22"/>
          <w:szCs w:val="22"/>
        </w:rPr>
        <w:t xml:space="preserve">Risk assessments shall be conducted at the following intervals:</w:t>
      </w:r>
    </w:p>
    <w:p>
      <w:pPr>
        <w:pStyle w:val="ListParagraph"/>
        <w:numPr>
          <w:ilvl w:val="0"/>
          <w:numId w:val="2"/>
        </w:numPr>
        <w:spacing w:after="40" w:before="40"/>
      </w:pPr>
      <w:r>
        <w:rPr>
          <w:rFonts w:ascii="Arial" w:cs="Arial" w:eastAsia="Arial" w:hAnsi="Arial"/>
          <w:color w:val="1A2340"/>
          <w:sz w:val="22"/>
          <w:szCs w:val="22"/>
        </w:rPr>
        <w:t xml:space="preserve">Annual: A comprehensive review of the full risk register and all risk categories</w:t>
      </w:r>
    </w:p>
    <w:p>
      <w:pPr>
        <w:pStyle w:val="ListParagraph"/>
        <w:numPr>
          <w:ilvl w:val="0"/>
          <w:numId w:val="2"/>
        </w:numPr>
        <w:spacing w:after="40" w:before="40"/>
      </w:pPr>
      <w:r>
        <w:rPr>
          <w:rFonts w:ascii="Arial" w:cs="Arial" w:eastAsia="Arial" w:hAnsi="Arial"/>
          <w:color w:val="1A2340"/>
          <w:sz w:val="22"/>
          <w:szCs w:val="22"/>
        </w:rPr>
        <w:t xml:space="preserve">Trigger-based: When any of the following occur:</w:t>
      </w:r>
    </w:p>
    <w:p>
      <w:pPr>
        <w:pStyle w:val="ListParagraph"/>
        <w:numPr>
          <w:ilvl w:val="1"/>
          <w:numId w:val="2"/>
        </w:numPr>
        <w:spacing w:after="40" w:before="40"/>
      </w:pPr>
      <w:r>
        <w:rPr>
          <w:rFonts w:ascii="Arial" w:cs="Arial" w:eastAsia="Arial" w:hAnsi="Arial"/>
          <w:color w:val="1A2340"/>
          <w:sz w:val="22"/>
          <w:szCs w:val="22"/>
        </w:rPr>
        <w:t xml:space="preserve">Significant change to information systems or infrastructure</w:t>
      </w:r>
    </w:p>
    <w:p>
      <w:pPr>
        <w:pStyle w:val="ListParagraph"/>
        <w:numPr>
          <w:ilvl w:val="1"/>
          <w:numId w:val="2"/>
        </w:numPr>
        <w:spacing w:after="40" w:before="40"/>
      </w:pPr>
      <w:r>
        <w:rPr>
          <w:rFonts w:ascii="Arial" w:cs="Arial" w:eastAsia="Arial" w:hAnsi="Arial"/>
          <w:color w:val="1A2340"/>
          <w:sz w:val="22"/>
          <w:szCs w:val="22"/>
        </w:rPr>
        <w:t xml:space="preserve">Introduction of a new vendor or third-party with access to organizational data</w:t>
      </w:r>
    </w:p>
    <w:p>
      <w:pPr>
        <w:pStyle w:val="ListParagraph"/>
        <w:numPr>
          <w:ilvl w:val="1"/>
          <w:numId w:val="2"/>
        </w:numPr>
        <w:spacing w:after="40" w:before="40"/>
      </w:pPr>
      <w:r>
        <w:rPr>
          <w:rFonts w:ascii="Arial" w:cs="Arial" w:eastAsia="Arial" w:hAnsi="Arial"/>
          <w:color w:val="1A2340"/>
          <w:sz w:val="22"/>
          <w:szCs w:val="22"/>
        </w:rPr>
        <w:t xml:space="preserve">Following a security incident or near-miss</w:t>
      </w:r>
    </w:p>
    <w:p>
      <w:pPr>
        <w:pStyle w:val="ListParagraph"/>
        <w:numPr>
          <w:ilvl w:val="1"/>
          <w:numId w:val="2"/>
        </w:numPr>
        <w:spacing w:after="40" w:before="40"/>
      </w:pPr>
      <w:r>
        <w:rPr>
          <w:rFonts w:ascii="Arial" w:cs="Arial" w:eastAsia="Arial" w:hAnsi="Arial"/>
          <w:color w:val="1A2340"/>
          <w:sz w:val="22"/>
          <w:szCs w:val="22"/>
        </w:rPr>
        <w:t xml:space="preserve">Material change to the regulatory environment</w:t>
      </w:r>
    </w:p>
    <w:p>
      <w:pPr>
        <w:pStyle w:val="ListParagraph"/>
        <w:numPr>
          <w:ilvl w:val="1"/>
          <w:numId w:val="2"/>
        </w:numPr>
        <w:spacing w:after="40" w:before="40"/>
      </w:pPr>
      <w:r>
        <w:rPr>
          <w:rFonts w:ascii="Arial" w:cs="Arial" w:eastAsia="Arial" w:hAnsi="Arial"/>
          <w:color w:val="1A2340"/>
          <w:sz w:val="22"/>
          <w:szCs w:val="22"/>
        </w:rPr>
        <w:t xml:space="preserve">Significant change to the business (merger, acquisition, new product line, new geography)</w:t>
      </w:r>
    </w:p>
    <w:p>
      <w:pPr>
        <w:pStyle w:val="ListParagraph"/>
        <w:numPr>
          <w:ilvl w:val="1"/>
          <w:numId w:val="2"/>
        </w:numPr>
        <w:spacing w:after="40" w:before="40"/>
      </w:pPr>
      <w:r>
        <w:rPr>
          <w:rFonts w:ascii="Arial" w:cs="Arial" w:eastAsia="Arial" w:hAnsi="Arial"/>
          <w:color w:val="1A2340"/>
          <w:sz w:val="22"/>
          <w:szCs w:val="22"/>
        </w:rPr>
        <w:t xml:space="preserve">Identification of a significant new threat or vulnerability</w:t>
      </w:r>
    </w:p>
    <w:p>
      <w:pPr>
        <w:spacing w:after="120" w:before="0"/>
      </w:pPr>
      <w:r>
        <w:t xml:space="preserve"/>
      </w:r>
    </w:p>
    <w:p>
      <w:pPr>
        <w:pStyle w:val="Heading3"/>
        <w:spacing w:after="60" w:before="220"/>
      </w:pPr>
      <w:r>
        <w:rPr>
          <w:rFonts w:ascii="Arial" w:cs="Arial" w:eastAsia="Arial" w:hAnsi="Arial"/>
          <w:b/>
          <w:bCs/>
          <w:color w:val="4F46E5"/>
          <w:sz w:val="23"/>
          <w:szCs w:val="23"/>
        </w:rPr>
        <w:t xml:space="preserve">Methodology</w:t>
      </w:r>
    </w:p>
    <w:p>
      <w:pPr>
        <w:spacing w:after="80" w:before="60"/>
        <w:jc w:val="both"/>
      </w:pPr>
      <w:r>
        <w:rPr>
          <w:rFonts w:ascii="Arial" w:cs="Arial" w:eastAsia="Arial" w:hAnsi="Arial"/>
          <w:color w:val="1A2340"/>
          <w:sz w:val="22"/>
          <w:szCs w:val="22"/>
        </w:rPr>
        <w:t xml:space="preserve">The Organization shall use a qualitative risk assessment methodology based on a 5x5 likelihood and impact matrix, as defined in Section 6.4. Risk assessments shall be documented and retained as records within the Risk Register.</w:t>
      </w:r>
    </w:p>
    <w:p>
      <w:pPr>
        <w:spacing w:after="120" w:before="0"/>
      </w:pPr>
      <w:r>
        <w:t xml:space="preserve"/>
      </w:r>
    </w:p>
    <w:p>
      <w:pPr>
        <w:pStyle w:val="Heading2"/>
        <w:spacing w:after="80" w:before="280"/>
      </w:pPr>
      <w:r>
        <w:rPr>
          <w:rFonts w:ascii="Arial" w:cs="Arial" w:eastAsia="Arial" w:hAnsi="Arial"/>
          <w:b/>
          <w:bCs/>
          <w:color w:val="152168"/>
          <w:sz w:val="26"/>
          <w:szCs w:val="26"/>
        </w:rPr>
        <w:t xml:space="preserve">6.3  Risk Identification</w:t>
      </w:r>
    </w:p>
    <w:p>
      <w:pPr>
        <w:pStyle w:val="Heading3"/>
        <w:spacing w:after="60" w:before="220"/>
      </w:pPr>
      <w:r>
        <w:rPr>
          <w:rFonts w:ascii="Arial" w:cs="Arial" w:eastAsia="Arial" w:hAnsi="Arial"/>
          <w:b/>
          <w:bCs/>
          <w:color w:val="4F46E5"/>
          <w:sz w:val="23"/>
          <w:szCs w:val="23"/>
        </w:rPr>
        <w:t xml:space="preserve">Sources of Risk</w:t>
      </w:r>
    </w:p>
    <w:p>
      <w:pPr>
        <w:spacing w:after="80" w:before="60"/>
        <w:jc w:val="both"/>
      </w:pPr>
      <w:r>
        <w:rPr>
          <w:rFonts w:ascii="Arial" w:cs="Arial" w:eastAsia="Arial" w:hAnsi="Arial"/>
          <w:color w:val="1A2340"/>
          <w:sz w:val="22"/>
          <w:szCs w:val="22"/>
        </w:rPr>
        <w:t xml:space="preserve">Risk identification shall draw on multiple sources to ensure comprehensive coverage:</w:t>
      </w:r>
    </w:p>
    <w:p>
      <w:pPr>
        <w:pStyle w:val="ListParagraph"/>
        <w:numPr>
          <w:ilvl w:val="0"/>
          <w:numId w:val="2"/>
        </w:numPr>
        <w:spacing w:after="40" w:before="40"/>
      </w:pPr>
      <w:r>
        <w:rPr>
          <w:rFonts w:ascii="Arial" w:cs="Arial" w:eastAsia="Arial" w:hAnsi="Arial"/>
          <w:color w:val="1A2340"/>
          <w:sz w:val="22"/>
          <w:szCs w:val="22"/>
        </w:rPr>
        <w:t xml:space="preserve">Threat intelligence feeds and security advisories</w:t>
      </w:r>
    </w:p>
    <w:p>
      <w:pPr>
        <w:pStyle w:val="ListParagraph"/>
        <w:numPr>
          <w:ilvl w:val="0"/>
          <w:numId w:val="2"/>
        </w:numPr>
        <w:spacing w:after="40" w:before="40"/>
      </w:pPr>
      <w:r>
        <w:rPr>
          <w:rFonts w:ascii="Arial" w:cs="Arial" w:eastAsia="Arial" w:hAnsi="Arial"/>
          <w:color w:val="1A2340"/>
          <w:sz w:val="22"/>
          <w:szCs w:val="22"/>
        </w:rPr>
        <w:t xml:space="preserve">Vulnerability scan results and penetration test findings</w:t>
      </w:r>
    </w:p>
    <w:p>
      <w:pPr>
        <w:pStyle w:val="ListParagraph"/>
        <w:numPr>
          <w:ilvl w:val="0"/>
          <w:numId w:val="2"/>
        </w:numPr>
        <w:spacing w:after="40" w:before="40"/>
      </w:pPr>
      <w:r>
        <w:rPr>
          <w:rFonts w:ascii="Arial" w:cs="Arial" w:eastAsia="Arial" w:hAnsi="Arial"/>
          <w:color w:val="1A2340"/>
          <w:sz w:val="22"/>
          <w:szCs w:val="22"/>
        </w:rPr>
        <w:t xml:space="preserve">Internal and external audit findings</w:t>
      </w:r>
    </w:p>
    <w:p>
      <w:pPr>
        <w:pStyle w:val="ListParagraph"/>
        <w:numPr>
          <w:ilvl w:val="0"/>
          <w:numId w:val="2"/>
        </w:numPr>
        <w:spacing w:after="40" w:before="40"/>
      </w:pPr>
      <w:r>
        <w:rPr>
          <w:rFonts w:ascii="Arial" w:cs="Arial" w:eastAsia="Arial" w:hAnsi="Arial"/>
          <w:color w:val="1A2340"/>
          <w:sz w:val="22"/>
          <w:szCs w:val="22"/>
        </w:rPr>
        <w:t xml:space="preserve">Security incident and near-miss history</w:t>
      </w:r>
    </w:p>
    <w:p>
      <w:pPr>
        <w:pStyle w:val="ListParagraph"/>
        <w:numPr>
          <w:ilvl w:val="0"/>
          <w:numId w:val="2"/>
        </w:numPr>
        <w:spacing w:after="40" w:before="40"/>
      </w:pPr>
      <w:r>
        <w:rPr>
          <w:rFonts w:ascii="Arial" w:cs="Arial" w:eastAsia="Arial" w:hAnsi="Arial"/>
          <w:color w:val="1A2340"/>
          <w:sz w:val="22"/>
          <w:szCs w:val="22"/>
        </w:rPr>
        <w:t xml:space="preserve">Business change initiatives and project risk assessments</w:t>
      </w:r>
    </w:p>
    <w:p>
      <w:pPr>
        <w:pStyle w:val="ListParagraph"/>
        <w:numPr>
          <w:ilvl w:val="0"/>
          <w:numId w:val="2"/>
        </w:numPr>
        <w:spacing w:after="40" w:before="40"/>
      </w:pPr>
      <w:r>
        <w:rPr>
          <w:rFonts w:ascii="Arial" w:cs="Arial" w:eastAsia="Arial" w:hAnsi="Arial"/>
          <w:color w:val="1A2340"/>
          <w:sz w:val="22"/>
          <w:szCs w:val="22"/>
        </w:rPr>
        <w:t xml:space="preserve">Vendor and supply chain risk assessments</w:t>
      </w:r>
    </w:p>
    <w:p>
      <w:pPr>
        <w:pStyle w:val="ListParagraph"/>
        <w:numPr>
          <w:ilvl w:val="0"/>
          <w:numId w:val="2"/>
        </w:numPr>
        <w:spacing w:after="40" w:before="40"/>
      </w:pPr>
      <w:r>
        <w:rPr>
          <w:rFonts w:ascii="Arial" w:cs="Arial" w:eastAsia="Arial" w:hAnsi="Arial"/>
          <w:color w:val="1A2340"/>
          <w:sz w:val="22"/>
          <w:szCs w:val="22"/>
        </w:rPr>
        <w:t xml:space="preserve">Regulatory and legal change monitoring</w:t>
      </w:r>
    </w:p>
    <w:p>
      <w:pPr>
        <w:pStyle w:val="ListParagraph"/>
        <w:numPr>
          <w:ilvl w:val="0"/>
          <w:numId w:val="2"/>
        </w:numPr>
        <w:spacing w:after="40" w:before="40"/>
      </w:pPr>
      <w:r>
        <w:rPr>
          <w:rFonts w:ascii="Arial" w:cs="Arial" w:eastAsia="Arial" w:hAnsi="Arial"/>
          <w:color w:val="1A2340"/>
          <w:sz w:val="22"/>
          <w:szCs w:val="22"/>
        </w:rPr>
        <w:t xml:space="preserve">Staff-reported observations and concerns</w:t>
      </w:r>
    </w:p>
    <w:p>
      <w:pPr>
        <w:pStyle w:val="ListParagraph"/>
        <w:numPr>
          <w:ilvl w:val="0"/>
          <w:numId w:val="2"/>
        </w:numPr>
        <w:spacing w:after="40" w:before="40"/>
      </w:pPr>
      <w:r>
        <w:rPr>
          <w:rFonts w:ascii="Arial" w:cs="Arial" w:eastAsia="Arial" w:hAnsi="Arial"/>
          <w:color w:val="1A2340"/>
          <w:sz w:val="22"/>
          <w:szCs w:val="22"/>
        </w:rPr>
        <w:t xml:space="preserve">Industry benchmarking and peer information sharing</w:t>
      </w:r>
    </w:p>
    <w:p>
      <w:pPr>
        <w:spacing w:after="120" w:before="0"/>
      </w:pPr>
      <w:r>
        <w:t xml:space="preserve"/>
      </w:r>
    </w:p>
    <w:p>
      <w:pPr>
        <w:pStyle w:val="Heading3"/>
        <w:spacing w:after="60" w:before="220"/>
      </w:pPr>
      <w:r>
        <w:rPr>
          <w:rFonts w:ascii="Arial" w:cs="Arial" w:eastAsia="Arial" w:hAnsi="Arial"/>
          <w:b/>
          <w:bCs/>
          <w:color w:val="4F46E5"/>
          <w:sz w:val="23"/>
          <w:szCs w:val="23"/>
        </w:rPr>
        <w:t xml:space="preserve">Risk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Category</w:t>
            </w:r>
          </w:p>
        </w:tc>
        <w:tc>
          <w:tcPr>
            <w:tcW w:type="dxa" w:w="71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Description and Examples</w:t>
            </w:r>
          </w:p>
        </w:tc>
      </w:tr>
      <w:tr>
        <w:tc>
          <w:tcPr>
            <w:tcW w:type="dxa" w:w="2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Strategic</w:t>
            </w:r>
          </w:p>
        </w:tc>
        <w:tc>
          <w:tcPr>
            <w:tcW w:type="dxa" w:w="7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Risks to the Organization's strategic objectives, reputation, or market position arising from information security events. Examples: reputational damage from a data breach; loss of competitive advantage from IP theft.</w:t>
            </w:r>
          </w:p>
        </w:tc>
      </w:tr>
      <w:tr>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Operational</w:t>
            </w:r>
          </w:p>
        </w:tc>
        <w:tc>
          <w:tcPr>
            <w:tcW w:type="dxa" w:w="7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Risks from inadequate or failed internal processes, people, and systems. Examples: process failures, human error, system outages, inadequate change management.</w:t>
            </w:r>
          </w:p>
        </w:tc>
      </w:tr>
      <w:tr>
        <w:tc>
          <w:tcPr>
            <w:tcW w:type="dxa" w:w="2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Technical</w:t>
            </w:r>
          </w:p>
        </w:tc>
        <w:tc>
          <w:tcPr>
            <w:tcW w:type="dxa" w:w="7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Risks arising from technical vulnerabilities, system weaknesses, or failure of technical controls. Examples: unpatched systems, misconfigured cloud services, inadequate encryption, weak access controls.</w:t>
            </w:r>
          </w:p>
        </w:tc>
      </w:tr>
      <w:tr>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Compliance</w:t>
            </w:r>
          </w:p>
        </w:tc>
        <w:tc>
          <w:tcPr>
            <w:tcW w:type="dxa" w:w="7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Risks of failing to meet legal, regulatory, or contractual obligations. Examples: GDPR non-compliance, PCI DSS violations, breach of client data handling contracts.</w:t>
            </w:r>
          </w:p>
        </w:tc>
      </w:tr>
      <w:tr>
        <w:tc>
          <w:tcPr>
            <w:tcW w:type="dxa" w:w="2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Physical</w:t>
            </w:r>
          </w:p>
        </w:tc>
        <w:tc>
          <w:tcPr>
            <w:tcW w:type="dxa" w:w="7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Risks to physical information assets and environments. Examples: theft of devices, unauthorized physical access, natural disaster, infrastructure failure.</w:t>
            </w:r>
          </w:p>
        </w:tc>
      </w:tr>
      <w:tr>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Human</w:t>
            </w:r>
          </w:p>
        </w:tc>
        <w:tc>
          <w:tcPr>
            <w:tcW w:type="dxa" w:w="7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Risks from human behaviour, whether negligent or malicious. Examples: phishing susceptibility, insider threats, social engineering, inadequate security awareness.</w:t>
            </w:r>
          </w:p>
        </w:tc>
      </w:tr>
    </w:tbl>
    <w:p>
      <w:pPr>
        <w:spacing w:after="120" w:before="0"/>
      </w:pPr>
      <w:r>
        <w:t xml:space="preserve"/>
      </w:r>
    </w:p>
    <w:p>
      <w:pPr>
        <w:pStyle w:val="Heading2"/>
        <w:spacing w:after="80" w:before="280"/>
      </w:pPr>
      <w:r>
        <w:rPr>
          <w:rFonts w:ascii="Arial" w:cs="Arial" w:eastAsia="Arial" w:hAnsi="Arial"/>
          <w:b/>
          <w:bCs/>
          <w:color w:val="152168"/>
          <w:sz w:val="26"/>
          <w:szCs w:val="26"/>
        </w:rPr>
        <w:t xml:space="preserve">6.4  Risk Analysis</w:t>
      </w:r>
    </w:p>
    <w:p>
      <w:pPr>
        <w:pStyle w:val="Heading3"/>
        <w:spacing w:after="60" w:before="220"/>
      </w:pPr>
      <w:r>
        <w:rPr>
          <w:rFonts w:ascii="Arial" w:cs="Arial" w:eastAsia="Arial" w:hAnsi="Arial"/>
          <w:b/>
          <w:bCs/>
          <w:color w:val="4F46E5"/>
          <w:sz w:val="23"/>
          <w:szCs w:val="23"/>
        </w:rPr>
        <w:t xml:space="preserve">Likelihood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6460"/>
      </w:tblGrid>
      <w:tr>
        <w:tc>
          <w:tcPr>
            <w:tcW w:type="dxa" w:w="9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Score</w:t>
            </w:r>
          </w:p>
        </w:tc>
        <w:tc>
          <w:tcPr>
            <w:tcW w:type="dxa" w:w="20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Likelihood</w:t>
            </w:r>
          </w:p>
        </w:tc>
        <w:tc>
          <w:tcPr>
            <w:tcW w:type="dxa" w:w="64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Description</w:t>
            </w:r>
          </w:p>
        </w:tc>
      </w:tr>
      <w:tr>
        <w:tc>
          <w:tcPr>
            <w:tcW w:type="dxa" w:w="9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2340"/>
                <w:sz w:val="20"/>
                <w:szCs w:val="20"/>
              </w:rPr>
              <w:t xml:space="preserve">1</w:t>
            </w:r>
          </w:p>
        </w:tc>
        <w:tc>
          <w:tcPr>
            <w:tcW w:type="dxa" w:w="2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Rare</w:t>
            </w:r>
          </w:p>
        </w:tc>
        <w:tc>
          <w:tcPr>
            <w:tcW w:type="dxa" w:w="64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The event is expected to occur only in exceptional circumstances. Less than once every 5 years.</w:t>
            </w:r>
          </w:p>
        </w:tc>
      </w:tr>
      <w:tr>
        <w:tc>
          <w:tcPr>
            <w:tcW w:type="dxa" w:w="9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center"/>
            </w:pPr>
            <w:r>
              <w:rPr>
                <w:rFonts w:ascii="Arial" w:cs="Arial" w:eastAsia="Arial" w:hAnsi="Arial"/>
                <w:b w:val="false"/>
                <w:bCs w:val="false"/>
                <w:i w:val="false"/>
                <w:iCs w:val="false"/>
                <w:color w:val="1A2340"/>
                <w:sz w:val="20"/>
                <w:szCs w:val="20"/>
              </w:rPr>
              <w:t xml:space="preserve">2</w:t>
            </w:r>
          </w:p>
        </w:tc>
        <w:tc>
          <w:tcPr>
            <w:tcW w:type="dxa" w:w="2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Unlikely</w:t>
            </w:r>
          </w:p>
        </w:tc>
        <w:tc>
          <w:tcPr>
            <w:tcW w:type="dxa" w:w="64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The event could occur but is not expected under normal circumstances. Once every 3-5 years.</w:t>
            </w:r>
          </w:p>
        </w:tc>
      </w:tr>
      <w:tr>
        <w:tc>
          <w:tcPr>
            <w:tcW w:type="dxa" w:w="9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2340"/>
                <w:sz w:val="20"/>
                <w:szCs w:val="20"/>
              </w:rPr>
              <w:t xml:space="preserve">3</w:t>
            </w:r>
          </w:p>
        </w:tc>
        <w:tc>
          <w:tcPr>
            <w:tcW w:type="dxa" w:w="2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Possible</w:t>
            </w:r>
          </w:p>
        </w:tc>
        <w:tc>
          <w:tcPr>
            <w:tcW w:type="dxa" w:w="64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The event might occur at some point. Once every 1-3 years.</w:t>
            </w:r>
          </w:p>
        </w:tc>
      </w:tr>
      <w:tr>
        <w:tc>
          <w:tcPr>
            <w:tcW w:type="dxa" w:w="9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center"/>
            </w:pPr>
            <w:r>
              <w:rPr>
                <w:rFonts w:ascii="Arial" w:cs="Arial" w:eastAsia="Arial" w:hAnsi="Arial"/>
                <w:b w:val="false"/>
                <w:bCs w:val="false"/>
                <w:i w:val="false"/>
                <w:iCs w:val="false"/>
                <w:color w:val="1A2340"/>
                <w:sz w:val="20"/>
                <w:szCs w:val="20"/>
              </w:rPr>
              <w:t xml:space="preserve">4</w:t>
            </w:r>
          </w:p>
        </w:tc>
        <w:tc>
          <w:tcPr>
            <w:tcW w:type="dxa" w:w="2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Likely</w:t>
            </w:r>
          </w:p>
        </w:tc>
        <w:tc>
          <w:tcPr>
            <w:tcW w:type="dxa" w:w="64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The event will probably occur in most circumstances. Once or twice per year.</w:t>
            </w:r>
          </w:p>
        </w:tc>
      </w:tr>
      <w:tr>
        <w:tc>
          <w:tcPr>
            <w:tcW w:type="dxa" w:w="9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2340"/>
                <w:sz w:val="20"/>
                <w:szCs w:val="20"/>
              </w:rPr>
              <w:t xml:space="preserve">5</w:t>
            </w:r>
          </w:p>
        </w:tc>
        <w:tc>
          <w:tcPr>
            <w:tcW w:type="dxa" w:w="2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Almost Certain</w:t>
            </w:r>
          </w:p>
        </w:tc>
        <w:tc>
          <w:tcPr>
            <w:tcW w:type="dxa" w:w="64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The event is expected to occur frequently. Multiple times per year or continuously exploited.</w:t>
            </w:r>
          </w:p>
        </w:tc>
      </w:tr>
    </w:tbl>
    <w:p>
      <w:pPr>
        <w:spacing w:after="120" w:before="0"/>
      </w:pPr>
      <w:r>
        <w:t xml:space="preserve"/>
      </w:r>
    </w:p>
    <w:p>
      <w:pPr>
        <w:pStyle w:val="Heading3"/>
        <w:spacing w:after="60" w:before="220"/>
      </w:pPr>
      <w:r>
        <w:rPr>
          <w:rFonts w:ascii="Arial" w:cs="Arial" w:eastAsia="Arial" w:hAnsi="Arial"/>
          <w:b/>
          <w:bCs/>
          <w:color w:val="4F46E5"/>
          <w:sz w:val="23"/>
          <w:szCs w:val="23"/>
        </w:rPr>
        <w:t xml:space="preserve">Impact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6460"/>
      </w:tblGrid>
      <w:tr>
        <w:tc>
          <w:tcPr>
            <w:tcW w:type="dxa" w:w="9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Score</w:t>
            </w:r>
          </w:p>
        </w:tc>
        <w:tc>
          <w:tcPr>
            <w:tcW w:type="dxa" w:w="20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Impact</w:t>
            </w:r>
          </w:p>
        </w:tc>
        <w:tc>
          <w:tcPr>
            <w:tcW w:type="dxa" w:w="64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Description (Confidentiality, Integrity, Availability, Financial, Reputational)</w:t>
            </w:r>
          </w:p>
        </w:tc>
      </w:tr>
      <w:tr>
        <w:tc>
          <w:tcPr>
            <w:tcW w:type="dxa" w:w="9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2340"/>
                <w:sz w:val="20"/>
                <w:szCs w:val="20"/>
              </w:rPr>
              <w:t xml:space="preserve">1</w:t>
            </w:r>
          </w:p>
        </w:tc>
        <w:tc>
          <w:tcPr>
            <w:tcW w:type="dxa" w:w="2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Negligible</w:t>
            </w:r>
          </w:p>
        </w:tc>
        <w:tc>
          <w:tcPr>
            <w:tcW w:type="dxa" w:w="64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Minimal or no measurable impact. Confidentiality: limited scope internal disclosure. Integrity: minor data errors, easily corrected. Availability: outage under 1 hour. Financial: under $10,000. Reputational: internal only, no external visibility.</w:t>
            </w:r>
          </w:p>
        </w:tc>
      </w:tr>
      <w:tr>
        <w:tc>
          <w:tcPr>
            <w:tcW w:type="dxa" w:w="9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center"/>
            </w:pPr>
            <w:r>
              <w:rPr>
                <w:rFonts w:ascii="Arial" w:cs="Arial" w:eastAsia="Arial" w:hAnsi="Arial"/>
                <w:b w:val="false"/>
                <w:bCs w:val="false"/>
                <w:i w:val="false"/>
                <w:iCs w:val="false"/>
                <w:color w:val="1A2340"/>
                <w:sz w:val="20"/>
                <w:szCs w:val="20"/>
              </w:rPr>
              <w:t xml:space="preserve">2</w:t>
            </w:r>
          </w:p>
        </w:tc>
        <w:tc>
          <w:tcPr>
            <w:tcW w:type="dxa" w:w="2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Minor</w:t>
            </w:r>
          </w:p>
        </w:tc>
        <w:tc>
          <w:tcPr>
            <w:tcW w:type="dxa" w:w="64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Limited impact manageable with normal operations. Confidentiality: limited disclosure of non-sensitive data. Integrity: data errors requiring remediation effort. Availability: outage 1-8 hours. Financial: $10,000-$100,000. Reputational: limited external visibility.</w:t>
            </w:r>
          </w:p>
        </w:tc>
      </w:tr>
      <w:tr>
        <w:tc>
          <w:tcPr>
            <w:tcW w:type="dxa" w:w="9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2340"/>
                <w:sz w:val="20"/>
                <w:szCs w:val="20"/>
              </w:rPr>
              <w:t xml:space="preserve">3</w:t>
            </w:r>
          </w:p>
        </w:tc>
        <w:tc>
          <w:tcPr>
            <w:tcW w:type="dxa" w:w="2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Moderate</w:t>
            </w:r>
          </w:p>
        </w:tc>
        <w:tc>
          <w:tcPr>
            <w:tcW w:type="dxa" w:w="64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Significant impact requiring additional resources to manage. Confidentiality: disclosure of sensitive data affecting limited individuals. Integrity: significant data corruption. Availability: outage 8-48 hours. Financial: $100,000-$1,000,000. Reputational: moderate media attention.</w:t>
            </w:r>
          </w:p>
        </w:tc>
      </w:tr>
      <w:tr>
        <w:tc>
          <w:tcPr>
            <w:tcW w:type="dxa" w:w="9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center"/>
            </w:pPr>
            <w:r>
              <w:rPr>
                <w:rFonts w:ascii="Arial" w:cs="Arial" w:eastAsia="Arial" w:hAnsi="Arial"/>
                <w:b w:val="false"/>
                <w:bCs w:val="false"/>
                <w:i w:val="false"/>
                <w:iCs w:val="false"/>
                <w:color w:val="1A2340"/>
                <w:sz w:val="20"/>
                <w:szCs w:val="20"/>
              </w:rPr>
              <w:t xml:space="preserve">4</w:t>
            </w:r>
          </w:p>
        </w:tc>
        <w:tc>
          <w:tcPr>
            <w:tcW w:type="dxa" w:w="2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Major</w:t>
            </w:r>
          </w:p>
        </w:tc>
        <w:tc>
          <w:tcPr>
            <w:tcW w:type="dxa" w:w="64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Major impact with serious consequences. Confidentiality: large-scale disclosure of personal or confidential data. Integrity: widespread data corruption. Availability: outage 2-7 days. Financial: $1,000,000-$10,000,000. Reputational: significant media coverage, regulatory scrutiny.</w:t>
            </w:r>
          </w:p>
        </w:tc>
      </w:tr>
      <w:tr>
        <w:tc>
          <w:tcPr>
            <w:tcW w:type="dxa" w:w="9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2340"/>
                <w:sz w:val="20"/>
                <w:szCs w:val="20"/>
              </w:rPr>
              <w:t xml:space="preserve">5</w:t>
            </w:r>
          </w:p>
        </w:tc>
        <w:tc>
          <w:tcPr>
            <w:tcW w:type="dxa" w:w="2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Catastrophic</w:t>
            </w:r>
          </w:p>
        </w:tc>
        <w:tc>
          <w:tcPr>
            <w:tcW w:type="dxa" w:w="64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Existential impact threatening organizational viability. Confidentiality: mass disclosure of highly sensitive data. Integrity: complete corruption of critical systems. Availability: outage exceeding 1 week. Financial: over $10,000,000 or regulatory fine exceeding annual revenue. Reputational: sustained national media coverage, criminal investigation.</w:t>
            </w:r>
          </w:p>
        </w:tc>
      </w:tr>
    </w:tbl>
    <w:p>
      <w:pPr>
        <w:spacing w:after="120" w:before="0"/>
      </w:pPr>
      <w:r>
        <w:t xml:space="preserve"/>
      </w:r>
    </w:p>
    <w:p>
      <w:pPr>
        <w:pStyle w:val="Heading3"/>
        <w:spacing w:after="60" w:before="220"/>
      </w:pPr>
      <w:r>
        <w:rPr>
          <w:rFonts w:ascii="Arial" w:cs="Arial" w:eastAsia="Arial" w:hAnsi="Arial"/>
          <w:b/>
          <w:bCs/>
          <w:color w:val="4F46E5"/>
          <w:sz w:val="23"/>
          <w:szCs w:val="23"/>
        </w:rPr>
        <w:t xml:space="preserve">Risk Score and Rating Bands</w:t>
      </w:r>
    </w:p>
    <w:p>
      <w:pPr>
        <w:spacing w:after="80" w:before="60"/>
        <w:jc w:val="both"/>
      </w:pPr>
      <w:r>
        <w:rPr>
          <w:rFonts w:ascii="Arial" w:cs="Arial" w:eastAsia="Arial" w:hAnsi="Arial"/>
          <w:color w:val="1A2340"/>
          <w:sz w:val="22"/>
          <w:szCs w:val="22"/>
        </w:rPr>
        <w:t xml:space="preserve">Risk Score = Likelihood Score x Impact Score. Scores map to the following rating bands: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Rating</w:t>
            </w:r>
          </w:p>
        </w:tc>
        <w:tc>
          <w:tcPr>
            <w:tcW w:type="dxa" w:w="18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Score Range</w:t>
            </w:r>
          </w:p>
        </w:tc>
        <w:tc>
          <w:tcPr>
            <w:tcW w:type="dxa" w:w="51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Required Response</w:t>
            </w:r>
          </w:p>
        </w:tc>
      </w:tr>
      <w:tr>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991B1B"/>
                <w:sz w:val="20"/>
                <w:szCs w:val="20"/>
              </w:rPr>
              <w:t xml:space="preserve">Critical</w:t>
            </w:r>
          </w:p>
        </w:tc>
        <w:tc>
          <w:tcPr>
            <w:tcW w:type="dxa" w:w="1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20 - 25</w:t>
            </w:r>
          </w:p>
        </w:tc>
        <w:tc>
          <w:tcPr>
            <w:tcW w:type="dxa" w:w="5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Immediate treatment. Executive notification. Weekly tracking.</w:t>
            </w:r>
          </w:p>
        </w:tc>
      </w:tr>
      <w:tr>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B45309"/>
                <w:sz w:val="20"/>
                <w:szCs w:val="20"/>
              </w:rPr>
              <w:t xml:space="preserve">High</w:t>
            </w:r>
          </w:p>
        </w:tc>
        <w:tc>
          <w:tcPr>
            <w:tcW w:type="dxa" w:w="1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12 - 19</w:t>
            </w:r>
          </w:p>
        </w:tc>
        <w:tc>
          <w:tcPr>
            <w:tcW w:type="dxa" w:w="5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Treatment within 90 days. Executive approval required for acceptance. Monthly tracking.</w:t>
            </w:r>
          </w:p>
        </w:tc>
      </w:tr>
      <w:tr>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92400E"/>
                <w:sz w:val="20"/>
                <w:szCs w:val="20"/>
              </w:rPr>
              <w:t xml:space="preserve">Medium</w:t>
            </w:r>
          </w:p>
        </w:tc>
        <w:tc>
          <w:tcPr>
            <w:tcW w:type="dxa" w:w="1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6 - 11</w:t>
            </w:r>
          </w:p>
        </w:tc>
        <w:tc>
          <w:tcPr>
            <w:tcW w:type="dxa" w:w="5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Documented treatment plan required. CISO/vCISO oversight. Quarterly tracking.</w:t>
            </w:r>
          </w:p>
        </w:tc>
      </w:tr>
      <w:tr>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66534"/>
                <w:sz w:val="20"/>
                <w:szCs w:val="20"/>
              </w:rPr>
              <w:t xml:space="preserve">Low</w:t>
            </w:r>
          </w:p>
        </w:tc>
        <w:tc>
          <w:tcPr>
            <w:tcW w:type="dxa" w:w="1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1 - 5</w:t>
            </w:r>
          </w:p>
        </w:tc>
        <w:tc>
          <w:tcPr>
            <w:tcW w:type="dxa" w:w="5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Accept with monitoring. Annual review.</w:t>
            </w:r>
          </w:p>
        </w:tc>
      </w:tr>
    </w:tbl>
    <w:p>
      <w:pPr>
        <w:spacing w:after="120" w:before="0"/>
      </w:pPr>
      <w:r>
        <w:t xml:space="preserve"/>
      </w:r>
    </w:p>
    <w:p>
      <w:pPr>
        <w:pStyle w:val="Heading2"/>
        <w:spacing w:after="80" w:before="280"/>
      </w:pPr>
      <w:r>
        <w:rPr>
          <w:rFonts w:ascii="Arial" w:cs="Arial" w:eastAsia="Arial" w:hAnsi="Arial"/>
          <w:b/>
          <w:bCs/>
          <w:color w:val="152168"/>
          <w:sz w:val="26"/>
          <w:szCs w:val="26"/>
        </w:rPr>
        <w:t xml:space="preserve">6.5  Risk Evaluation</w:t>
      </w:r>
    </w:p>
    <w:p>
      <w:pPr>
        <w:spacing w:after="80" w:before="60"/>
        <w:jc w:val="both"/>
      </w:pPr>
      <w:r>
        <w:rPr>
          <w:rFonts w:ascii="Arial" w:cs="Arial" w:eastAsia="Arial" w:hAnsi="Arial"/>
          <w:color w:val="1A2340"/>
          <w:sz w:val="22"/>
          <w:szCs w:val="22"/>
        </w:rPr>
        <w:t xml:space="preserve">Risk evaluation determines whether identified risks are acceptable within the Organization's risk appetite and prioritizes them for treatment. The CISO/vCISO shall compare each assessed risk score against the risk appetite thresholds defined in Section 6.1.</w:t>
      </w:r>
    </w:p>
    <w:p>
      <w:pPr>
        <w:spacing w:after="120" w:before="0"/>
      </w:pPr>
      <w:r>
        <w:t xml:space="preserve"/>
      </w:r>
    </w:p>
    <w:p>
      <w:pPr>
        <w:pStyle w:val="Heading3"/>
        <w:spacing w:after="60" w:before="220"/>
      </w:pPr>
      <w:r>
        <w:rPr>
          <w:rFonts w:ascii="Arial" w:cs="Arial" w:eastAsia="Arial" w:hAnsi="Arial"/>
          <w:b/>
          <w:bCs/>
          <w:color w:val="4F46E5"/>
          <w:sz w:val="23"/>
          <w:szCs w:val="23"/>
        </w:rPr>
        <w:t xml:space="preserve">Prioritization Criteria</w:t>
      </w:r>
    </w:p>
    <w:p>
      <w:pPr>
        <w:spacing w:after="80" w:before="60"/>
        <w:jc w:val="both"/>
      </w:pPr>
      <w:r>
        <w:rPr>
          <w:rFonts w:ascii="Arial" w:cs="Arial" w:eastAsia="Arial" w:hAnsi="Arial"/>
          <w:color w:val="1A2340"/>
          <w:sz w:val="22"/>
          <w:szCs w:val="22"/>
        </w:rPr>
        <w:t xml:space="preserve">When multiple risks require treatment simultaneously, prioritization shall consider:</w:t>
      </w:r>
    </w:p>
    <w:p>
      <w:pPr>
        <w:pStyle w:val="ListParagraph"/>
        <w:numPr>
          <w:ilvl w:val="0"/>
          <w:numId w:val="2"/>
        </w:numPr>
        <w:spacing w:after="40" w:before="40"/>
      </w:pPr>
      <w:r>
        <w:rPr>
          <w:rFonts w:ascii="Arial" w:cs="Arial" w:eastAsia="Arial" w:hAnsi="Arial"/>
          <w:color w:val="1A2340"/>
          <w:sz w:val="22"/>
          <w:szCs w:val="22"/>
        </w:rPr>
        <w:t xml:space="preserve">Risk rating (Critical &gt; High &gt; Medium &gt; Low)</w:t>
      </w:r>
    </w:p>
    <w:p>
      <w:pPr>
        <w:pStyle w:val="ListParagraph"/>
        <w:numPr>
          <w:ilvl w:val="0"/>
          <w:numId w:val="2"/>
        </w:numPr>
        <w:spacing w:after="40" w:before="40"/>
      </w:pPr>
      <w:r>
        <w:rPr>
          <w:rFonts w:ascii="Arial" w:cs="Arial" w:eastAsia="Arial" w:hAnsi="Arial"/>
          <w:color w:val="1A2340"/>
          <w:sz w:val="22"/>
          <w:szCs w:val="22"/>
        </w:rPr>
        <w:t xml:space="preserve">Proximity of threat exploitation (imminent vs. longer-term)</w:t>
      </w:r>
    </w:p>
    <w:p>
      <w:pPr>
        <w:pStyle w:val="ListParagraph"/>
        <w:numPr>
          <w:ilvl w:val="0"/>
          <w:numId w:val="2"/>
        </w:numPr>
        <w:spacing w:after="40" w:before="40"/>
      </w:pPr>
      <w:r>
        <w:rPr>
          <w:rFonts w:ascii="Arial" w:cs="Arial" w:eastAsia="Arial" w:hAnsi="Arial"/>
          <w:color w:val="1A2340"/>
          <w:sz w:val="22"/>
          <w:szCs w:val="22"/>
        </w:rPr>
        <w:t xml:space="preserve">Scope of potential impact (number of affected assets, individuals, or business processes)</w:t>
      </w:r>
    </w:p>
    <w:p>
      <w:pPr>
        <w:pStyle w:val="ListParagraph"/>
        <w:numPr>
          <w:ilvl w:val="0"/>
          <w:numId w:val="2"/>
        </w:numPr>
        <w:spacing w:after="40" w:before="40"/>
      </w:pPr>
      <w:r>
        <w:rPr>
          <w:rFonts w:ascii="Arial" w:cs="Arial" w:eastAsia="Arial" w:hAnsi="Arial"/>
          <w:color w:val="1A2340"/>
          <w:sz w:val="22"/>
          <w:szCs w:val="22"/>
        </w:rPr>
        <w:t xml:space="preserve">Regulatory notification obligations if the risk materializes</w:t>
      </w:r>
    </w:p>
    <w:p>
      <w:pPr>
        <w:pStyle w:val="ListParagraph"/>
        <w:numPr>
          <w:ilvl w:val="0"/>
          <w:numId w:val="2"/>
        </w:numPr>
        <w:spacing w:after="40" w:before="40"/>
      </w:pPr>
      <w:r>
        <w:rPr>
          <w:rFonts w:ascii="Arial" w:cs="Arial" w:eastAsia="Arial" w:hAnsi="Arial"/>
          <w:color w:val="1A2340"/>
          <w:sz w:val="22"/>
          <w:szCs w:val="22"/>
        </w:rPr>
        <w:t xml:space="preserve">Availability of cost-effective controls</w:t>
      </w:r>
    </w:p>
    <w:p>
      <w:pPr>
        <w:pStyle w:val="ListParagraph"/>
        <w:numPr>
          <w:ilvl w:val="0"/>
          <w:numId w:val="2"/>
        </w:numPr>
        <w:spacing w:after="40" w:before="40"/>
      </w:pPr>
      <w:r>
        <w:rPr>
          <w:rFonts w:ascii="Arial" w:cs="Arial" w:eastAsia="Arial" w:hAnsi="Arial"/>
          <w:color w:val="1A2340"/>
          <w:sz w:val="22"/>
          <w:szCs w:val="22"/>
        </w:rPr>
        <w:t xml:space="preserve">Dependencies between risks</w:t>
      </w:r>
    </w:p>
    <w:p>
      <w:pPr>
        <w:spacing w:after="120" w:before="0"/>
      </w:pPr>
      <w:r>
        <w:t xml:space="preserve"/>
      </w:r>
    </w:p>
    <w:p>
      <w:pPr>
        <w:pStyle w:val="Heading2"/>
        <w:spacing w:after="80" w:before="280"/>
      </w:pPr>
      <w:r>
        <w:rPr>
          <w:rFonts w:ascii="Arial" w:cs="Arial" w:eastAsia="Arial" w:hAnsi="Arial"/>
          <w:b/>
          <w:bCs/>
          <w:color w:val="152168"/>
          <w:sz w:val="26"/>
          <w:szCs w:val="26"/>
        </w:rPr>
        <w:t xml:space="preserve">6.6  Risk Treatment Options</w:t>
      </w:r>
    </w:p>
    <w:p>
      <w:pPr>
        <w:spacing w:after="80" w:before="60"/>
        <w:jc w:val="both"/>
      </w:pPr>
      <w:r>
        <w:rPr>
          <w:rFonts w:ascii="Arial" w:cs="Arial" w:eastAsia="Arial" w:hAnsi="Arial"/>
          <w:color w:val="1A2340"/>
          <w:sz w:val="22"/>
          <w:szCs w:val="22"/>
        </w:rPr>
        <w:t xml:space="preserve">For each risk that exceeds the risk appetite, the Risk Owner and CISO/vCISO shall select one of the following treatment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c>
          <w:tcPr>
            <w:tcW w:type="dxa" w:w="16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Option</w:t>
            </w:r>
          </w:p>
        </w:tc>
        <w:tc>
          <w:tcPr>
            <w:tcW w:type="dxa" w:w="30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Description</w:t>
            </w:r>
          </w:p>
        </w:tc>
        <w:tc>
          <w:tcPr>
            <w:tcW w:type="dxa" w:w="47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When to Use</w:t>
            </w:r>
          </w:p>
        </w:tc>
      </w:tr>
      <w:tr>
        <w:tc>
          <w:tcPr>
            <w:tcW w:type="dxa" w:w="1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Mitigate</w:t>
            </w:r>
          </w:p>
        </w:tc>
        <w:tc>
          <w:tcPr>
            <w:tcW w:type="dxa" w:w="3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Implement controls to reduce the likelihood or impact of the risk.</w:t>
            </w:r>
          </w:p>
        </w:tc>
        <w:tc>
          <w:tcPr>
            <w:tcW w:type="dxa" w:w="47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Controls are available and cost-effective relative to the risk reduction achieved.</w:t>
            </w:r>
          </w:p>
        </w:tc>
      </w:tr>
      <w:tr>
        <w:tc>
          <w:tcPr>
            <w:tcW w:type="dxa" w:w="16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Transfer</w:t>
            </w:r>
          </w:p>
        </w:tc>
        <w:tc>
          <w:tcPr>
            <w:tcW w:type="dxa" w:w="3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Shift the financial impact of the risk to a third party (e.g., cyber insurance, contractual liability clauses).</w:t>
            </w:r>
          </w:p>
        </w:tc>
        <w:tc>
          <w:tcPr>
            <w:tcW w:type="dxa" w:w="47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Risk cannot be reduced to appetite through controls alone; financial impact can be contractually or insurance-transferred.</w:t>
            </w:r>
          </w:p>
        </w:tc>
      </w:tr>
      <w:tr>
        <w:tc>
          <w:tcPr>
            <w:tcW w:type="dxa" w:w="1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Accept</w:t>
            </w:r>
          </w:p>
        </w:tc>
        <w:tc>
          <w:tcPr>
            <w:tcW w:type="dxa" w:w="3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Formally accept the risk without additional treatment.</w:t>
            </w:r>
          </w:p>
        </w:tc>
        <w:tc>
          <w:tcPr>
            <w:tcW w:type="dxa" w:w="47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Risk falls within risk appetite, or cost of treatment exceeds the value of the asset. Requires formal acceptance process per Section 6.7.</w:t>
            </w:r>
          </w:p>
        </w:tc>
      </w:tr>
      <w:tr>
        <w:tc>
          <w:tcPr>
            <w:tcW w:type="dxa" w:w="16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Avoid</w:t>
            </w:r>
          </w:p>
        </w:tc>
        <w:tc>
          <w:tcPr>
            <w:tcW w:type="dxa" w:w="3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Eliminate the risk by ceasing the activity that creates it.</w:t>
            </w:r>
          </w:p>
        </w:tc>
        <w:tc>
          <w:tcPr>
            <w:tcW w:type="dxa" w:w="47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Risk is unacceptably high, no effective treatment exists, and the business activity can be discontinued without unacceptable business impact.</w:t>
            </w:r>
          </w:p>
        </w:tc>
      </w:tr>
    </w:tbl>
    <w:p>
      <w:pPr>
        <w:spacing w:after="120" w:before="0"/>
      </w:pPr>
      <w:r>
        <w:t xml:space="preserve"/>
      </w:r>
    </w:p>
    <w:p>
      <w:pPr>
        <w:pStyle w:val="Heading3"/>
        <w:spacing w:after="60" w:before="220"/>
      </w:pPr>
      <w:r>
        <w:rPr>
          <w:rFonts w:ascii="Arial" w:cs="Arial" w:eastAsia="Arial" w:hAnsi="Arial"/>
          <w:b/>
          <w:bCs/>
          <w:color w:val="4F46E5"/>
          <w:sz w:val="23"/>
          <w:szCs w:val="23"/>
        </w:rPr>
        <w:t xml:space="preserve">Treatment Plan Requirements</w:t>
      </w:r>
    </w:p>
    <w:p>
      <w:pPr>
        <w:spacing w:after="80" w:before="60"/>
        <w:jc w:val="both"/>
      </w:pPr>
      <w:r>
        <w:rPr>
          <w:rFonts w:ascii="Arial" w:cs="Arial" w:eastAsia="Arial" w:hAnsi="Arial"/>
          <w:color w:val="1A2340"/>
          <w:sz w:val="22"/>
          <w:szCs w:val="22"/>
        </w:rPr>
        <w:t xml:space="preserve">All Medium, High, and Critical risks must have a documented treatment plan in the Risk Register containing:</w:t>
      </w:r>
    </w:p>
    <w:p>
      <w:pPr>
        <w:pStyle w:val="ListParagraph"/>
        <w:numPr>
          <w:ilvl w:val="0"/>
          <w:numId w:val="2"/>
        </w:numPr>
        <w:spacing w:after="40" w:before="40"/>
      </w:pPr>
      <w:r>
        <w:rPr>
          <w:rFonts w:ascii="Arial" w:cs="Arial" w:eastAsia="Arial" w:hAnsi="Arial"/>
          <w:color w:val="1A2340"/>
          <w:sz w:val="22"/>
          <w:szCs w:val="22"/>
        </w:rPr>
        <w:t xml:space="preserve">Named Risk Owner accountable for the plan</w:t>
      </w:r>
    </w:p>
    <w:p>
      <w:pPr>
        <w:pStyle w:val="ListParagraph"/>
        <w:numPr>
          <w:ilvl w:val="0"/>
          <w:numId w:val="2"/>
        </w:numPr>
        <w:spacing w:after="40" w:before="40"/>
      </w:pPr>
      <w:r>
        <w:rPr>
          <w:rFonts w:ascii="Arial" w:cs="Arial" w:eastAsia="Arial" w:hAnsi="Arial"/>
          <w:color w:val="1A2340"/>
          <w:sz w:val="22"/>
          <w:szCs w:val="22"/>
        </w:rPr>
        <w:t xml:space="preserve">Specific treatment actions with descriptions</w:t>
      </w:r>
    </w:p>
    <w:p>
      <w:pPr>
        <w:pStyle w:val="ListParagraph"/>
        <w:numPr>
          <w:ilvl w:val="0"/>
          <w:numId w:val="2"/>
        </w:numPr>
        <w:spacing w:after="40" w:before="40"/>
      </w:pPr>
      <w:r>
        <w:rPr>
          <w:rFonts w:ascii="Arial" w:cs="Arial" w:eastAsia="Arial" w:hAnsi="Arial"/>
          <w:color w:val="1A2340"/>
          <w:sz w:val="22"/>
          <w:szCs w:val="22"/>
        </w:rPr>
        <w:t xml:space="preserve">Implementation timeline with milestones</w:t>
      </w:r>
    </w:p>
    <w:p>
      <w:pPr>
        <w:pStyle w:val="ListParagraph"/>
        <w:numPr>
          <w:ilvl w:val="0"/>
          <w:numId w:val="2"/>
        </w:numPr>
        <w:spacing w:after="40" w:before="40"/>
      </w:pPr>
      <w:r>
        <w:rPr>
          <w:rFonts w:ascii="Arial" w:cs="Arial" w:eastAsia="Arial" w:hAnsi="Arial"/>
          <w:color w:val="1A2340"/>
          <w:sz w:val="22"/>
          <w:szCs w:val="22"/>
        </w:rPr>
        <w:t xml:space="preserve">Key Performance Indicators (KPIs) for measuring treatment effectiveness</w:t>
      </w:r>
    </w:p>
    <w:p>
      <w:pPr>
        <w:pStyle w:val="ListParagraph"/>
        <w:numPr>
          <w:ilvl w:val="0"/>
          <w:numId w:val="2"/>
        </w:numPr>
        <w:spacing w:after="40" w:before="40"/>
      </w:pPr>
      <w:r>
        <w:rPr>
          <w:rFonts w:ascii="Arial" w:cs="Arial" w:eastAsia="Arial" w:hAnsi="Arial"/>
          <w:color w:val="1A2340"/>
          <w:sz w:val="22"/>
          <w:szCs w:val="22"/>
        </w:rPr>
        <w:t xml:space="preserve">Target review date for residual risk assessment</w:t>
      </w:r>
    </w:p>
    <w:p>
      <w:pPr>
        <w:pStyle w:val="ListParagraph"/>
        <w:numPr>
          <w:ilvl w:val="0"/>
          <w:numId w:val="2"/>
        </w:numPr>
        <w:spacing w:after="40" w:before="40"/>
      </w:pPr>
      <w:r>
        <w:rPr>
          <w:rFonts w:ascii="Arial" w:cs="Arial" w:eastAsia="Arial" w:hAnsi="Arial"/>
          <w:color w:val="1A2340"/>
          <w:sz w:val="22"/>
          <w:szCs w:val="22"/>
        </w:rPr>
        <w:t xml:space="preserve">Estimated cost and approved budget</w:t>
      </w:r>
    </w:p>
    <w:p>
      <w:pPr>
        <w:spacing w:after="120" w:before="0"/>
      </w:pPr>
      <w:r>
        <w:t xml:space="preserve"/>
      </w:r>
    </w:p>
    <w:p>
      <w:pPr>
        <w:pStyle w:val="Heading3"/>
        <w:spacing w:after="60" w:before="220"/>
      </w:pPr>
      <w:r>
        <w:rPr>
          <w:rFonts w:ascii="Arial" w:cs="Arial" w:eastAsia="Arial" w:hAnsi="Arial"/>
          <w:b/>
          <w:bCs/>
          <w:color w:val="4F46E5"/>
          <w:sz w:val="23"/>
          <w:szCs w:val="23"/>
        </w:rPr>
        <w:t xml:space="preserve">Residual Risk Assessment</w:t>
      </w:r>
    </w:p>
    <w:p>
      <w:pPr>
        <w:spacing w:after="80" w:before="60"/>
        <w:jc w:val="both"/>
      </w:pPr>
      <w:r>
        <w:rPr>
          <w:rFonts w:ascii="Arial" w:cs="Arial" w:eastAsia="Arial" w:hAnsi="Arial"/>
          <w:color w:val="1A2340"/>
          <w:sz w:val="22"/>
          <w:szCs w:val="22"/>
        </w:rPr>
        <w:t xml:space="preserve">Following treatment implementation, the Risk Owner and CISO/vCISO shall reassess the risk to determine the residual risk score. If the residual risk score remains above the risk appetite threshold, additional treatment or formal risk acceptance is required.</w:t>
      </w:r>
    </w:p>
    <w:p>
      <w:pPr>
        <w:spacing w:after="120" w:before="0"/>
      </w:pPr>
      <w:r>
        <w:t xml:space="preserve"/>
      </w:r>
    </w:p>
    <w:p>
      <w:pPr>
        <w:pStyle w:val="Heading2"/>
        <w:spacing w:after="80" w:before="280"/>
      </w:pPr>
      <w:r>
        <w:rPr>
          <w:rFonts w:ascii="Arial" w:cs="Arial" w:eastAsia="Arial" w:hAnsi="Arial"/>
          <w:b/>
          <w:bCs/>
          <w:color w:val="152168"/>
          <w:sz w:val="26"/>
          <w:szCs w:val="26"/>
        </w:rPr>
        <w:t xml:space="preserve">6.7  Risk Acceptance</w:t>
      </w:r>
    </w:p>
    <w:p>
      <w:pPr>
        <w:spacing w:after="80" w:before="60"/>
        <w:jc w:val="both"/>
      </w:pPr>
      <w:r>
        <w:rPr>
          <w:rFonts w:ascii="Arial" w:cs="Arial" w:eastAsia="Arial" w:hAnsi="Arial"/>
          <w:color w:val="1A2340"/>
          <w:sz w:val="22"/>
          <w:szCs w:val="22"/>
        </w:rPr>
        <w:t xml:space="preserve">Risk acceptance is a formal process for documenting and approving the decision to tolerate a risk without additional treatment beyond existing controls. Risk acceptance is not a default outcome and requires explicit authorization.</w:t>
      </w:r>
    </w:p>
    <w:p>
      <w:pPr>
        <w:spacing w:after="120" w:before="0"/>
      </w:pPr>
      <w:r>
        <w:t xml:space="preserve"/>
      </w:r>
    </w:p>
    <w:p>
      <w:pPr>
        <w:pStyle w:val="Heading3"/>
        <w:spacing w:after="60" w:before="220"/>
      </w:pPr>
      <w:r>
        <w:rPr>
          <w:rFonts w:ascii="Arial" w:cs="Arial" w:eastAsia="Arial" w:hAnsi="Arial"/>
          <w:b/>
          <w:bCs/>
          <w:color w:val="4F46E5"/>
          <w:sz w:val="23"/>
          <w:szCs w:val="23"/>
        </w:rPr>
        <w:t xml:space="preserve">Authorization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Risk Rating</w:t>
            </w:r>
          </w:p>
        </w:tc>
        <w:tc>
          <w:tcPr>
            <w:tcW w:type="dxa" w:w="24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Authorization Required</w:t>
            </w:r>
          </w:p>
        </w:tc>
        <w:tc>
          <w:tcPr>
            <w:tcW w:type="dxa" w:w="47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Requirements</w:t>
            </w:r>
          </w:p>
        </w:tc>
      </w:tr>
      <w:tr>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92400E"/>
                <w:sz w:val="20"/>
                <w:szCs w:val="20"/>
              </w:rPr>
              <w:t xml:space="preserve">Medium</w:t>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CISO / vCISO</w:t>
            </w:r>
          </w:p>
        </w:tc>
        <w:tc>
          <w:tcPr>
            <w:tcW w:type="dxa" w:w="47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Documented rationale. Compensating controls documented. Time-limited acceptance. Annual renewal.</w:t>
            </w:r>
          </w:p>
        </w:tc>
      </w:tr>
      <w:tr>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991B1B"/>
                <w:sz w:val="20"/>
                <w:szCs w:val="20"/>
              </w:rPr>
              <w:t xml:space="preserve">High</w:t>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CISO/vCISO + Executive Sponsor</w:t>
            </w:r>
          </w:p>
        </w:tc>
        <w:tc>
          <w:tcPr>
            <w:tcW w:type="dxa" w:w="47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All Medium requirements plus written executive sponsor approval. Risk treatment plan on file showing why acceptance is preferred. Six-month maximum acceptance period.</w:t>
            </w:r>
          </w:p>
        </w:tc>
      </w:tr>
      <w:tr>
        <w:tc>
          <w:tcPr>
            <w:tcW w:type="dxa" w:w="2200"/>
            <w:tcBorders>
              <w:top w:val="single" w:color="DDE3EF" w:sz="4"/>
              <w:left w:val="single" w:color="DDE3EF" w:sz="4"/>
              <w:bottom w:val="single" w:color="DDE3EF" w:sz="4"/>
              <w:right w:val="single" w:color="DDE3EF" w:sz="4"/>
            </w:tcBorders>
            <w:shd w:fill="7F1D1D"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Critical</w:t>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Executive Leadership</w:t>
            </w:r>
          </w:p>
        </w:tc>
        <w:tc>
          <w:tcPr>
            <w:tcW w:type="dxa" w:w="47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All High requirements plus board or executive committee approval documented in meeting minutes. Mandatory compensating controls in place. Ninety-day maximum acceptance period with mandatory reassessment.</w:t>
            </w:r>
          </w:p>
        </w:tc>
      </w:tr>
    </w:tbl>
    <w:p>
      <w:pPr>
        <w:spacing w:after="120" w:before="0"/>
      </w:pPr>
      <w:r>
        <w:t xml:space="preserve"/>
      </w:r>
    </w:p>
    <w:p>
      <w:pPr>
        <w:spacing w:after="80" w:before="60"/>
        <w:jc w:val="both"/>
      </w:pPr>
      <w:r>
        <w:rPr>
          <w:rFonts w:ascii="Arial" w:cs="Arial" w:eastAsia="Arial" w:hAnsi="Arial"/>
          <w:color w:val="1A2340"/>
          <w:sz w:val="22"/>
          <w:szCs w:val="22"/>
        </w:rPr>
        <w:t xml:space="preserve">Risk acceptances shall be documented in the Risk Register with the acceptance rationale, authorized signatory, acceptance date, and renewal date. All risk acceptances expire on renewal date and must be formally re-approved or converted to a treatment plan.</w:t>
      </w:r>
    </w:p>
    <w:p>
      <w:pPr>
        <w:spacing w:after="120" w:before="0"/>
      </w:pPr>
      <w:r>
        <w:t xml:space="preserve"/>
      </w:r>
    </w:p>
    <w:p>
      <w:pPr>
        <w:pStyle w:val="Heading2"/>
        <w:spacing w:after="80" w:before="280"/>
      </w:pPr>
      <w:r>
        <w:rPr>
          <w:rFonts w:ascii="Arial" w:cs="Arial" w:eastAsia="Arial" w:hAnsi="Arial"/>
          <w:b/>
          <w:bCs/>
          <w:color w:val="152168"/>
          <w:sz w:val="26"/>
          <w:szCs w:val="26"/>
        </w:rPr>
        <w:t xml:space="preserve">6.8  Risk Register</w:t>
      </w:r>
    </w:p>
    <w:p>
      <w:pPr>
        <w:pStyle w:val="Heading3"/>
        <w:spacing w:after="60" w:before="220"/>
      </w:pPr>
      <w:r>
        <w:rPr>
          <w:rFonts w:ascii="Arial" w:cs="Arial" w:eastAsia="Arial" w:hAnsi="Arial"/>
          <w:b/>
          <w:bCs/>
          <w:color w:val="4F46E5"/>
          <w:sz w:val="23"/>
          <w:szCs w:val="23"/>
        </w:rPr>
        <w:t xml:space="preserve">Mandatory Fields</w:t>
      </w:r>
    </w:p>
    <w:p>
      <w:pPr>
        <w:spacing w:after="80" w:before="60"/>
        <w:jc w:val="both"/>
      </w:pPr>
      <w:r>
        <w:rPr>
          <w:rFonts w:ascii="Arial" w:cs="Arial" w:eastAsia="Arial" w:hAnsi="Arial"/>
          <w:color w:val="1A2340"/>
          <w:sz w:val="22"/>
          <w:szCs w:val="22"/>
        </w:rPr>
        <w:t xml:space="preserve">The Risk Register shall be maintained in an approved secure storage location and shall include the following mandatory fields for each risk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6060"/>
      </w:tblGrid>
      <w:tr>
        <w:tc>
          <w:tcPr>
            <w:tcW w:type="dxa" w:w="5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w:t>
            </w:r>
          </w:p>
        </w:tc>
        <w:tc>
          <w:tcPr>
            <w:tcW w:type="dxa" w:w="28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Field</w:t>
            </w:r>
          </w:p>
        </w:tc>
        <w:tc>
          <w:tcPr>
            <w:tcW w:type="dxa" w:w="60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Description</w:t>
            </w:r>
          </w:p>
        </w:tc>
      </w:tr>
      <w:tr>
        <w:tc>
          <w:tcPr>
            <w:tcW w:type="dxa" w:w="5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center"/>
            </w:pPr>
            <w:r>
              <w:rPr>
                <w:rFonts w:ascii="Arial" w:cs="Arial" w:eastAsia="Arial" w:hAnsi="Arial"/>
                <w:b w:val="false"/>
                <w:bCs w:val="false"/>
                <w:i w:val="false"/>
                <w:iCs w:val="false"/>
                <w:color w:val="1A2340"/>
                <w:sz w:val="20"/>
                <w:szCs w:val="20"/>
              </w:rPr>
              <w:t xml:space="preserve">1</w:t>
            </w:r>
          </w:p>
        </w:tc>
        <w:tc>
          <w:tcPr>
            <w:tcW w:type="dxa" w:w="2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Risk ID</w:t>
            </w:r>
          </w:p>
        </w:tc>
        <w:tc>
          <w:tcPr>
            <w:tcW w:type="dxa" w:w="60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Unique identifier in the format RISK-YYYYNNN</w:t>
            </w:r>
          </w:p>
        </w:tc>
      </w:tr>
      <w:tr>
        <w:tc>
          <w:tcPr>
            <w:tcW w:type="dxa" w:w="5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2340"/>
                <w:sz w:val="20"/>
                <w:szCs w:val="20"/>
              </w:rPr>
              <w:t xml:space="preserve">2</w:t>
            </w:r>
          </w:p>
        </w:tc>
        <w:tc>
          <w:tcPr>
            <w:tcW w:type="dxa" w:w="2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Risk Title</w:t>
            </w:r>
          </w:p>
        </w:tc>
        <w:tc>
          <w:tcPr>
            <w:tcW w:type="dxa" w:w="60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Short descriptive name for the risk</w:t>
            </w:r>
          </w:p>
        </w:tc>
      </w:tr>
      <w:tr>
        <w:tc>
          <w:tcPr>
            <w:tcW w:type="dxa" w:w="5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center"/>
            </w:pPr>
            <w:r>
              <w:rPr>
                <w:rFonts w:ascii="Arial" w:cs="Arial" w:eastAsia="Arial" w:hAnsi="Arial"/>
                <w:b w:val="false"/>
                <w:bCs w:val="false"/>
                <w:i w:val="false"/>
                <w:iCs w:val="false"/>
                <w:color w:val="1A2340"/>
                <w:sz w:val="20"/>
                <w:szCs w:val="20"/>
              </w:rPr>
              <w:t xml:space="preserve">3</w:t>
            </w:r>
          </w:p>
        </w:tc>
        <w:tc>
          <w:tcPr>
            <w:tcW w:type="dxa" w:w="2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Risk Category</w:t>
            </w:r>
          </w:p>
        </w:tc>
        <w:tc>
          <w:tcPr>
            <w:tcW w:type="dxa" w:w="60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Strategic, Operational, Technical, Compliance, Physical, or Human</w:t>
            </w:r>
          </w:p>
        </w:tc>
      </w:tr>
      <w:tr>
        <w:tc>
          <w:tcPr>
            <w:tcW w:type="dxa" w:w="5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2340"/>
                <w:sz w:val="20"/>
                <w:szCs w:val="20"/>
              </w:rPr>
              <w:t xml:space="preserve">4</w:t>
            </w:r>
          </w:p>
        </w:tc>
        <w:tc>
          <w:tcPr>
            <w:tcW w:type="dxa" w:w="2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Risk Description</w:t>
            </w:r>
          </w:p>
        </w:tc>
        <w:tc>
          <w:tcPr>
            <w:tcW w:type="dxa" w:w="60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Clear description of the risk including the threat, vulnerability, and potential impact</w:t>
            </w:r>
          </w:p>
        </w:tc>
      </w:tr>
      <w:tr>
        <w:tc>
          <w:tcPr>
            <w:tcW w:type="dxa" w:w="5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center"/>
            </w:pPr>
            <w:r>
              <w:rPr>
                <w:rFonts w:ascii="Arial" w:cs="Arial" w:eastAsia="Arial" w:hAnsi="Arial"/>
                <w:b w:val="false"/>
                <w:bCs w:val="false"/>
                <w:i w:val="false"/>
                <w:iCs w:val="false"/>
                <w:color w:val="1A2340"/>
                <w:sz w:val="20"/>
                <w:szCs w:val="20"/>
              </w:rPr>
              <w:t xml:space="preserve">5</w:t>
            </w:r>
          </w:p>
        </w:tc>
        <w:tc>
          <w:tcPr>
            <w:tcW w:type="dxa" w:w="2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Information Assets Affected</w:t>
            </w:r>
          </w:p>
        </w:tc>
        <w:tc>
          <w:tcPr>
            <w:tcW w:type="dxa" w:w="60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Systems, data types, or processes affected by this risk</w:t>
            </w:r>
          </w:p>
        </w:tc>
      </w:tr>
      <w:tr>
        <w:tc>
          <w:tcPr>
            <w:tcW w:type="dxa" w:w="5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2340"/>
                <w:sz w:val="20"/>
                <w:szCs w:val="20"/>
              </w:rPr>
              <w:t xml:space="preserve">6</w:t>
            </w:r>
          </w:p>
        </w:tc>
        <w:tc>
          <w:tcPr>
            <w:tcW w:type="dxa" w:w="2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Threat Source</w:t>
            </w:r>
          </w:p>
        </w:tc>
        <w:tc>
          <w:tcPr>
            <w:tcW w:type="dxa" w:w="60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Internal, external, environmental, or supplier-related threat actor or event</w:t>
            </w:r>
          </w:p>
        </w:tc>
      </w:tr>
      <w:tr>
        <w:tc>
          <w:tcPr>
            <w:tcW w:type="dxa" w:w="5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center"/>
            </w:pPr>
            <w:r>
              <w:rPr>
                <w:rFonts w:ascii="Arial" w:cs="Arial" w:eastAsia="Arial" w:hAnsi="Arial"/>
                <w:b w:val="false"/>
                <w:bCs w:val="false"/>
                <w:i w:val="false"/>
                <w:iCs w:val="false"/>
                <w:color w:val="1A2340"/>
                <w:sz w:val="20"/>
                <w:szCs w:val="20"/>
              </w:rPr>
              <w:t xml:space="preserve">7</w:t>
            </w:r>
          </w:p>
        </w:tc>
        <w:tc>
          <w:tcPr>
            <w:tcW w:type="dxa" w:w="2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Existing Controls</w:t>
            </w:r>
          </w:p>
        </w:tc>
        <w:tc>
          <w:tcPr>
            <w:tcW w:type="dxa" w:w="60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Controls currently in place that affect the inherent risk</w:t>
            </w:r>
          </w:p>
        </w:tc>
      </w:tr>
      <w:tr>
        <w:tc>
          <w:tcPr>
            <w:tcW w:type="dxa" w:w="5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2340"/>
                <w:sz w:val="20"/>
                <w:szCs w:val="20"/>
              </w:rPr>
              <w:t xml:space="preserve">8</w:t>
            </w:r>
          </w:p>
        </w:tc>
        <w:tc>
          <w:tcPr>
            <w:tcW w:type="dxa" w:w="2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Inherent Likelihood</w:t>
            </w:r>
          </w:p>
        </w:tc>
        <w:tc>
          <w:tcPr>
            <w:tcW w:type="dxa" w:w="60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1-5 score before existing controls</w:t>
            </w:r>
          </w:p>
        </w:tc>
      </w:tr>
      <w:tr>
        <w:tc>
          <w:tcPr>
            <w:tcW w:type="dxa" w:w="5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center"/>
            </w:pPr>
            <w:r>
              <w:rPr>
                <w:rFonts w:ascii="Arial" w:cs="Arial" w:eastAsia="Arial" w:hAnsi="Arial"/>
                <w:b w:val="false"/>
                <w:bCs w:val="false"/>
                <w:i w:val="false"/>
                <w:iCs w:val="false"/>
                <w:color w:val="1A2340"/>
                <w:sz w:val="20"/>
                <w:szCs w:val="20"/>
              </w:rPr>
              <w:t xml:space="preserve">9</w:t>
            </w:r>
          </w:p>
        </w:tc>
        <w:tc>
          <w:tcPr>
            <w:tcW w:type="dxa" w:w="2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Inherent Impact</w:t>
            </w:r>
          </w:p>
        </w:tc>
        <w:tc>
          <w:tcPr>
            <w:tcW w:type="dxa" w:w="60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1-5 score before existing controls</w:t>
            </w:r>
          </w:p>
        </w:tc>
      </w:tr>
      <w:tr>
        <w:tc>
          <w:tcPr>
            <w:tcW w:type="dxa" w:w="5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2340"/>
                <w:sz w:val="20"/>
                <w:szCs w:val="20"/>
              </w:rPr>
              <w:t xml:space="preserve">10</w:t>
            </w:r>
          </w:p>
        </w:tc>
        <w:tc>
          <w:tcPr>
            <w:tcW w:type="dxa" w:w="2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Inherent Risk Score</w:t>
            </w:r>
          </w:p>
        </w:tc>
        <w:tc>
          <w:tcPr>
            <w:tcW w:type="dxa" w:w="60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Inherent Likelihood x Inherent Impact</w:t>
            </w:r>
          </w:p>
        </w:tc>
      </w:tr>
      <w:tr>
        <w:tc>
          <w:tcPr>
            <w:tcW w:type="dxa" w:w="5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center"/>
            </w:pPr>
            <w:r>
              <w:rPr>
                <w:rFonts w:ascii="Arial" w:cs="Arial" w:eastAsia="Arial" w:hAnsi="Arial"/>
                <w:b w:val="false"/>
                <w:bCs w:val="false"/>
                <w:i w:val="false"/>
                <w:iCs w:val="false"/>
                <w:color w:val="1A2340"/>
                <w:sz w:val="20"/>
                <w:szCs w:val="20"/>
              </w:rPr>
              <w:t xml:space="preserve">11</w:t>
            </w:r>
          </w:p>
        </w:tc>
        <w:tc>
          <w:tcPr>
            <w:tcW w:type="dxa" w:w="2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Inherent Risk Rating</w:t>
            </w:r>
          </w:p>
        </w:tc>
        <w:tc>
          <w:tcPr>
            <w:tcW w:type="dxa" w:w="60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Low / Medium / High / Critical</w:t>
            </w:r>
          </w:p>
        </w:tc>
      </w:tr>
      <w:tr>
        <w:tc>
          <w:tcPr>
            <w:tcW w:type="dxa" w:w="5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2340"/>
                <w:sz w:val="20"/>
                <w:szCs w:val="20"/>
              </w:rPr>
              <w:t xml:space="preserve">12</w:t>
            </w:r>
          </w:p>
        </w:tc>
        <w:tc>
          <w:tcPr>
            <w:tcW w:type="dxa" w:w="2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Residual Likelihood</w:t>
            </w:r>
          </w:p>
        </w:tc>
        <w:tc>
          <w:tcPr>
            <w:tcW w:type="dxa" w:w="60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1-5 score after existing controls</w:t>
            </w:r>
          </w:p>
        </w:tc>
      </w:tr>
      <w:tr>
        <w:tc>
          <w:tcPr>
            <w:tcW w:type="dxa" w:w="5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center"/>
            </w:pPr>
            <w:r>
              <w:rPr>
                <w:rFonts w:ascii="Arial" w:cs="Arial" w:eastAsia="Arial" w:hAnsi="Arial"/>
                <w:b w:val="false"/>
                <w:bCs w:val="false"/>
                <w:i w:val="false"/>
                <w:iCs w:val="false"/>
                <w:color w:val="1A2340"/>
                <w:sz w:val="20"/>
                <w:szCs w:val="20"/>
              </w:rPr>
              <w:t xml:space="preserve">13</w:t>
            </w:r>
          </w:p>
        </w:tc>
        <w:tc>
          <w:tcPr>
            <w:tcW w:type="dxa" w:w="2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Residual Impact</w:t>
            </w:r>
          </w:p>
        </w:tc>
        <w:tc>
          <w:tcPr>
            <w:tcW w:type="dxa" w:w="60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1-5 score after existing controls</w:t>
            </w:r>
          </w:p>
        </w:tc>
      </w:tr>
      <w:tr>
        <w:tc>
          <w:tcPr>
            <w:tcW w:type="dxa" w:w="5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2340"/>
                <w:sz w:val="20"/>
                <w:szCs w:val="20"/>
              </w:rPr>
              <w:t xml:space="preserve">14</w:t>
            </w:r>
          </w:p>
        </w:tc>
        <w:tc>
          <w:tcPr>
            <w:tcW w:type="dxa" w:w="2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Residual Risk Score</w:t>
            </w:r>
          </w:p>
        </w:tc>
        <w:tc>
          <w:tcPr>
            <w:tcW w:type="dxa" w:w="60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Residual Likelihood x Residual Impact</w:t>
            </w:r>
          </w:p>
        </w:tc>
      </w:tr>
      <w:tr>
        <w:tc>
          <w:tcPr>
            <w:tcW w:type="dxa" w:w="5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center"/>
            </w:pPr>
            <w:r>
              <w:rPr>
                <w:rFonts w:ascii="Arial" w:cs="Arial" w:eastAsia="Arial" w:hAnsi="Arial"/>
                <w:b w:val="false"/>
                <w:bCs w:val="false"/>
                <w:i w:val="false"/>
                <w:iCs w:val="false"/>
                <w:color w:val="1A2340"/>
                <w:sz w:val="20"/>
                <w:szCs w:val="20"/>
              </w:rPr>
              <w:t xml:space="preserve">15</w:t>
            </w:r>
          </w:p>
        </w:tc>
        <w:tc>
          <w:tcPr>
            <w:tcW w:type="dxa" w:w="2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Residual Risk Rating</w:t>
            </w:r>
          </w:p>
        </w:tc>
        <w:tc>
          <w:tcPr>
            <w:tcW w:type="dxa" w:w="60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Low / Medium / High / Critical</w:t>
            </w:r>
          </w:p>
        </w:tc>
      </w:tr>
      <w:tr>
        <w:tc>
          <w:tcPr>
            <w:tcW w:type="dxa" w:w="5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2340"/>
                <w:sz w:val="20"/>
                <w:szCs w:val="20"/>
              </w:rPr>
              <w:t xml:space="preserve">16</w:t>
            </w:r>
          </w:p>
        </w:tc>
        <w:tc>
          <w:tcPr>
            <w:tcW w:type="dxa" w:w="2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Treatment Decision</w:t>
            </w:r>
          </w:p>
        </w:tc>
        <w:tc>
          <w:tcPr>
            <w:tcW w:type="dxa" w:w="60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Accept / Mitigate / Transfer / Avoid</w:t>
            </w:r>
          </w:p>
        </w:tc>
      </w:tr>
      <w:tr>
        <w:tc>
          <w:tcPr>
            <w:tcW w:type="dxa" w:w="5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center"/>
            </w:pPr>
            <w:r>
              <w:rPr>
                <w:rFonts w:ascii="Arial" w:cs="Arial" w:eastAsia="Arial" w:hAnsi="Arial"/>
                <w:b w:val="false"/>
                <w:bCs w:val="false"/>
                <w:i w:val="false"/>
                <w:iCs w:val="false"/>
                <w:color w:val="1A2340"/>
                <w:sz w:val="20"/>
                <w:szCs w:val="20"/>
              </w:rPr>
              <w:t xml:space="preserve">17</w:t>
            </w:r>
          </w:p>
        </w:tc>
        <w:tc>
          <w:tcPr>
            <w:tcW w:type="dxa" w:w="2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Treatment Plan</w:t>
            </w:r>
          </w:p>
        </w:tc>
        <w:tc>
          <w:tcPr>
            <w:tcW w:type="dxa" w:w="60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Description of treatment actions, owner, timeline, and KPIs</w:t>
            </w:r>
          </w:p>
        </w:tc>
      </w:tr>
      <w:tr>
        <w:tc>
          <w:tcPr>
            <w:tcW w:type="dxa" w:w="5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2340"/>
                <w:sz w:val="20"/>
                <w:szCs w:val="20"/>
              </w:rPr>
              <w:t xml:space="preserve">18</w:t>
            </w:r>
          </w:p>
        </w:tc>
        <w:tc>
          <w:tcPr>
            <w:tcW w:type="dxa" w:w="2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Risk Owner</w:t>
            </w:r>
          </w:p>
        </w:tc>
        <w:tc>
          <w:tcPr>
            <w:tcW w:type="dxa" w:w="60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Named individual accountable for this risk</w:t>
            </w:r>
          </w:p>
        </w:tc>
      </w:tr>
      <w:tr>
        <w:tc>
          <w:tcPr>
            <w:tcW w:type="dxa" w:w="5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center"/>
            </w:pPr>
            <w:r>
              <w:rPr>
                <w:rFonts w:ascii="Arial" w:cs="Arial" w:eastAsia="Arial" w:hAnsi="Arial"/>
                <w:b w:val="false"/>
                <w:bCs w:val="false"/>
                <w:i w:val="false"/>
                <w:iCs w:val="false"/>
                <w:color w:val="1A2340"/>
                <w:sz w:val="20"/>
                <w:szCs w:val="20"/>
              </w:rPr>
              <w:t xml:space="preserve">19</w:t>
            </w:r>
          </w:p>
        </w:tc>
        <w:tc>
          <w:tcPr>
            <w:tcW w:type="dxa" w:w="2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Target Review Date</w:t>
            </w:r>
          </w:p>
        </w:tc>
        <w:tc>
          <w:tcPr>
            <w:tcW w:type="dxa" w:w="60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Date for next scheduled review of this risk</w:t>
            </w:r>
          </w:p>
        </w:tc>
      </w:tr>
      <w:tr>
        <w:tc>
          <w:tcPr>
            <w:tcW w:type="dxa" w:w="5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2340"/>
                <w:sz w:val="20"/>
                <w:szCs w:val="20"/>
              </w:rPr>
              <w:t xml:space="preserve">20</w:t>
            </w:r>
          </w:p>
        </w:tc>
        <w:tc>
          <w:tcPr>
            <w:tcW w:type="dxa" w:w="2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Status</w:t>
            </w:r>
          </w:p>
        </w:tc>
        <w:tc>
          <w:tcPr>
            <w:tcW w:type="dxa" w:w="60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Active / In Treatment / Accepted / Closed</w:t>
            </w:r>
          </w:p>
        </w:tc>
      </w:tr>
    </w:tbl>
    <w:p>
      <w:pPr>
        <w:spacing w:after="120" w:before="0"/>
      </w:pPr>
      <w:r>
        <w:t xml:space="preserve"/>
      </w:r>
    </w:p>
    <w:p>
      <w:pPr>
        <w:pStyle w:val="Heading3"/>
        <w:spacing w:after="60" w:before="220"/>
      </w:pPr>
      <w:r>
        <w:rPr>
          <w:rFonts w:ascii="Arial" w:cs="Arial" w:eastAsia="Arial" w:hAnsi="Arial"/>
          <w:b/>
          <w:bCs/>
          <w:color w:val="4F46E5"/>
          <w:sz w:val="23"/>
          <w:szCs w:val="23"/>
        </w:rPr>
        <w:t xml:space="preserve">Storage and Access</w:t>
      </w:r>
    </w:p>
    <w:p>
      <w:pPr>
        <w:spacing w:after="80" w:before="60"/>
        <w:jc w:val="both"/>
      </w:pPr>
      <w:r>
        <w:rPr>
          <w:rFonts w:ascii="Arial" w:cs="Arial" w:eastAsia="Arial" w:hAnsi="Arial"/>
          <w:color w:val="1A2340"/>
          <w:sz w:val="22"/>
          <w:szCs w:val="22"/>
        </w:rPr>
        <w:t xml:space="preserve">The Risk Register shall be stored in a location accessible only to authorized personnel. The CISO/vCISO and designated Risk Owners shall have read/write access. Executive Leadership shall have read access. External parties shall not have access without explicit CISO/vCISO authorization.</w:t>
      </w:r>
    </w:p>
    <w:p>
      <w:pPr>
        <w:spacing w:after="120" w:before="0"/>
      </w:pPr>
      <w:r>
        <w:t xml:space="preserve"/>
      </w:r>
    </w:p>
    <w:p>
      <w:pPr>
        <w:pStyle w:val="Heading3"/>
        <w:spacing w:after="60" w:before="220"/>
      </w:pPr>
      <w:r>
        <w:rPr>
          <w:rFonts w:ascii="Arial" w:cs="Arial" w:eastAsia="Arial" w:hAnsi="Arial"/>
          <w:b/>
          <w:bCs/>
          <w:color w:val="4F46E5"/>
          <w:sz w:val="23"/>
          <w:szCs w:val="23"/>
        </w:rPr>
        <w:t xml:space="preserve">Review Cycle</w:t>
      </w:r>
    </w:p>
    <w:p>
      <w:pPr>
        <w:pStyle w:val="ListParagraph"/>
        <w:numPr>
          <w:ilvl w:val="0"/>
          <w:numId w:val="2"/>
        </w:numPr>
        <w:spacing w:after="40" w:before="40"/>
      </w:pPr>
      <w:r>
        <w:rPr>
          <w:rFonts w:ascii="Arial" w:cs="Arial" w:eastAsia="Arial" w:hAnsi="Arial"/>
          <w:color w:val="1A2340"/>
          <w:sz w:val="22"/>
          <w:szCs w:val="22"/>
        </w:rPr>
        <w:t xml:space="preserve">Quarterly: CISO/vCISO reviews all Active and In Treatment risks for status changes, treatment progress, and new or emerging risks</w:t>
      </w:r>
    </w:p>
    <w:p>
      <w:pPr>
        <w:pStyle w:val="ListParagraph"/>
        <w:numPr>
          <w:ilvl w:val="0"/>
          <w:numId w:val="2"/>
        </w:numPr>
        <w:spacing w:after="40" w:before="40"/>
      </w:pPr>
      <w:r>
        <w:rPr>
          <w:rFonts w:ascii="Arial" w:cs="Arial" w:eastAsia="Arial" w:hAnsi="Arial"/>
          <w:color w:val="1A2340"/>
          <w:sz w:val="22"/>
          <w:szCs w:val="22"/>
        </w:rPr>
        <w:t xml:space="preserve">Annual: Comprehensive review of all register entries including Closed and Accepted risks; review of treatment effectiveness; risk rating recalibration</w:t>
      </w:r>
    </w:p>
    <w:p>
      <w:pPr>
        <w:pStyle w:val="ListParagraph"/>
        <w:numPr>
          <w:ilvl w:val="0"/>
          <w:numId w:val="2"/>
        </w:numPr>
        <w:spacing w:after="40" w:before="40"/>
      </w:pPr>
      <w:r>
        <w:rPr>
          <w:rFonts w:ascii="Arial" w:cs="Arial" w:eastAsia="Arial" w:hAnsi="Arial"/>
          <w:color w:val="1A2340"/>
          <w:sz w:val="22"/>
          <w:szCs w:val="22"/>
        </w:rPr>
        <w:t xml:space="preserve">Ad hoc: Following incidents, audit findings, or significant business change</w:t>
      </w:r>
    </w:p>
    <w:p>
      <w:pPr>
        <w:spacing w:after="120" w:before="0"/>
      </w:pPr>
      <w:r>
        <w:t xml:space="preserve"/>
      </w:r>
    </w:p>
    <w:p>
      <w:pPr>
        <w:pStyle w:val="Heading2"/>
        <w:spacing w:after="80" w:before="280"/>
      </w:pPr>
      <w:r>
        <w:rPr>
          <w:rFonts w:ascii="Arial" w:cs="Arial" w:eastAsia="Arial" w:hAnsi="Arial"/>
          <w:b/>
          <w:bCs/>
          <w:color w:val="152168"/>
          <w:sz w:val="26"/>
          <w:szCs w:val="26"/>
        </w:rPr>
        <w:t xml:space="preserve">6.9  Risk Reporting</w:t>
      </w:r>
    </w:p>
    <w:p>
      <w:pPr>
        <w:pStyle w:val="Heading3"/>
        <w:spacing w:after="60" w:before="220"/>
      </w:pPr>
      <w:r>
        <w:rPr>
          <w:rFonts w:ascii="Arial" w:cs="Arial" w:eastAsia="Arial" w:hAnsi="Arial"/>
          <w:b/>
          <w:bCs/>
          <w:color w:val="4F46E5"/>
          <w:sz w:val="23"/>
          <w:szCs w:val="23"/>
        </w:rPr>
        <w:t xml:space="preserve">Quarterly Risk Report</w:t>
      </w:r>
    </w:p>
    <w:p>
      <w:pPr>
        <w:spacing w:after="80" w:before="60"/>
        <w:jc w:val="both"/>
      </w:pPr>
      <w:r>
        <w:rPr>
          <w:rFonts w:ascii="Arial" w:cs="Arial" w:eastAsia="Arial" w:hAnsi="Arial"/>
          <w:color w:val="1A2340"/>
          <w:sz w:val="22"/>
          <w:szCs w:val="22"/>
        </w:rPr>
        <w:t xml:space="preserve">The CISO/vCISO shall prepare and distribute a Quarterly Risk Report to Executive Leadership covering:</w:t>
      </w:r>
    </w:p>
    <w:p>
      <w:pPr>
        <w:pStyle w:val="ListParagraph"/>
        <w:numPr>
          <w:ilvl w:val="0"/>
          <w:numId w:val="2"/>
        </w:numPr>
        <w:spacing w:after="40" w:before="40"/>
      </w:pPr>
      <w:r>
        <w:rPr>
          <w:rFonts w:ascii="Arial" w:cs="Arial" w:eastAsia="Arial" w:hAnsi="Arial"/>
          <w:color w:val="1A2340"/>
          <w:sz w:val="22"/>
          <w:szCs w:val="22"/>
        </w:rPr>
        <w:t xml:space="preserve">Top 10 risks by residual risk score</w:t>
      </w:r>
    </w:p>
    <w:p>
      <w:pPr>
        <w:pStyle w:val="ListParagraph"/>
        <w:numPr>
          <w:ilvl w:val="0"/>
          <w:numId w:val="2"/>
        </w:numPr>
        <w:spacing w:after="40" w:before="40"/>
      </w:pPr>
      <w:r>
        <w:rPr>
          <w:rFonts w:ascii="Arial" w:cs="Arial" w:eastAsia="Arial" w:hAnsi="Arial"/>
          <w:color w:val="1A2340"/>
          <w:sz w:val="22"/>
          <w:szCs w:val="22"/>
        </w:rPr>
        <w:t xml:space="preserve">Treatment plan progress for all High and Critical risks</w:t>
      </w:r>
    </w:p>
    <w:p>
      <w:pPr>
        <w:pStyle w:val="ListParagraph"/>
        <w:numPr>
          <w:ilvl w:val="0"/>
          <w:numId w:val="2"/>
        </w:numPr>
        <w:spacing w:after="40" w:before="40"/>
      </w:pPr>
      <w:r>
        <w:rPr>
          <w:rFonts w:ascii="Arial" w:cs="Arial" w:eastAsia="Arial" w:hAnsi="Arial"/>
          <w:color w:val="1A2340"/>
          <w:sz w:val="22"/>
          <w:szCs w:val="22"/>
        </w:rPr>
        <w:t xml:space="preserve">New risks identified since last report</w:t>
      </w:r>
    </w:p>
    <w:p>
      <w:pPr>
        <w:pStyle w:val="ListParagraph"/>
        <w:numPr>
          <w:ilvl w:val="0"/>
          <w:numId w:val="2"/>
        </w:numPr>
        <w:spacing w:after="40" w:before="40"/>
      </w:pPr>
      <w:r>
        <w:rPr>
          <w:rFonts w:ascii="Arial" w:cs="Arial" w:eastAsia="Arial" w:hAnsi="Arial"/>
          <w:color w:val="1A2340"/>
          <w:sz w:val="22"/>
          <w:szCs w:val="22"/>
        </w:rPr>
        <w:t xml:space="preserve">Risks that have been closed or downgraded since last report</w:t>
      </w:r>
    </w:p>
    <w:p>
      <w:pPr>
        <w:pStyle w:val="ListParagraph"/>
        <w:numPr>
          <w:ilvl w:val="0"/>
          <w:numId w:val="2"/>
        </w:numPr>
        <w:spacing w:after="40" w:before="40"/>
      </w:pPr>
      <w:r>
        <w:rPr>
          <w:rFonts w:ascii="Arial" w:cs="Arial" w:eastAsia="Arial" w:hAnsi="Arial"/>
          <w:color w:val="1A2340"/>
          <w:sz w:val="22"/>
          <w:szCs w:val="22"/>
        </w:rPr>
        <w:t xml:space="preserve">Key risk metrics: total risks by rating, average time-to-treatment, acceptance count</w:t>
      </w:r>
    </w:p>
    <w:p>
      <w:pPr>
        <w:pStyle w:val="ListParagraph"/>
        <w:numPr>
          <w:ilvl w:val="0"/>
          <w:numId w:val="2"/>
        </w:numPr>
        <w:spacing w:after="40" w:before="40"/>
      </w:pPr>
      <w:r>
        <w:rPr>
          <w:rFonts w:ascii="Arial" w:cs="Arial" w:eastAsia="Arial" w:hAnsi="Arial"/>
          <w:color w:val="1A2340"/>
          <w:sz w:val="22"/>
          <w:szCs w:val="22"/>
        </w:rPr>
        <w:t xml:space="preserve">Risk appetite alignment summary</w:t>
      </w:r>
    </w:p>
    <w:p>
      <w:pPr>
        <w:spacing w:after="120" w:before="0"/>
      </w:pPr>
      <w:r>
        <w:t xml:space="preserve"/>
      </w:r>
    </w:p>
    <w:p>
      <w:pPr>
        <w:pStyle w:val="Heading3"/>
        <w:spacing w:after="60" w:before="220"/>
      </w:pPr>
      <w:r>
        <w:rPr>
          <w:rFonts w:ascii="Arial" w:cs="Arial" w:eastAsia="Arial" w:hAnsi="Arial"/>
          <w:b/>
          <w:bCs/>
          <w:color w:val="4F46E5"/>
          <w:sz w:val="23"/>
          <w:szCs w:val="23"/>
        </w:rPr>
        <w:t xml:space="preserve">Annual Risk Appetite Review</w:t>
      </w:r>
    </w:p>
    <w:p>
      <w:pPr>
        <w:spacing w:after="80" w:before="60"/>
        <w:jc w:val="both"/>
      </w:pPr>
      <w:r>
        <w:rPr>
          <w:rFonts w:ascii="Arial" w:cs="Arial" w:eastAsia="Arial" w:hAnsi="Arial"/>
          <w:color w:val="1A2340"/>
          <w:sz w:val="22"/>
          <w:szCs w:val="22"/>
        </w:rPr>
        <w:t xml:space="preserve">Executive Leadership shall conduct an annual review of the Risk Appetite Statement to confirm it remains aligned with the Organization's strategic objectives, regulatory environment, and risk profile. The CISO/vCISO shall present findings and recommendations to facilitate this review.</w:t>
      </w:r>
    </w:p>
    <w:p>
      <w:pPr>
        <w:spacing w:after="120" w:before="0"/>
      </w:pPr>
      <w:r>
        <w:t xml:space="preserve"/>
      </w:r>
    </w:p>
    <w:p>
      <w:pPr>
        <w:pStyle w:val="Heading2"/>
        <w:spacing w:after="80" w:before="280"/>
      </w:pPr>
      <w:r>
        <w:rPr>
          <w:rFonts w:ascii="Arial" w:cs="Arial" w:eastAsia="Arial" w:hAnsi="Arial"/>
          <w:b/>
          <w:bCs/>
          <w:color w:val="152168"/>
          <w:sz w:val="26"/>
          <w:szCs w:val="26"/>
        </w:rPr>
        <w:t xml:space="preserve">6.10  Continuous Improvement</w:t>
      </w:r>
    </w:p>
    <w:p>
      <w:pPr>
        <w:spacing w:after="80" w:before="60"/>
        <w:jc w:val="both"/>
      </w:pPr>
      <w:r>
        <w:rPr>
          <w:rFonts w:ascii="Arial" w:cs="Arial" w:eastAsia="Arial" w:hAnsi="Arial"/>
          <w:color w:val="1A2340"/>
          <w:sz w:val="22"/>
          <w:szCs w:val="22"/>
        </w:rPr>
        <w:t xml:space="preserve">The information security risk management program shall be subject to ongoing improvement. The CISO/vCISO shall conduct an annual risk program maturity assessment against a recognized maturity model, benchmark practices against ISO 31000:2018 and NIST CSF 2.0, incorporate lessons learned from incidents and audits, review and update the risk assessment methodology to reflect changes in the threat landscape, and provide feedback to Executive Leadership on resource requirements to address systematic risk gaps.</w:t>
      </w:r>
    </w:p>
    <w:p>
      <w:pPr>
        <w:spacing w:after="120" w:before="0"/>
      </w:pPr>
      <w:r>
        <w:t xml:space="preserve"/>
      </w:r>
    </w:p>
    <w:p>
      <w:pPr>
        <w:pStyle w:val="Heading3"/>
        <w:spacing w:after="60" w:before="220"/>
      </w:pPr>
      <w:r>
        <w:rPr>
          <w:rFonts w:ascii="Arial" w:cs="Arial" w:eastAsia="Arial" w:hAnsi="Arial"/>
          <w:b/>
          <w:bCs/>
          <w:color w:val="4F46E5"/>
          <w:sz w:val="23"/>
          <w:szCs w:val="23"/>
        </w:rPr>
        <w:t xml:space="preserve">NIST CSF 2.0 Tier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c>
          <w:tcPr>
            <w:tcW w:type="dxa" w:w="14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Tier</w:t>
            </w:r>
          </w:p>
        </w:tc>
        <w:tc>
          <w:tcPr>
            <w:tcW w:type="dxa" w:w="20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Name</w:t>
            </w:r>
          </w:p>
        </w:tc>
        <w:tc>
          <w:tcPr>
            <w:tcW w:type="dxa" w:w="59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Characteristics</w:t>
            </w:r>
          </w:p>
        </w:tc>
      </w:tr>
      <w:tr>
        <w:tc>
          <w:tcPr>
            <w:tcW w:type="dxa" w:w="1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2340"/>
                <w:sz w:val="20"/>
                <w:szCs w:val="20"/>
              </w:rPr>
              <w:t xml:space="preserve">Tier 1</w:t>
            </w:r>
          </w:p>
        </w:tc>
        <w:tc>
          <w:tcPr>
            <w:tcW w:type="dxa" w:w="2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Partial</w:t>
            </w:r>
          </w:p>
        </w:tc>
        <w:tc>
          <w:tcPr>
            <w:tcW w:type="dxa" w:w="59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Risk management is ad hoc and reactive. Limited awareness of risk. No formal risk register.</w:t>
            </w:r>
          </w:p>
        </w:tc>
      </w:tr>
      <w:tr>
        <w:tc>
          <w:tcPr>
            <w:tcW w:type="dxa" w:w="1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center"/>
            </w:pPr>
            <w:r>
              <w:rPr>
                <w:rFonts w:ascii="Arial" w:cs="Arial" w:eastAsia="Arial" w:hAnsi="Arial"/>
                <w:b w:val="false"/>
                <w:bCs w:val="false"/>
                <w:i w:val="false"/>
                <w:iCs w:val="false"/>
                <w:color w:val="1A2340"/>
                <w:sz w:val="20"/>
                <w:szCs w:val="20"/>
              </w:rPr>
              <w:t xml:space="preserve">Tier 2</w:t>
            </w:r>
          </w:p>
        </w:tc>
        <w:tc>
          <w:tcPr>
            <w:tcW w:type="dxa" w:w="2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Risk Informed</w:t>
            </w:r>
          </w:p>
        </w:tc>
        <w:tc>
          <w:tcPr>
            <w:tcW w:type="dxa" w:w="59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Risk management is approved at the organizational level. Risk awareness shared across the organization. Informal risk register maintained.</w:t>
            </w:r>
          </w:p>
        </w:tc>
      </w:tr>
      <w:tr>
        <w:tc>
          <w:tcPr>
            <w:tcW w:type="dxa" w:w="1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2340"/>
                <w:sz w:val="20"/>
                <w:szCs w:val="20"/>
              </w:rPr>
              <w:t xml:space="preserve">Tier 3</w:t>
            </w:r>
          </w:p>
        </w:tc>
        <w:tc>
          <w:tcPr>
            <w:tcW w:type="dxa" w:w="2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Repeatable</w:t>
            </w:r>
          </w:p>
        </w:tc>
        <w:tc>
          <w:tcPr>
            <w:tcW w:type="dxa" w:w="59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Formal risk management policy exists. Risk management is consistently applied. Risk register is maintained and reviewed regularly. Executive oversight is in place.</w:t>
            </w:r>
          </w:p>
        </w:tc>
      </w:tr>
      <w:tr>
        <w:tc>
          <w:tcPr>
            <w:tcW w:type="dxa" w:w="1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center"/>
            </w:pPr>
            <w:r>
              <w:rPr>
                <w:rFonts w:ascii="Arial" w:cs="Arial" w:eastAsia="Arial" w:hAnsi="Arial"/>
                <w:b w:val="false"/>
                <w:bCs w:val="false"/>
                <w:i w:val="false"/>
                <w:iCs w:val="false"/>
                <w:color w:val="1A2340"/>
                <w:sz w:val="20"/>
                <w:szCs w:val="20"/>
              </w:rPr>
              <w:t xml:space="preserve">Tier 4</w:t>
            </w:r>
          </w:p>
        </w:tc>
        <w:tc>
          <w:tcPr>
            <w:tcW w:type="dxa" w:w="2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Adaptive</w:t>
            </w:r>
          </w:p>
        </w:tc>
        <w:tc>
          <w:tcPr>
            <w:tcW w:type="dxa" w:w="59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Risk management is continuously improved. Lessons from incidents and intelligence drive program updates. Risk practices are embedded across the business.</w:t>
            </w:r>
          </w:p>
        </w:tc>
      </w:tr>
    </w:tbl>
    <w:p>
      <w:pPr>
        <w:spacing w:after="120" w:before="0"/>
      </w:pPr>
      <w:r>
        <w:t xml:space="preserve"/>
      </w:r>
    </w:p>
    <w:p>
      <w:pPr>
        <w:spacing w:after="80" w:before="60"/>
        <w:jc w:val="both"/>
      </w:pPr>
      <w:r>
        <w:rPr>
          <w:rFonts w:ascii="Arial" w:cs="Arial" w:eastAsia="Arial" w:hAnsi="Arial"/>
          <w:i/>
          <w:iCs/>
          <w:color w:val="5A6A8A"/>
          <w:sz w:val="22"/>
          <w:szCs w:val="22"/>
        </w:rPr>
        <w:t xml:space="preserve">Organizations implementing this policy for the first time should target achieving NIST CSF 2.0 Tier 3 within 12 months. Tier 4 is a continuous improvement target.</w:t>
      </w:r>
    </w:p>
    <w:p>
      <w:pPr>
        <w:spacing w:after="120" w:before="0"/>
      </w:pPr>
      <w:r>
        <w:t xml:space="preserve"/>
      </w:r>
    </w:p>
    <w:p>
      <w:r>
        <w:br w:type="page"/>
      </w:r>
    </w:p>
    <w:p>
      <w:pPr>
        <w:pStyle w:val="Heading1"/>
        <w:pBdr>
          <w:bottom w:val="single" w:color="07B4D9" w:sz="8" w:space="4"/>
        </w:pBdr>
        <w:spacing w:after="120" w:before="400"/>
      </w:pPr>
      <w:bookmarkStart w:name="s7" w:id="13"/>
      <w:r>
        <w:rPr>
          <w:rFonts w:ascii="Arial" w:cs="Arial" w:eastAsia="Arial" w:hAnsi="Arial"/>
          <w:b/>
          <w:bCs/>
          <w:color w:val="152168"/>
          <w:sz w:val="30"/>
          <w:szCs w:val="30"/>
        </w:rPr>
        <w:t xml:space="preserve">7. Compliance and Enforcement</w:t>
      </w:r>
      <w:bookmarkEnd w:id="14"/>
    </w:p>
    <w:p>
      <w:pPr>
        <w:spacing w:after="80" w:before="60"/>
        <w:jc w:val="both"/>
      </w:pPr>
      <w:r>
        <w:rPr>
          <w:rFonts w:ascii="Arial" w:cs="Arial" w:eastAsia="Arial" w:hAnsi="Arial"/>
          <w:color w:val="1A2340"/>
          <w:sz w:val="22"/>
          <w:szCs w:val="22"/>
        </w:rPr>
        <w:t xml:space="preserve">Compliance with this policy is mandatory for all individuals within scope.</w:t>
      </w:r>
    </w:p>
    <w:p>
      <w:pPr>
        <w:spacing w:after="120" w:before="0"/>
      </w:pPr>
      <w:r>
        <w:t xml:space="preserve"/>
      </w:r>
    </w:p>
    <w:p>
      <w:pPr>
        <w:pStyle w:val="ListParagraph"/>
        <w:numPr>
          <w:ilvl w:val="0"/>
          <w:numId w:val="2"/>
        </w:numPr>
        <w:spacing w:after="40" w:before="40"/>
      </w:pPr>
      <w:r>
        <w:rPr>
          <w:rFonts w:ascii="Arial" w:cs="Arial" w:eastAsia="Arial" w:hAnsi="Arial"/>
          <w:color w:val="1A2340"/>
          <w:sz w:val="22"/>
          <w:szCs w:val="22"/>
        </w:rPr>
        <w:t xml:space="preserve">Failure to conduct required risk assessments on schedule is a policy non-conformance and shall be reported to Executive Leadership.</w:t>
      </w:r>
    </w:p>
    <w:p>
      <w:pPr>
        <w:pStyle w:val="ListParagraph"/>
        <w:numPr>
          <w:ilvl w:val="0"/>
          <w:numId w:val="2"/>
        </w:numPr>
        <w:spacing w:after="40" w:before="40"/>
      </w:pPr>
      <w:r>
        <w:rPr>
          <w:rFonts w:ascii="Arial" w:cs="Arial" w:eastAsia="Arial" w:hAnsi="Arial"/>
          <w:color w:val="1A2340"/>
          <w:sz w:val="22"/>
          <w:szCs w:val="22"/>
        </w:rPr>
        <w:t xml:space="preserve">Failure to implement approved treatment plans within agreed timelines shall be escalated to the Risk Owner's management and reported in the next quarterly risk report.</w:t>
      </w:r>
    </w:p>
    <w:p>
      <w:pPr>
        <w:pStyle w:val="ListParagraph"/>
        <w:numPr>
          <w:ilvl w:val="0"/>
          <w:numId w:val="2"/>
        </w:numPr>
        <w:spacing w:after="40" w:before="40"/>
      </w:pPr>
      <w:r>
        <w:rPr>
          <w:rFonts w:ascii="Arial" w:cs="Arial" w:eastAsia="Arial" w:hAnsi="Arial"/>
          <w:color w:val="1A2340"/>
          <w:sz w:val="22"/>
          <w:szCs w:val="22"/>
        </w:rPr>
        <w:t xml:space="preserve">Unauthorized acceptance of risks above the defined appetite without following the formal acceptance process is a policy violation.</w:t>
      </w:r>
    </w:p>
    <w:p>
      <w:pPr>
        <w:pStyle w:val="ListParagraph"/>
        <w:numPr>
          <w:ilvl w:val="0"/>
          <w:numId w:val="2"/>
        </w:numPr>
        <w:spacing w:after="40" w:before="40"/>
      </w:pPr>
      <w:r>
        <w:rPr>
          <w:rFonts w:ascii="Arial" w:cs="Arial" w:eastAsia="Arial" w:hAnsi="Arial"/>
          <w:color w:val="1A2340"/>
          <w:sz w:val="22"/>
          <w:szCs w:val="22"/>
        </w:rPr>
        <w:t xml:space="preserve">Deliberate misrepresentation of risk information in the Risk Register or risk reports is a serious policy violation and may result in disciplinary action.</w:t>
      </w:r>
    </w:p>
    <w:p>
      <w:pPr>
        <w:pStyle w:val="ListParagraph"/>
        <w:numPr>
          <w:ilvl w:val="0"/>
          <w:numId w:val="2"/>
        </w:numPr>
        <w:spacing w:after="40" w:before="40"/>
      </w:pPr>
      <w:r>
        <w:rPr>
          <w:rFonts w:ascii="Arial" w:cs="Arial" w:eastAsia="Arial" w:hAnsi="Arial"/>
          <w:color w:val="1A2340"/>
          <w:sz w:val="22"/>
          <w:szCs w:val="22"/>
        </w:rPr>
        <w:t xml:space="preserve">The CISO/vCISO shall report risk program compliance metrics to Executive Leadership quarterly.</w:t>
      </w:r>
    </w:p>
    <w:p>
      <w:pPr>
        <w:spacing w:after="120" w:before="0"/>
      </w:pPr>
      <w:r>
        <w:t xml:space="preserve"/>
      </w:r>
    </w:p>
    <w:p>
      <w:pPr>
        <w:spacing w:after="80" w:before="60"/>
        <w:jc w:val="both"/>
      </w:pPr>
      <w:r>
        <w:rPr>
          <w:rFonts w:ascii="Arial" w:cs="Arial" w:eastAsia="Arial" w:hAnsi="Arial"/>
          <w:color w:val="1A2340"/>
          <w:sz w:val="22"/>
          <w:szCs w:val="22"/>
        </w:rPr>
        <w:t xml:space="preserve">Non-conformances with this policy shall be documented and tracked to resolution. Repeated or systemic non-conformances shall be reported to Executive Leadership and may result in escalated oversight or disciplinary action.</w:t>
      </w:r>
    </w:p>
    <w:p>
      <w:pPr>
        <w:spacing w:after="120" w:before="0"/>
      </w:pPr>
      <w:r>
        <w:t xml:space="preserve"/>
      </w:r>
    </w:p>
    <w:p>
      <w:pPr>
        <w:pStyle w:val="Heading1"/>
        <w:pBdr>
          <w:bottom w:val="single" w:color="07B4D9" w:sz="8" w:space="4"/>
        </w:pBdr>
        <w:spacing w:after="120" w:before="400"/>
      </w:pPr>
      <w:bookmarkStart w:name="s8" w:id="15"/>
      <w:r>
        <w:rPr>
          <w:rFonts w:ascii="Arial" w:cs="Arial" w:eastAsia="Arial" w:hAnsi="Arial"/>
          <w:b/>
          <w:bCs/>
          <w:color w:val="152168"/>
          <w:sz w:val="30"/>
          <w:szCs w:val="30"/>
        </w:rPr>
        <w:t xml:space="preserve">8. Related Documents</w:t>
      </w:r>
      <w:bookmarkEnd w:id="16"/>
    </w:p>
    <w:p>
      <w:pPr>
        <w:pStyle w:val="ListParagraph"/>
        <w:numPr>
          <w:ilvl w:val="0"/>
          <w:numId w:val="2"/>
        </w:numPr>
        <w:spacing w:after="40" w:before="40"/>
      </w:pPr>
      <w:r>
        <w:rPr>
          <w:rFonts w:ascii="Arial" w:cs="Arial" w:eastAsia="Arial" w:hAnsi="Arial"/>
          <w:color w:val="1A2340"/>
          <w:sz w:val="22"/>
          <w:szCs w:val="22"/>
        </w:rPr>
        <w:t xml:space="preserve">Information Security Policy</w:t>
      </w:r>
    </w:p>
    <w:p>
      <w:pPr>
        <w:pStyle w:val="ListParagraph"/>
        <w:numPr>
          <w:ilvl w:val="0"/>
          <w:numId w:val="2"/>
        </w:numPr>
        <w:spacing w:after="40" w:before="40"/>
      </w:pPr>
      <w:r>
        <w:rPr>
          <w:rFonts w:ascii="Arial" w:cs="Arial" w:eastAsia="Arial" w:hAnsi="Arial"/>
          <w:color w:val="1A2340"/>
          <w:sz w:val="22"/>
          <w:szCs w:val="22"/>
        </w:rPr>
        <w:t xml:space="preserve">Asset Management Policy</w:t>
      </w:r>
    </w:p>
    <w:p>
      <w:pPr>
        <w:pStyle w:val="ListParagraph"/>
        <w:numPr>
          <w:ilvl w:val="0"/>
          <w:numId w:val="2"/>
        </w:numPr>
        <w:spacing w:after="40" w:before="40"/>
      </w:pPr>
      <w:r>
        <w:rPr>
          <w:rFonts w:ascii="Arial" w:cs="Arial" w:eastAsia="Arial" w:hAnsi="Arial"/>
          <w:color w:val="1A2340"/>
          <w:sz w:val="22"/>
          <w:szCs w:val="22"/>
        </w:rPr>
        <w:t xml:space="preserve">Information Security Incident Response Policy</w:t>
      </w:r>
    </w:p>
    <w:p>
      <w:pPr>
        <w:pStyle w:val="ListParagraph"/>
        <w:numPr>
          <w:ilvl w:val="0"/>
          <w:numId w:val="2"/>
        </w:numPr>
        <w:spacing w:after="40" w:before="40"/>
      </w:pPr>
      <w:r>
        <w:rPr>
          <w:rFonts w:ascii="Arial" w:cs="Arial" w:eastAsia="Arial" w:hAnsi="Arial"/>
          <w:color w:val="1A2340"/>
          <w:sz w:val="22"/>
          <w:szCs w:val="22"/>
        </w:rPr>
        <w:t xml:space="preserve">Acceptable Use Policy</w:t>
      </w:r>
    </w:p>
    <w:p>
      <w:pPr>
        <w:pStyle w:val="ListParagraph"/>
        <w:numPr>
          <w:ilvl w:val="0"/>
          <w:numId w:val="2"/>
        </w:numPr>
        <w:spacing w:after="40" w:before="40"/>
      </w:pPr>
      <w:r>
        <w:rPr>
          <w:rFonts w:ascii="Arial" w:cs="Arial" w:eastAsia="Arial" w:hAnsi="Arial"/>
          <w:color w:val="1A2340"/>
          <w:sz w:val="22"/>
          <w:szCs w:val="22"/>
        </w:rPr>
        <w:t xml:space="preserve">Third-Party / Vendor Risk Management Policy</w:t>
      </w:r>
    </w:p>
    <w:p>
      <w:pPr>
        <w:pStyle w:val="ListParagraph"/>
        <w:numPr>
          <w:ilvl w:val="0"/>
          <w:numId w:val="2"/>
        </w:numPr>
        <w:spacing w:after="40" w:before="40"/>
      </w:pPr>
      <w:r>
        <w:rPr>
          <w:rFonts w:ascii="Arial" w:cs="Arial" w:eastAsia="Arial" w:hAnsi="Arial"/>
          <w:color w:val="1A2340"/>
          <w:sz w:val="22"/>
          <w:szCs w:val="22"/>
        </w:rPr>
        <w:t xml:space="preserve">Business Continuity and Disaster Recovery Policy</w:t>
      </w:r>
    </w:p>
    <w:p>
      <w:pPr>
        <w:pStyle w:val="ListParagraph"/>
        <w:numPr>
          <w:ilvl w:val="0"/>
          <w:numId w:val="2"/>
        </w:numPr>
        <w:spacing w:after="40" w:before="40"/>
      </w:pPr>
      <w:r>
        <w:rPr>
          <w:rFonts w:ascii="Arial" w:cs="Arial" w:eastAsia="Arial" w:hAnsi="Arial"/>
          <w:color w:val="1A2340"/>
          <w:sz w:val="22"/>
          <w:szCs w:val="22"/>
        </w:rPr>
        <w:t xml:space="preserve">Data Classification Policy</w:t>
      </w:r>
    </w:p>
    <w:p>
      <w:pPr>
        <w:pStyle w:val="ListParagraph"/>
        <w:numPr>
          <w:ilvl w:val="0"/>
          <w:numId w:val="2"/>
        </w:numPr>
        <w:spacing w:after="40" w:before="40"/>
      </w:pPr>
      <w:r>
        <w:rPr>
          <w:rFonts w:ascii="Arial" w:cs="Arial" w:eastAsia="Arial" w:hAnsi="Arial"/>
          <w:color w:val="1A2340"/>
          <w:sz w:val="22"/>
          <w:szCs w:val="22"/>
        </w:rPr>
        <w:t xml:space="preserve">ISMS Scope Document</w:t>
      </w:r>
    </w:p>
    <w:p>
      <w:pPr>
        <w:pStyle w:val="ListParagraph"/>
        <w:numPr>
          <w:ilvl w:val="0"/>
          <w:numId w:val="2"/>
        </w:numPr>
        <w:spacing w:after="40" w:before="40"/>
      </w:pPr>
      <w:r>
        <w:rPr>
          <w:rFonts w:ascii="Arial" w:cs="Arial" w:eastAsia="Arial" w:hAnsi="Arial"/>
          <w:color w:val="1A2340"/>
          <w:sz w:val="22"/>
          <w:szCs w:val="22"/>
        </w:rPr>
        <w:t xml:space="preserve">Risk Appetite Statement (Appendix D)</w:t>
      </w:r>
    </w:p>
    <w:p>
      <w:pPr>
        <w:spacing w:after="120" w:before="0"/>
      </w:pPr>
      <w:r>
        <w:t xml:space="preserve"/>
      </w:r>
    </w:p>
    <w:p>
      <w:pPr>
        <w:pStyle w:val="Heading1"/>
        <w:pBdr>
          <w:bottom w:val="single" w:color="07B4D9" w:sz="8" w:space="4"/>
        </w:pBdr>
        <w:spacing w:after="120" w:before="400"/>
      </w:pPr>
      <w:bookmarkStart w:name="s9" w:id="17"/>
      <w:r>
        <w:rPr>
          <w:rFonts w:ascii="Arial" w:cs="Arial" w:eastAsia="Arial" w:hAnsi="Arial"/>
          <w:b/>
          <w:bCs/>
          <w:color w:val="152168"/>
          <w:sz w:val="30"/>
          <w:szCs w:val="30"/>
        </w:rPr>
        <w:t xml:space="preserve">9. Document Control</w:t>
      </w:r>
      <w:bookmarkEnd w:id="1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2400"/>
        <w:gridCol w:w="3400"/>
      </w:tblGrid>
      <w:tr>
        <w:tc>
          <w:tcPr>
            <w:tcW w:type="dxa" w:w="15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Version</w:t>
            </w:r>
          </w:p>
        </w:tc>
        <w:tc>
          <w:tcPr>
            <w:tcW w:type="dxa" w:w="20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Date</w:t>
            </w:r>
          </w:p>
        </w:tc>
        <w:tc>
          <w:tcPr>
            <w:tcW w:type="dxa" w:w="24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Author</w:t>
            </w:r>
          </w:p>
        </w:tc>
        <w:tc>
          <w:tcPr>
            <w:tcW w:type="dxa" w:w="34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Changes</w:t>
            </w:r>
          </w:p>
        </w:tc>
      </w:tr>
      <w:tr>
        <w:tc>
          <w:tcPr>
            <w:tcW w:type="dxa" w:w="1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1.0</w:t>
            </w:r>
          </w:p>
        </w:tc>
        <w:tc>
          <w:tcPr>
            <w:tcW w:type="dxa" w:w="2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June 2026</w:t>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[Policy Owner]</w:t>
            </w:r>
          </w:p>
        </w:tc>
        <w:tc>
          <w:tcPr>
            <w:tcW w:type="dxa" w:w="3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Initial draft</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Approved By</w:t>
            </w:r>
          </w:p>
        </w:tc>
        <w:tc>
          <w:tcPr>
            <w:tcW w:type="dxa" w:w="468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Date</w:t>
            </w:r>
          </w:p>
        </w:tc>
      </w:tr>
      <w:tr>
        <w:tc>
          <w:tcPr>
            <w:tcW w:type="dxa" w:w="46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[Name, Title]</w:t>
            </w:r>
          </w:p>
        </w:tc>
        <w:tc>
          <w:tcPr>
            <w:tcW w:type="dxa" w:w="46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June 2026</w:t>
            </w:r>
          </w:p>
        </w:tc>
      </w:tr>
    </w:tbl>
    <w:p>
      <w:pPr>
        <w:spacing w:after="120" w:before="0"/>
      </w:pPr>
      <w:r>
        <w:t xml:space="preserve"/>
      </w:r>
    </w:p>
    <w:p>
      <w:pPr>
        <w:spacing w:after="80" w:before="60"/>
        <w:jc w:val="both"/>
      </w:pPr>
      <w:r>
        <w:rPr>
          <w:rFonts w:ascii="Arial" w:cs="Arial" w:eastAsia="Arial" w:hAnsi="Arial"/>
          <w:i/>
          <w:iCs/>
          <w:color w:val="5A6A8A"/>
          <w:sz w:val="22"/>
          <w:szCs w:val="22"/>
        </w:rPr>
        <w:t xml:space="preserve">Next review date: June 2027 (or sooner following a material change to the Organization's risk profile, threat landscape, or regulatory environment).</w:t>
      </w:r>
    </w:p>
    <w:p>
      <w:pPr>
        <w:spacing w:after="120" w:before="0"/>
      </w:pPr>
      <w:r>
        <w:t xml:space="preserve"/>
      </w:r>
    </w:p>
    <w:p>
      <w:r>
        <w:br w:type="page"/>
      </w:r>
    </w:p>
    <w:p>
      <w:pPr>
        <w:spacing w:after="240" w:before="240"/>
        <w:jc w:val="center"/>
      </w:pPr>
      <w:r>
        <w:rPr>
          <w:rFonts w:ascii="Arial" w:cs="Arial" w:eastAsia="Arial" w:hAnsi="Arial"/>
          <w:b/>
          <w:bCs/>
          <w:color w:val="152168"/>
          <w:sz w:val="36"/>
          <w:szCs w:val="36"/>
        </w:rPr>
        <w:t xml:space="preserve">APPENDICES</w:t>
      </w:r>
    </w:p>
    <w:p>
      <w:r>
        <w:br w:type="page"/>
      </w:r>
    </w:p>
    <w:p>
      <w:pPr>
        <w:pStyle w:val="Heading1"/>
        <w:pBdr>
          <w:bottom w:val="single" w:color="07B4D9" w:sz="8" w:space="4"/>
        </w:pBdr>
        <w:spacing w:after="120" w:before="400"/>
      </w:pPr>
      <w:bookmarkStart w:name="appA" w:id="19"/>
      <w:r>
        <w:rPr>
          <w:rFonts w:ascii="Arial" w:cs="Arial" w:eastAsia="Arial" w:hAnsi="Arial"/>
          <w:b/>
          <w:bCs/>
          <w:color w:val="152168"/>
          <w:sz w:val="30"/>
          <w:szCs w:val="30"/>
        </w:rPr>
        <w:t xml:space="preserve">Appendix A: 5x5 Risk Rating Matrix</w:t>
      </w:r>
      <w:bookmarkEnd w:id="20"/>
    </w:p>
    <w:p>
      <w:pPr>
        <w:spacing w:after="80" w:before="60"/>
        <w:jc w:val="both"/>
      </w:pPr>
      <w:r>
        <w:rPr>
          <w:rFonts w:ascii="Arial" w:cs="Arial" w:eastAsia="Arial" w:hAnsi="Arial"/>
          <w:color w:val="1A2340"/>
          <w:sz w:val="22"/>
          <w:szCs w:val="22"/>
        </w:rPr>
        <w:t xml:space="preserve">Risk Score = Likelihood (rows) x Impact (columns). Color coding: Green = Low (1-5), Yellow = Medium (6-11), Orange/Red = High (12-19), Dark Red = Critical (20-25).</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152168" w:sz="4"/>
              <w:left w:val="single" w:color="152168" w:sz="4"/>
              <w:bottom w:val="single" w:color="152168" w:sz="4"/>
              <w:right w:val="single" w:color="152168" w:sz="4"/>
            </w:tcBorders>
            <w:shd w:fill="152168" w:val="clear"/>
            <w:tcMar>
              <w:top w:type="dxa" w:w="80"/>
              <w:left w:type="dxa" w:w="80"/>
              <w:bottom w:type="dxa" w:w="80"/>
              <w:right w:type="dxa" w:w="80"/>
            </w:tcMar>
          </w:tcPr>
          <w:p>
            <w:pPr>
              <w:jc w:val="center"/>
            </w:pPr>
            <w:r>
              <w:rPr>
                <w:rFonts w:ascii="Arial" w:cs="Arial" w:eastAsia="Arial" w:hAnsi="Arial"/>
                <w:b/>
                <w:bCs/>
                <w:color w:val="FFFFFF"/>
                <w:sz w:val="18"/>
                <w:szCs w:val="18"/>
              </w:rPr>
              <w:t xml:space="preserve">L / I</w:t>
            </w:r>
          </w:p>
        </w:tc>
        <w:tc>
          <w:tcPr>
            <w:tcW w:type="dxa" w:w="15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1 Negligible</w:t>
            </w:r>
          </w:p>
        </w:tc>
        <w:tc>
          <w:tcPr>
            <w:tcW w:type="dxa" w:w="15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2 Minor</w:t>
            </w:r>
          </w:p>
        </w:tc>
        <w:tc>
          <w:tcPr>
            <w:tcW w:type="dxa" w:w="15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3 Moderate</w:t>
            </w:r>
          </w:p>
        </w:tc>
        <w:tc>
          <w:tcPr>
            <w:tcW w:type="dxa" w:w="15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4 Major</w:t>
            </w:r>
          </w:p>
        </w:tc>
        <w:tc>
          <w:tcPr>
            <w:tcW w:type="dxa" w:w="15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5 Catastrophic</w:t>
            </w:r>
          </w:p>
        </w:tc>
      </w:tr>
      <w:tr>
        <w:tc>
          <w:tcPr>
            <w:tcW w:type="dxa" w:w="1560"/>
            <w:tcBorders>
              <w:top w:val="single" w:color="152168" w:sz="4"/>
              <w:left w:val="single" w:color="152168" w:sz="4"/>
              <w:bottom w:val="single" w:color="152168" w:sz="4"/>
              <w:right w:val="single" w:color="152168" w:sz="4"/>
            </w:tcBorders>
            <w:shd w:fill="152168" w:val="clear"/>
            <w:tcMar>
              <w:top w:type="dxa" w:w="80"/>
              <w:left w:type="dxa" w:w="80"/>
              <w:bottom w:type="dxa" w:w="80"/>
              <w:right w:type="dxa" w:w="80"/>
            </w:tcMar>
          </w:tcPr>
          <w:p>
            <w:pPr>
              <w:jc w:val="center"/>
            </w:pPr>
            <w:r>
              <w:rPr>
                <w:rFonts w:ascii="Arial" w:cs="Arial" w:eastAsia="Arial" w:hAnsi="Arial"/>
                <w:b/>
                <w:bCs/>
                <w:color w:val="FFFFFF"/>
                <w:sz w:val="17"/>
                <w:szCs w:val="17"/>
              </w:rPr>
              <w:t xml:space="preserve">5 Almost Certain</w:t>
            </w:r>
          </w:p>
        </w:tc>
        <w:tc>
          <w:tcPr>
            <w:tcW w:type="dxa" w:w="1560"/>
            <w:tcBorders>
              <w:top w:val="single" w:color="DDE3EF" w:sz="4"/>
              <w:left w:val="single" w:color="DDE3EF" w:sz="4"/>
              <w:bottom w:val="single" w:color="DDE3EF" w:sz="4"/>
              <w:right w:val="single" w:color="DDE3EF" w:sz="4"/>
            </w:tcBorders>
            <w:shd w:fill="7F1D1D" w:val="clear"/>
            <w:tcMar>
              <w:top w:type="dxa" w:w="80"/>
              <w:left w:type="dxa" w:w="80"/>
              <w:bottom w:type="dxa" w:w="80"/>
              <w:right w:type="dxa" w:w="80"/>
            </w:tcMar>
          </w:tcPr>
          <w:p>
            <w:pPr>
              <w:jc w:val="center"/>
            </w:pPr>
            <w:r>
              <w:rPr>
                <w:rFonts w:ascii="Arial" w:cs="Arial" w:eastAsia="Arial" w:hAnsi="Arial"/>
                <w:b/>
                <w:bCs/>
                <w:color w:val="FFFFFF"/>
                <w:sz w:val="22"/>
                <w:szCs w:val="22"/>
              </w:rPr>
              <w:t xml:space="preserve">25</w:t>
            </w:r>
          </w:p>
        </w:tc>
        <w:tc>
          <w:tcPr>
            <w:tcW w:type="dxa" w:w="1560"/>
            <w:tcBorders>
              <w:top w:val="single" w:color="DDE3EF" w:sz="4"/>
              <w:left w:val="single" w:color="DDE3EF" w:sz="4"/>
              <w:bottom w:val="single" w:color="DDE3EF" w:sz="4"/>
              <w:right w:val="single" w:color="DDE3EF" w:sz="4"/>
            </w:tcBorders>
            <w:shd w:fill="991B1B" w:val="clear"/>
            <w:tcMar>
              <w:top w:type="dxa" w:w="80"/>
              <w:left w:type="dxa" w:w="80"/>
              <w:bottom w:type="dxa" w:w="80"/>
              <w:right w:type="dxa" w:w="80"/>
            </w:tcMar>
          </w:tcPr>
          <w:p>
            <w:pPr>
              <w:jc w:val="center"/>
            </w:pPr>
            <w:r>
              <w:rPr>
                <w:rFonts w:ascii="Arial" w:cs="Arial" w:eastAsia="Arial" w:hAnsi="Arial"/>
                <w:b/>
                <w:bCs/>
                <w:color w:val="FFFFFF"/>
                <w:sz w:val="22"/>
                <w:szCs w:val="22"/>
              </w:rPr>
              <w:t xml:space="preserve">20</w:t>
            </w:r>
          </w:p>
        </w:tc>
        <w:tc>
          <w:tcPr>
            <w:tcW w:type="dxa" w:w="1560"/>
            <w:tcBorders>
              <w:top w:val="single" w:color="DDE3EF" w:sz="4"/>
              <w:left w:val="single" w:color="DDE3EF" w:sz="4"/>
              <w:bottom w:val="single" w:color="DDE3EF" w:sz="4"/>
              <w:right w:val="single" w:color="DDE3EF" w:sz="4"/>
            </w:tcBorders>
            <w:shd w:fill="FEE2E2" w:val="clear"/>
            <w:tcMar>
              <w:top w:type="dxa" w:w="80"/>
              <w:left w:type="dxa" w:w="80"/>
              <w:bottom w:type="dxa" w:w="80"/>
              <w:right w:type="dxa" w:w="80"/>
            </w:tcMar>
          </w:tcPr>
          <w:p>
            <w:pPr>
              <w:jc w:val="center"/>
            </w:pPr>
            <w:r>
              <w:rPr>
                <w:rFonts w:ascii="Arial" w:cs="Arial" w:eastAsia="Arial" w:hAnsi="Arial"/>
                <w:b/>
                <w:bCs/>
                <w:color w:val="991B1B"/>
                <w:sz w:val="22"/>
                <w:szCs w:val="22"/>
              </w:rPr>
              <w:t xml:space="preserve">15</w:t>
            </w:r>
          </w:p>
        </w:tc>
        <w:tc>
          <w:tcPr>
            <w:tcW w:type="dxa" w:w="1560"/>
            <w:tcBorders>
              <w:top w:val="single" w:color="DDE3EF" w:sz="4"/>
              <w:left w:val="single" w:color="DDE3EF" w:sz="4"/>
              <w:bottom w:val="single" w:color="DDE3EF" w:sz="4"/>
              <w:right w:val="single" w:color="DDE3EF" w:sz="4"/>
            </w:tcBorders>
            <w:shd w:fill="FEF3C7" w:val="clear"/>
            <w:tcMar>
              <w:top w:type="dxa" w:w="80"/>
              <w:left w:type="dxa" w:w="80"/>
              <w:bottom w:type="dxa" w:w="80"/>
              <w:right w:type="dxa" w:w="80"/>
            </w:tcMar>
          </w:tcPr>
          <w:p>
            <w:pPr>
              <w:jc w:val="center"/>
            </w:pPr>
            <w:r>
              <w:rPr>
                <w:rFonts w:ascii="Arial" w:cs="Arial" w:eastAsia="Arial" w:hAnsi="Arial"/>
                <w:b/>
                <w:bCs/>
                <w:color w:val="92400E"/>
                <w:sz w:val="22"/>
                <w:szCs w:val="22"/>
              </w:rPr>
              <w:t xml:space="preserve">10</w:t>
            </w:r>
          </w:p>
        </w:tc>
        <w:tc>
          <w:tcPr>
            <w:tcW w:type="dxa" w:w="1560"/>
            <w:tcBorders>
              <w:top w:val="single" w:color="DDE3EF" w:sz="4"/>
              <w:left w:val="single" w:color="DDE3EF" w:sz="4"/>
              <w:bottom w:val="single" w:color="DDE3EF" w:sz="4"/>
              <w:right w:val="single" w:color="DDE3EF" w:sz="4"/>
            </w:tcBorders>
            <w:shd w:fill="DCFCE7" w:val="clear"/>
            <w:tcMar>
              <w:top w:type="dxa" w:w="80"/>
              <w:left w:type="dxa" w:w="80"/>
              <w:bottom w:type="dxa" w:w="80"/>
              <w:right w:type="dxa" w:w="80"/>
            </w:tcMar>
          </w:tcPr>
          <w:p>
            <w:pPr>
              <w:jc w:val="center"/>
            </w:pPr>
            <w:r>
              <w:rPr>
                <w:rFonts w:ascii="Arial" w:cs="Arial" w:eastAsia="Arial" w:hAnsi="Arial"/>
                <w:b/>
                <w:bCs/>
                <w:color w:val="166534"/>
                <w:sz w:val="22"/>
                <w:szCs w:val="22"/>
              </w:rPr>
              <w:t xml:space="preserve">5</w:t>
            </w:r>
          </w:p>
        </w:tc>
      </w:tr>
      <w:tr>
        <w:tc>
          <w:tcPr>
            <w:tcW w:type="dxa" w:w="1560"/>
            <w:tcBorders>
              <w:top w:val="single" w:color="152168" w:sz="4"/>
              <w:left w:val="single" w:color="152168" w:sz="4"/>
              <w:bottom w:val="single" w:color="152168" w:sz="4"/>
              <w:right w:val="single" w:color="152168" w:sz="4"/>
            </w:tcBorders>
            <w:shd w:fill="152168" w:val="clear"/>
            <w:tcMar>
              <w:top w:type="dxa" w:w="80"/>
              <w:left w:type="dxa" w:w="80"/>
              <w:bottom w:type="dxa" w:w="80"/>
              <w:right w:type="dxa" w:w="80"/>
            </w:tcMar>
          </w:tcPr>
          <w:p>
            <w:pPr>
              <w:jc w:val="center"/>
            </w:pPr>
            <w:r>
              <w:rPr>
                <w:rFonts w:ascii="Arial" w:cs="Arial" w:eastAsia="Arial" w:hAnsi="Arial"/>
                <w:b/>
                <w:bCs/>
                <w:color w:val="FFFFFF"/>
                <w:sz w:val="17"/>
                <w:szCs w:val="17"/>
              </w:rPr>
              <w:t xml:space="preserve">4 Likely</w:t>
            </w:r>
          </w:p>
        </w:tc>
        <w:tc>
          <w:tcPr>
            <w:tcW w:type="dxa" w:w="1560"/>
            <w:tcBorders>
              <w:top w:val="single" w:color="DDE3EF" w:sz="4"/>
              <w:left w:val="single" w:color="DDE3EF" w:sz="4"/>
              <w:bottom w:val="single" w:color="DDE3EF" w:sz="4"/>
              <w:right w:val="single" w:color="DDE3EF" w:sz="4"/>
            </w:tcBorders>
            <w:shd w:fill="991B1B" w:val="clear"/>
            <w:tcMar>
              <w:top w:type="dxa" w:w="80"/>
              <w:left w:type="dxa" w:w="80"/>
              <w:bottom w:type="dxa" w:w="80"/>
              <w:right w:type="dxa" w:w="80"/>
            </w:tcMar>
          </w:tcPr>
          <w:p>
            <w:pPr>
              <w:jc w:val="center"/>
            </w:pPr>
            <w:r>
              <w:rPr>
                <w:rFonts w:ascii="Arial" w:cs="Arial" w:eastAsia="Arial" w:hAnsi="Arial"/>
                <w:b/>
                <w:bCs/>
                <w:color w:val="FFFFFF"/>
                <w:sz w:val="22"/>
                <w:szCs w:val="22"/>
              </w:rPr>
              <w:t xml:space="preserve">20</w:t>
            </w:r>
          </w:p>
        </w:tc>
        <w:tc>
          <w:tcPr>
            <w:tcW w:type="dxa" w:w="1560"/>
            <w:tcBorders>
              <w:top w:val="single" w:color="DDE3EF" w:sz="4"/>
              <w:left w:val="single" w:color="DDE3EF" w:sz="4"/>
              <w:bottom w:val="single" w:color="DDE3EF" w:sz="4"/>
              <w:right w:val="single" w:color="DDE3EF" w:sz="4"/>
            </w:tcBorders>
            <w:shd w:fill="FEE2E2" w:val="clear"/>
            <w:tcMar>
              <w:top w:type="dxa" w:w="80"/>
              <w:left w:type="dxa" w:w="80"/>
              <w:bottom w:type="dxa" w:w="80"/>
              <w:right w:type="dxa" w:w="80"/>
            </w:tcMar>
          </w:tcPr>
          <w:p>
            <w:pPr>
              <w:jc w:val="center"/>
            </w:pPr>
            <w:r>
              <w:rPr>
                <w:rFonts w:ascii="Arial" w:cs="Arial" w:eastAsia="Arial" w:hAnsi="Arial"/>
                <w:b/>
                <w:bCs/>
                <w:color w:val="991B1B"/>
                <w:sz w:val="22"/>
                <w:szCs w:val="22"/>
              </w:rPr>
              <w:t xml:space="preserve">16</w:t>
            </w:r>
          </w:p>
        </w:tc>
        <w:tc>
          <w:tcPr>
            <w:tcW w:type="dxa" w:w="1560"/>
            <w:tcBorders>
              <w:top w:val="single" w:color="DDE3EF" w:sz="4"/>
              <w:left w:val="single" w:color="DDE3EF" w:sz="4"/>
              <w:bottom w:val="single" w:color="DDE3EF" w:sz="4"/>
              <w:right w:val="single" w:color="DDE3EF" w:sz="4"/>
            </w:tcBorders>
            <w:shd w:fill="FEE2E2" w:val="clear"/>
            <w:tcMar>
              <w:top w:type="dxa" w:w="80"/>
              <w:left w:type="dxa" w:w="80"/>
              <w:bottom w:type="dxa" w:w="80"/>
              <w:right w:type="dxa" w:w="80"/>
            </w:tcMar>
          </w:tcPr>
          <w:p>
            <w:pPr>
              <w:jc w:val="center"/>
            </w:pPr>
            <w:r>
              <w:rPr>
                <w:rFonts w:ascii="Arial" w:cs="Arial" w:eastAsia="Arial" w:hAnsi="Arial"/>
                <w:b/>
                <w:bCs/>
                <w:color w:val="991B1B"/>
                <w:sz w:val="22"/>
                <w:szCs w:val="22"/>
              </w:rPr>
              <w:t xml:space="preserve">12</w:t>
            </w:r>
          </w:p>
        </w:tc>
        <w:tc>
          <w:tcPr>
            <w:tcW w:type="dxa" w:w="1560"/>
            <w:tcBorders>
              <w:top w:val="single" w:color="DDE3EF" w:sz="4"/>
              <w:left w:val="single" w:color="DDE3EF" w:sz="4"/>
              <w:bottom w:val="single" w:color="DDE3EF" w:sz="4"/>
              <w:right w:val="single" w:color="DDE3EF" w:sz="4"/>
            </w:tcBorders>
            <w:shd w:fill="FEF3C7" w:val="clear"/>
            <w:tcMar>
              <w:top w:type="dxa" w:w="80"/>
              <w:left w:type="dxa" w:w="80"/>
              <w:bottom w:type="dxa" w:w="80"/>
              <w:right w:type="dxa" w:w="80"/>
            </w:tcMar>
          </w:tcPr>
          <w:p>
            <w:pPr>
              <w:jc w:val="center"/>
            </w:pPr>
            <w:r>
              <w:rPr>
                <w:rFonts w:ascii="Arial" w:cs="Arial" w:eastAsia="Arial" w:hAnsi="Arial"/>
                <w:b/>
                <w:bCs/>
                <w:color w:val="92400E"/>
                <w:sz w:val="22"/>
                <w:szCs w:val="22"/>
              </w:rPr>
              <w:t xml:space="preserve">8</w:t>
            </w:r>
          </w:p>
        </w:tc>
        <w:tc>
          <w:tcPr>
            <w:tcW w:type="dxa" w:w="1560"/>
            <w:tcBorders>
              <w:top w:val="single" w:color="DDE3EF" w:sz="4"/>
              <w:left w:val="single" w:color="DDE3EF" w:sz="4"/>
              <w:bottom w:val="single" w:color="DDE3EF" w:sz="4"/>
              <w:right w:val="single" w:color="DDE3EF" w:sz="4"/>
            </w:tcBorders>
            <w:shd w:fill="DCFCE7" w:val="clear"/>
            <w:tcMar>
              <w:top w:type="dxa" w:w="80"/>
              <w:left w:type="dxa" w:w="80"/>
              <w:bottom w:type="dxa" w:w="80"/>
              <w:right w:type="dxa" w:w="80"/>
            </w:tcMar>
          </w:tcPr>
          <w:p>
            <w:pPr>
              <w:jc w:val="center"/>
            </w:pPr>
            <w:r>
              <w:rPr>
                <w:rFonts w:ascii="Arial" w:cs="Arial" w:eastAsia="Arial" w:hAnsi="Arial"/>
                <w:b/>
                <w:bCs/>
                <w:color w:val="166534"/>
                <w:sz w:val="22"/>
                <w:szCs w:val="22"/>
              </w:rPr>
              <w:t xml:space="preserve">4</w:t>
            </w:r>
          </w:p>
        </w:tc>
      </w:tr>
      <w:tr>
        <w:tc>
          <w:tcPr>
            <w:tcW w:type="dxa" w:w="1560"/>
            <w:tcBorders>
              <w:top w:val="single" w:color="152168" w:sz="4"/>
              <w:left w:val="single" w:color="152168" w:sz="4"/>
              <w:bottom w:val="single" w:color="152168" w:sz="4"/>
              <w:right w:val="single" w:color="152168" w:sz="4"/>
            </w:tcBorders>
            <w:shd w:fill="152168" w:val="clear"/>
            <w:tcMar>
              <w:top w:type="dxa" w:w="80"/>
              <w:left w:type="dxa" w:w="80"/>
              <w:bottom w:type="dxa" w:w="80"/>
              <w:right w:type="dxa" w:w="80"/>
            </w:tcMar>
          </w:tcPr>
          <w:p>
            <w:pPr>
              <w:jc w:val="center"/>
            </w:pPr>
            <w:r>
              <w:rPr>
                <w:rFonts w:ascii="Arial" w:cs="Arial" w:eastAsia="Arial" w:hAnsi="Arial"/>
                <w:b/>
                <w:bCs/>
                <w:color w:val="FFFFFF"/>
                <w:sz w:val="17"/>
                <w:szCs w:val="17"/>
              </w:rPr>
              <w:t xml:space="preserve">3 Possible</w:t>
            </w:r>
          </w:p>
        </w:tc>
        <w:tc>
          <w:tcPr>
            <w:tcW w:type="dxa" w:w="1560"/>
            <w:tcBorders>
              <w:top w:val="single" w:color="DDE3EF" w:sz="4"/>
              <w:left w:val="single" w:color="DDE3EF" w:sz="4"/>
              <w:bottom w:val="single" w:color="DDE3EF" w:sz="4"/>
              <w:right w:val="single" w:color="DDE3EF" w:sz="4"/>
            </w:tcBorders>
            <w:shd w:fill="FEE2E2" w:val="clear"/>
            <w:tcMar>
              <w:top w:type="dxa" w:w="80"/>
              <w:left w:type="dxa" w:w="80"/>
              <w:bottom w:type="dxa" w:w="80"/>
              <w:right w:type="dxa" w:w="80"/>
            </w:tcMar>
          </w:tcPr>
          <w:p>
            <w:pPr>
              <w:jc w:val="center"/>
            </w:pPr>
            <w:r>
              <w:rPr>
                <w:rFonts w:ascii="Arial" w:cs="Arial" w:eastAsia="Arial" w:hAnsi="Arial"/>
                <w:b/>
                <w:bCs/>
                <w:color w:val="991B1B"/>
                <w:sz w:val="22"/>
                <w:szCs w:val="22"/>
              </w:rPr>
              <w:t xml:space="preserve">15</w:t>
            </w:r>
          </w:p>
        </w:tc>
        <w:tc>
          <w:tcPr>
            <w:tcW w:type="dxa" w:w="1560"/>
            <w:tcBorders>
              <w:top w:val="single" w:color="DDE3EF" w:sz="4"/>
              <w:left w:val="single" w:color="DDE3EF" w:sz="4"/>
              <w:bottom w:val="single" w:color="DDE3EF" w:sz="4"/>
              <w:right w:val="single" w:color="DDE3EF" w:sz="4"/>
            </w:tcBorders>
            <w:shd w:fill="FEE2E2" w:val="clear"/>
            <w:tcMar>
              <w:top w:type="dxa" w:w="80"/>
              <w:left w:type="dxa" w:w="80"/>
              <w:bottom w:type="dxa" w:w="80"/>
              <w:right w:type="dxa" w:w="80"/>
            </w:tcMar>
          </w:tcPr>
          <w:p>
            <w:pPr>
              <w:jc w:val="center"/>
            </w:pPr>
            <w:r>
              <w:rPr>
                <w:rFonts w:ascii="Arial" w:cs="Arial" w:eastAsia="Arial" w:hAnsi="Arial"/>
                <w:b/>
                <w:bCs/>
                <w:color w:val="991B1B"/>
                <w:sz w:val="22"/>
                <w:szCs w:val="22"/>
              </w:rPr>
              <w:t xml:space="preserve">12</w:t>
            </w:r>
          </w:p>
        </w:tc>
        <w:tc>
          <w:tcPr>
            <w:tcW w:type="dxa" w:w="1560"/>
            <w:tcBorders>
              <w:top w:val="single" w:color="DDE3EF" w:sz="4"/>
              <w:left w:val="single" w:color="DDE3EF" w:sz="4"/>
              <w:bottom w:val="single" w:color="DDE3EF" w:sz="4"/>
              <w:right w:val="single" w:color="DDE3EF" w:sz="4"/>
            </w:tcBorders>
            <w:shd w:fill="FEF3C7" w:val="clear"/>
            <w:tcMar>
              <w:top w:type="dxa" w:w="80"/>
              <w:left w:type="dxa" w:w="80"/>
              <w:bottom w:type="dxa" w:w="80"/>
              <w:right w:type="dxa" w:w="80"/>
            </w:tcMar>
          </w:tcPr>
          <w:p>
            <w:pPr>
              <w:jc w:val="center"/>
            </w:pPr>
            <w:r>
              <w:rPr>
                <w:rFonts w:ascii="Arial" w:cs="Arial" w:eastAsia="Arial" w:hAnsi="Arial"/>
                <w:b/>
                <w:bCs/>
                <w:color w:val="92400E"/>
                <w:sz w:val="22"/>
                <w:szCs w:val="22"/>
              </w:rPr>
              <w:t xml:space="preserve">9</w:t>
            </w:r>
          </w:p>
        </w:tc>
        <w:tc>
          <w:tcPr>
            <w:tcW w:type="dxa" w:w="1560"/>
            <w:tcBorders>
              <w:top w:val="single" w:color="DDE3EF" w:sz="4"/>
              <w:left w:val="single" w:color="DDE3EF" w:sz="4"/>
              <w:bottom w:val="single" w:color="DDE3EF" w:sz="4"/>
              <w:right w:val="single" w:color="DDE3EF" w:sz="4"/>
            </w:tcBorders>
            <w:shd w:fill="FEF3C7" w:val="clear"/>
            <w:tcMar>
              <w:top w:type="dxa" w:w="80"/>
              <w:left w:type="dxa" w:w="80"/>
              <w:bottom w:type="dxa" w:w="80"/>
              <w:right w:type="dxa" w:w="80"/>
            </w:tcMar>
          </w:tcPr>
          <w:p>
            <w:pPr>
              <w:jc w:val="center"/>
            </w:pPr>
            <w:r>
              <w:rPr>
                <w:rFonts w:ascii="Arial" w:cs="Arial" w:eastAsia="Arial" w:hAnsi="Arial"/>
                <w:b/>
                <w:bCs/>
                <w:color w:val="92400E"/>
                <w:sz w:val="22"/>
                <w:szCs w:val="22"/>
              </w:rPr>
              <w:t xml:space="preserve">6</w:t>
            </w:r>
          </w:p>
        </w:tc>
        <w:tc>
          <w:tcPr>
            <w:tcW w:type="dxa" w:w="1560"/>
            <w:tcBorders>
              <w:top w:val="single" w:color="DDE3EF" w:sz="4"/>
              <w:left w:val="single" w:color="DDE3EF" w:sz="4"/>
              <w:bottom w:val="single" w:color="DDE3EF" w:sz="4"/>
              <w:right w:val="single" w:color="DDE3EF" w:sz="4"/>
            </w:tcBorders>
            <w:shd w:fill="DCFCE7" w:val="clear"/>
            <w:tcMar>
              <w:top w:type="dxa" w:w="80"/>
              <w:left w:type="dxa" w:w="80"/>
              <w:bottom w:type="dxa" w:w="80"/>
              <w:right w:type="dxa" w:w="80"/>
            </w:tcMar>
          </w:tcPr>
          <w:p>
            <w:pPr>
              <w:jc w:val="center"/>
            </w:pPr>
            <w:r>
              <w:rPr>
                <w:rFonts w:ascii="Arial" w:cs="Arial" w:eastAsia="Arial" w:hAnsi="Arial"/>
                <w:b/>
                <w:bCs/>
                <w:color w:val="166534"/>
                <w:sz w:val="22"/>
                <w:szCs w:val="22"/>
              </w:rPr>
              <w:t xml:space="preserve">3</w:t>
            </w:r>
          </w:p>
        </w:tc>
      </w:tr>
      <w:tr>
        <w:tc>
          <w:tcPr>
            <w:tcW w:type="dxa" w:w="1560"/>
            <w:tcBorders>
              <w:top w:val="single" w:color="152168" w:sz="4"/>
              <w:left w:val="single" w:color="152168" w:sz="4"/>
              <w:bottom w:val="single" w:color="152168" w:sz="4"/>
              <w:right w:val="single" w:color="152168" w:sz="4"/>
            </w:tcBorders>
            <w:shd w:fill="152168" w:val="clear"/>
            <w:tcMar>
              <w:top w:type="dxa" w:w="80"/>
              <w:left w:type="dxa" w:w="80"/>
              <w:bottom w:type="dxa" w:w="80"/>
              <w:right w:type="dxa" w:w="80"/>
            </w:tcMar>
          </w:tcPr>
          <w:p>
            <w:pPr>
              <w:jc w:val="center"/>
            </w:pPr>
            <w:r>
              <w:rPr>
                <w:rFonts w:ascii="Arial" w:cs="Arial" w:eastAsia="Arial" w:hAnsi="Arial"/>
                <w:b/>
                <w:bCs/>
                <w:color w:val="FFFFFF"/>
                <w:sz w:val="17"/>
                <w:szCs w:val="17"/>
              </w:rPr>
              <w:t xml:space="preserve">2 Unlikely</w:t>
            </w:r>
          </w:p>
        </w:tc>
        <w:tc>
          <w:tcPr>
            <w:tcW w:type="dxa" w:w="1560"/>
            <w:tcBorders>
              <w:top w:val="single" w:color="DDE3EF" w:sz="4"/>
              <w:left w:val="single" w:color="DDE3EF" w:sz="4"/>
              <w:bottom w:val="single" w:color="DDE3EF" w:sz="4"/>
              <w:right w:val="single" w:color="DDE3EF" w:sz="4"/>
            </w:tcBorders>
            <w:shd w:fill="FEF3C7" w:val="clear"/>
            <w:tcMar>
              <w:top w:type="dxa" w:w="80"/>
              <w:left w:type="dxa" w:w="80"/>
              <w:bottom w:type="dxa" w:w="80"/>
              <w:right w:type="dxa" w:w="80"/>
            </w:tcMar>
          </w:tcPr>
          <w:p>
            <w:pPr>
              <w:jc w:val="center"/>
            </w:pPr>
            <w:r>
              <w:rPr>
                <w:rFonts w:ascii="Arial" w:cs="Arial" w:eastAsia="Arial" w:hAnsi="Arial"/>
                <w:b/>
                <w:bCs/>
                <w:color w:val="92400E"/>
                <w:sz w:val="22"/>
                <w:szCs w:val="22"/>
              </w:rPr>
              <w:t xml:space="preserve">10</w:t>
            </w:r>
          </w:p>
        </w:tc>
        <w:tc>
          <w:tcPr>
            <w:tcW w:type="dxa" w:w="1560"/>
            <w:tcBorders>
              <w:top w:val="single" w:color="DDE3EF" w:sz="4"/>
              <w:left w:val="single" w:color="DDE3EF" w:sz="4"/>
              <w:bottom w:val="single" w:color="DDE3EF" w:sz="4"/>
              <w:right w:val="single" w:color="DDE3EF" w:sz="4"/>
            </w:tcBorders>
            <w:shd w:fill="FEF3C7" w:val="clear"/>
            <w:tcMar>
              <w:top w:type="dxa" w:w="80"/>
              <w:left w:type="dxa" w:w="80"/>
              <w:bottom w:type="dxa" w:w="80"/>
              <w:right w:type="dxa" w:w="80"/>
            </w:tcMar>
          </w:tcPr>
          <w:p>
            <w:pPr>
              <w:jc w:val="center"/>
            </w:pPr>
            <w:r>
              <w:rPr>
                <w:rFonts w:ascii="Arial" w:cs="Arial" w:eastAsia="Arial" w:hAnsi="Arial"/>
                <w:b/>
                <w:bCs/>
                <w:color w:val="92400E"/>
                <w:sz w:val="22"/>
                <w:szCs w:val="22"/>
              </w:rPr>
              <w:t xml:space="preserve">8</w:t>
            </w:r>
          </w:p>
        </w:tc>
        <w:tc>
          <w:tcPr>
            <w:tcW w:type="dxa" w:w="1560"/>
            <w:tcBorders>
              <w:top w:val="single" w:color="DDE3EF" w:sz="4"/>
              <w:left w:val="single" w:color="DDE3EF" w:sz="4"/>
              <w:bottom w:val="single" w:color="DDE3EF" w:sz="4"/>
              <w:right w:val="single" w:color="DDE3EF" w:sz="4"/>
            </w:tcBorders>
            <w:shd w:fill="FEF3C7" w:val="clear"/>
            <w:tcMar>
              <w:top w:type="dxa" w:w="80"/>
              <w:left w:type="dxa" w:w="80"/>
              <w:bottom w:type="dxa" w:w="80"/>
              <w:right w:type="dxa" w:w="80"/>
            </w:tcMar>
          </w:tcPr>
          <w:p>
            <w:pPr>
              <w:jc w:val="center"/>
            </w:pPr>
            <w:r>
              <w:rPr>
                <w:rFonts w:ascii="Arial" w:cs="Arial" w:eastAsia="Arial" w:hAnsi="Arial"/>
                <w:b/>
                <w:bCs/>
                <w:color w:val="92400E"/>
                <w:sz w:val="22"/>
                <w:szCs w:val="22"/>
              </w:rPr>
              <w:t xml:space="preserve">6</w:t>
            </w:r>
          </w:p>
        </w:tc>
        <w:tc>
          <w:tcPr>
            <w:tcW w:type="dxa" w:w="1560"/>
            <w:tcBorders>
              <w:top w:val="single" w:color="DDE3EF" w:sz="4"/>
              <w:left w:val="single" w:color="DDE3EF" w:sz="4"/>
              <w:bottom w:val="single" w:color="DDE3EF" w:sz="4"/>
              <w:right w:val="single" w:color="DDE3EF" w:sz="4"/>
            </w:tcBorders>
            <w:shd w:fill="DCFCE7" w:val="clear"/>
            <w:tcMar>
              <w:top w:type="dxa" w:w="80"/>
              <w:left w:type="dxa" w:w="80"/>
              <w:bottom w:type="dxa" w:w="80"/>
              <w:right w:type="dxa" w:w="80"/>
            </w:tcMar>
          </w:tcPr>
          <w:p>
            <w:pPr>
              <w:jc w:val="center"/>
            </w:pPr>
            <w:r>
              <w:rPr>
                <w:rFonts w:ascii="Arial" w:cs="Arial" w:eastAsia="Arial" w:hAnsi="Arial"/>
                <w:b/>
                <w:bCs/>
                <w:color w:val="166534"/>
                <w:sz w:val="22"/>
                <w:szCs w:val="22"/>
              </w:rPr>
              <w:t xml:space="preserve">4</w:t>
            </w:r>
          </w:p>
        </w:tc>
        <w:tc>
          <w:tcPr>
            <w:tcW w:type="dxa" w:w="1560"/>
            <w:tcBorders>
              <w:top w:val="single" w:color="DDE3EF" w:sz="4"/>
              <w:left w:val="single" w:color="DDE3EF" w:sz="4"/>
              <w:bottom w:val="single" w:color="DDE3EF" w:sz="4"/>
              <w:right w:val="single" w:color="DDE3EF" w:sz="4"/>
            </w:tcBorders>
            <w:shd w:fill="DCFCE7" w:val="clear"/>
            <w:tcMar>
              <w:top w:type="dxa" w:w="80"/>
              <w:left w:type="dxa" w:w="80"/>
              <w:bottom w:type="dxa" w:w="80"/>
              <w:right w:type="dxa" w:w="80"/>
            </w:tcMar>
          </w:tcPr>
          <w:p>
            <w:pPr>
              <w:jc w:val="center"/>
            </w:pPr>
            <w:r>
              <w:rPr>
                <w:rFonts w:ascii="Arial" w:cs="Arial" w:eastAsia="Arial" w:hAnsi="Arial"/>
                <w:b/>
                <w:bCs/>
                <w:color w:val="166534"/>
                <w:sz w:val="22"/>
                <w:szCs w:val="22"/>
              </w:rPr>
              <w:t xml:space="preserve">2</w:t>
            </w:r>
          </w:p>
        </w:tc>
      </w:tr>
      <w:tr>
        <w:tc>
          <w:tcPr>
            <w:tcW w:type="dxa" w:w="1560"/>
            <w:tcBorders>
              <w:top w:val="single" w:color="152168" w:sz="4"/>
              <w:left w:val="single" w:color="152168" w:sz="4"/>
              <w:bottom w:val="single" w:color="152168" w:sz="4"/>
              <w:right w:val="single" w:color="152168" w:sz="4"/>
            </w:tcBorders>
            <w:shd w:fill="152168" w:val="clear"/>
            <w:tcMar>
              <w:top w:type="dxa" w:w="80"/>
              <w:left w:type="dxa" w:w="80"/>
              <w:bottom w:type="dxa" w:w="80"/>
              <w:right w:type="dxa" w:w="80"/>
            </w:tcMar>
          </w:tcPr>
          <w:p>
            <w:pPr>
              <w:jc w:val="center"/>
            </w:pPr>
            <w:r>
              <w:rPr>
                <w:rFonts w:ascii="Arial" w:cs="Arial" w:eastAsia="Arial" w:hAnsi="Arial"/>
                <w:b/>
                <w:bCs/>
                <w:color w:val="FFFFFF"/>
                <w:sz w:val="17"/>
                <w:szCs w:val="17"/>
              </w:rPr>
              <w:t xml:space="preserve">1 Rare</w:t>
            </w:r>
          </w:p>
        </w:tc>
        <w:tc>
          <w:tcPr>
            <w:tcW w:type="dxa" w:w="1560"/>
            <w:tcBorders>
              <w:top w:val="single" w:color="DDE3EF" w:sz="4"/>
              <w:left w:val="single" w:color="DDE3EF" w:sz="4"/>
              <w:bottom w:val="single" w:color="DDE3EF" w:sz="4"/>
              <w:right w:val="single" w:color="DDE3EF" w:sz="4"/>
            </w:tcBorders>
            <w:shd w:fill="DCFCE7" w:val="clear"/>
            <w:tcMar>
              <w:top w:type="dxa" w:w="80"/>
              <w:left w:type="dxa" w:w="80"/>
              <w:bottom w:type="dxa" w:w="80"/>
              <w:right w:type="dxa" w:w="80"/>
            </w:tcMar>
          </w:tcPr>
          <w:p>
            <w:pPr>
              <w:jc w:val="center"/>
            </w:pPr>
            <w:r>
              <w:rPr>
                <w:rFonts w:ascii="Arial" w:cs="Arial" w:eastAsia="Arial" w:hAnsi="Arial"/>
                <w:b/>
                <w:bCs/>
                <w:color w:val="166534"/>
                <w:sz w:val="22"/>
                <w:szCs w:val="22"/>
              </w:rPr>
              <w:t xml:space="preserve">5</w:t>
            </w:r>
          </w:p>
        </w:tc>
        <w:tc>
          <w:tcPr>
            <w:tcW w:type="dxa" w:w="1560"/>
            <w:tcBorders>
              <w:top w:val="single" w:color="DDE3EF" w:sz="4"/>
              <w:left w:val="single" w:color="DDE3EF" w:sz="4"/>
              <w:bottom w:val="single" w:color="DDE3EF" w:sz="4"/>
              <w:right w:val="single" w:color="DDE3EF" w:sz="4"/>
            </w:tcBorders>
            <w:shd w:fill="DCFCE7" w:val="clear"/>
            <w:tcMar>
              <w:top w:type="dxa" w:w="80"/>
              <w:left w:type="dxa" w:w="80"/>
              <w:bottom w:type="dxa" w:w="80"/>
              <w:right w:type="dxa" w:w="80"/>
            </w:tcMar>
          </w:tcPr>
          <w:p>
            <w:pPr>
              <w:jc w:val="center"/>
            </w:pPr>
            <w:r>
              <w:rPr>
                <w:rFonts w:ascii="Arial" w:cs="Arial" w:eastAsia="Arial" w:hAnsi="Arial"/>
                <w:b/>
                <w:bCs/>
                <w:color w:val="166534"/>
                <w:sz w:val="22"/>
                <w:szCs w:val="22"/>
              </w:rPr>
              <w:t xml:space="preserve">4</w:t>
            </w:r>
          </w:p>
        </w:tc>
        <w:tc>
          <w:tcPr>
            <w:tcW w:type="dxa" w:w="1560"/>
            <w:tcBorders>
              <w:top w:val="single" w:color="DDE3EF" w:sz="4"/>
              <w:left w:val="single" w:color="DDE3EF" w:sz="4"/>
              <w:bottom w:val="single" w:color="DDE3EF" w:sz="4"/>
              <w:right w:val="single" w:color="DDE3EF" w:sz="4"/>
            </w:tcBorders>
            <w:shd w:fill="DCFCE7" w:val="clear"/>
            <w:tcMar>
              <w:top w:type="dxa" w:w="80"/>
              <w:left w:type="dxa" w:w="80"/>
              <w:bottom w:type="dxa" w:w="80"/>
              <w:right w:type="dxa" w:w="80"/>
            </w:tcMar>
          </w:tcPr>
          <w:p>
            <w:pPr>
              <w:jc w:val="center"/>
            </w:pPr>
            <w:r>
              <w:rPr>
                <w:rFonts w:ascii="Arial" w:cs="Arial" w:eastAsia="Arial" w:hAnsi="Arial"/>
                <w:b/>
                <w:bCs/>
                <w:color w:val="166534"/>
                <w:sz w:val="22"/>
                <w:szCs w:val="22"/>
              </w:rPr>
              <w:t xml:space="preserve">3</w:t>
            </w:r>
          </w:p>
        </w:tc>
        <w:tc>
          <w:tcPr>
            <w:tcW w:type="dxa" w:w="1560"/>
            <w:tcBorders>
              <w:top w:val="single" w:color="DDE3EF" w:sz="4"/>
              <w:left w:val="single" w:color="DDE3EF" w:sz="4"/>
              <w:bottom w:val="single" w:color="DDE3EF" w:sz="4"/>
              <w:right w:val="single" w:color="DDE3EF" w:sz="4"/>
            </w:tcBorders>
            <w:shd w:fill="DCFCE7" w:val="clear"/>
            <w:tcMar>
              <w:top w:type="dxa" w:w="80"/>
              <w:left w:type="dxa" w:w="80"/>
              <w:bottom w:type="dxa" w:w="80"/>
              <w:right w:type="dxa" w:w="80"/>
            </w:tcMar>
          </w:tcPr>
          <w:p>
            <w:pPr>
              <w:jc w:val="center"/>
            </w:pPr>
            <w:r>
              <w:rPr>
                <w:rFonts w:ascii="Arial" w:cs="Arial" w:eastAsia="Arial" w:hAnsi="Arial"/>
                <w:b/>
                <w:bCs/>
                <w:color w:val="166534"/>
                <w:sz w:val="22"/>
                <w:szCs w:val="22"/>
              </w:rPr>
              <w:t xml:space="preserve">2</w:t>
            </w:r>
          </w:p>
        </w:tc>
        <w:tc>
          <w:tcPr>
            <w:tcW w:type="dxa" w:w="1560"/>
            <w:tcBorders>
              <w:top w:val="single" w:color="DDE3EF" w:sz="4"/>
              <w:left w:val="single" w:color="DDE3EF" w:sz="4"/>
              <w:bottom w:val="single" w:color="DDE3EF" w:sz="4"/>
              <w:right w:val="single" w:color="DDE3EF" w:sz="4"/>
            </w:tcBorders>
            <w:shd w:fill="DCFCE7" w:val="clear"/>
            <w:tcMar>
              <w:top w:type="dxa" w:w="80"/>
              <w:left w:type="dxa" w:w="80"/>
              <w:bottom w:type="dxa" w:w="80"/>
              <w:right w:type="dxa" w:w="80"/>
            </w:tcMar>
          </w:tcPr>
          <w:p>
            <w:pPr>
              <w:jc w:val="center"/>
            </w:pPr>
            <w:r>
              <w:rPr>
                <w:rFonts w:ascii="Arial" w:cs="Arial" w:eastAsia="Arial" w:hAnsi="Arial"/>
                <w:b/>
                <w:bCs/>
                <w:color w:val="166534"/>
                <w:sz w:val="22"/>
                <w:szCs w:val="22"/>
              </w:rPr>
              <w:t xml:space="preserve">1</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E3EF" w:sz="4"/>
              <w:left w:val="single" w:color="DDE3EF" w:sz="4"/>
              <w:bottom w:val="single" w:color="DDE3EF" w:sz="4"/>
              <w:right w:val="single" w:color="DDE3EF" w:sz="4"/>
            </w:tcBorders>
            <w:shd w:fill="DCFCE7" w:val="clear"/>
            <w:tcMar>
              <w:top w:type="dxa" w:w="60"/>
              <w:left w:type="dxa" w:w="80"/>
              <w:bottom w:type="dxa" w:w="60"/>
              <w:right w:type="dxa" w:w="80"/>
            </w:tcMar>
          </w:tcPr>
          <w:p>
            <w:pPr>
              <w:jc w:val="center"/>
            </w:pPr>
            <w:r>
              <w:rPr>
                <w:rFonts w:ascii="Arial" w:cs="Arial" w:eastAsia="Arial" w:hAnsi="Arial"/>
                <w:b/>
                <w:bCs/>
                <w:color w:val="166534"/>
                <w:sz w:val="19"/>
                <w:szCs w:val="19"/>
              </w:rPr>
              <w:t xml:space="preserve">Low (1-5)</w:t>
            </w:r>
          </w:p>
        </w:tc>
        <w:tc>
          <w:tcPr>
            <w:tcW w:type="dxa" w:w="2340"/>
            <w:tcBorders>
              <w:top w:val="single" w:color="DDE3EF" w:sz="4"/>
              <w:left w:val="single" w:color="DDE3EF" w:sz="4"/>
              <w:bottom w:val="single" w:color="DDE3EF" w:sz="4"/>
              <w:right w:val="single" w:color="DDE3EF" w:sz="4"/>
            </w:tcBorders>
            <w:shd w:fill="FEF3C7" w:val="clear"/>
            <w:tcMar>
              <w:top w:type="dxa" w:w="60"/>
              <w:left w:type="dxa" w:w="80"/>
              <w:bottom w:type="dxa" w:w="60"/>
              <w:right w:type="dxa" w:w="80"/>
            </w:tcMar>
          </w:tcPr>
          <w:p>
            <w:pPr>
              <w:jc w:val="center"/>
            </w:pPr>
            <w:r>
              <w:rPr>
                <w:rFonts w:ascii="Arial" w:cs="Arial" w:eastAsia="Arial" w:hAnsi="Arial"/>
                <w:b/>
                <w:bCs/>
                <w:color w:val="92400E"/>
                <w:sz w:val="19"/>
                <w:szCs w:val="19"/>
              </w:rPr>
              <w:t xml:space="preserve">Medium (6-11)</w:t>
            </w:r>
          </w:p>
        </w:tc>
        <w:tc>
          <w:tcPr>
            <w:tcW w:type="dxa" w:w="2340"/>
            <w:tcBorders>
              <w:top w:val="single" w:color="DDE3EF" w:sz="4"/>
              <w:left w:val="single" w:color="DDE3EF" w:sz="4"/>
              <w:bottom w:val="single" w:color="DDE3EF" w:sz="4"/>
              <w:right w:val="single" w:color="DDE3EF" w:sz="4"/>
            </w:tcBorders>
            <w:shd w:fill="FEE2E2" w:val="clear"/>
            <w:tcMar>
              <w:top w:type="dxa" w:w="60"/>
              <w:left w:type="dxa" w:w="80"/>
              <w:bottom w:type="dxa" w:w="60"/>
              <w:right w:type="dxa" w:w="80"/>
            </w:tcMar>
          </w:tcPr>
          <w:p>
            <w:pPr>
              <w:jc w:val="center"/>
            </w:pPr>
            <w:r>
              <w:rPr>
                <w:rFonts w:ascii="Arial" w:cs="Arial" w:eastAsia="Arial" w:hAnsi="Arial"/>
                <w:b/>
                <w:bCs/>
                <w:color w:val="991B1B"/>
                <w:sz w:val="19"/>
                <w:szCs w:val="19"/>
              </w:rPr>
              <w:t xml:space="preserve">High (12-19)</w:t>
            </w:r>
          </w:p>
        </w:tc>
        <w:tc>
          <w:tcPr>
            <w:tcW w:type="dxa" w:w="2340"/>
            <w:tcBorders>
              <w:top w:val="single" w:color="DDE3EF" w:sz="4"/>
              <w:left w:val="single" w:color="DDE3EF" w:sz="4"/>
              <w:bottom w:val="single" w:color="DDE3EF" w:sz="4"/>
              <w:right w:val="single" w:color="DDE3EF" w:sz="4"/>
            </w:tcBorders>
            <w:shd w:fill="7F1D1D" w:val="clear"/>
            <w:tcMar>
              <w:top w:type="dxa" w:w="60"/>
              <w:left w:type="dxa" w:w="80"/>
              <w:bottom w:type="dxa" w:w="60"/>
              <w:right w:type="dxa" w:w="80"/>
            </w:tcMar>
          </w:tcPr>
          <w:p>
            <w:pPr>
              <w:jc w:val="center"/>
            </w:pPr>
            <w:r>
              <w:rPr>
                <w:rFonts w:ascii="Arial" w:cs="Arial" w:eastAsia="Arial" w:hAnsi="Arial"/>
                <w:b/>
                <w:bCs/>
                <w:color w:val="FFFFFF"/>
                <w:sz w:val="19"/>
                <w:szCs w:val="19"/>
              </w:rPr>
              <w:t xml:space="preserve">Critical (20-25)</w:t>
            </w:r>
          </w:p>
        </w:tc>
      </w:tr>
    </w:tbl>
    <w:p>
      <w:pPr>
        <w:spacing w:after="120" w:before="0"/>
      </w:pPr>
      <w:r>
        <w:t xml:space="preserve"/>
      </w:r>
    </w:p>
    <w:p>
      <w:r>
        <w:br w:type="page"/>
      </w:r>
    </w:p>
    <w:p>
      <w:pPr>
        <w:pStyle w:val="Heading1"/>
        <w:pBdr>
          <w:bottom w:val="single" w:color="07B4D9" w:sz="8" w:space="4"/>
        </w:pBdr>
        <w:spacing w:after="120" w:before="400"/>
      </w:pPr>
      <w:bookmarkStart w:name="appB" w:id="21"/>
      <w:r>
        <w:rPr>
          <w:rFonts w:ascii="Arial" w:cs="Arial" w:eastAsia="Arial" w:hAnsi="Arial"/>
          <w:b/>
          <w:bCs/>
          <w:color w:val="152168"/>
          <w:sz w:val="30"/>
          <w:szCs w:val="30"/>
        </w:rPr>
        <w:t xml:space="preserve">Appendix B: Risk Register Template</w:t>
      </w:r>
      <w:bookmarkEnd w:id="22"/>
    </w:p>
    <w:p>
      <w:pPr>
        <w:spacing w:after="80" w:before="60"/>
        <w:jc w:val="both"/>
      </w:pPr>
      <w:r>
        <w:rPr>
          <w:rFonts w:ascii="Arial" w:cs="Arial" w:eastAsia="Arial" w:hAnsi="Arial"/>
          <w:color w:val="1A2340"/>
          <w:sz w:val="22"/>
          <w:szCs w:val="22"/>
        </w:rPr>
        <w:t xml:space="preserve">The following fields shall be maintained for each risk entry in the Risk Register. Store in a secure, access-controlled location.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Field</w:t>
            </w:r>
          </w:p>
        </w:tc>
        <w:tc>
          <w:tcPr>
            <w:tcW w:type="dxa" w:w="69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Description / Instructions</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Risk ID</w:t>
            </w:r>
          </w:p>
        </w:tc>
        <w:tc>
          <w:tcPr>
            <w:tcW w:type="dxa" w:w="69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Unique ID: RISK-YYYY-NNN (e.g., RISK-2026-001)</w:t>
            </w:r>
          </w:p>
        </w:tc>
      </w:tr>
      <w:tr>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Risk Title</w:t>
            </w:r>
          </w:p>
        </w:tc>
        <w:tc>
          <w:tcPr>
            <w:tcW w:type="dxa" w:w="69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Brief descriptive name (e.g., Unpatched servers exploited via known CVE)</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Risk Category</w:t>
            </w:r>
          </w:p>
        </w:tc>
        <w:tc>
          <w:tcPr>
            <w:tcW w:type="dxa" w:w="69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Strategic / Operational / Technical / Compliance / Physical / Human</w:t>
            </w:r>
          </w:p>
        </w:tc>
      </w:tr>
      <w:tr>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Risk Description</w:t>
            </w:r>
          </w:p>
        </w:tc>
        <w:tc>
          <w:tcPr>
            <w:tcW w:type="dxa" w:w="69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Full description: what is the threat, what vulnerability exists, what is the potential impact</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Information Assets Affected</w:t>
            </w:r>
          </w:p>
        </w:tc>
        <w:tc>
          <w:tcPr>
            <w:tcW w:type="dxa" w:w="69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List affected systems, data types, or processes</w:t>
            </w:r>
          </w:p>
        </w:tc>
      </w:tr>
      <w:tr>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Threat Source</w:t>
            </w:r>
          </w:p>
        </w:tc>
        <w:tc>
          <w:tcPr>
            <w:tcW w:type="dxa" w:w="69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Internal / External / Environmental / Supplier; identify specific threat actor type if known</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Existing Controls</w:t>
            </w:r>
          </w:p>
        </w:tc>
        <w:tc>
          <w:tcPr>
            <w:tcW w:type="dxa" w:w="69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Controls currently in place (policy, technical, procedural) that affect the risk</w:t>
            </w:r>
          </w:p>
        </w:tc>
      </w:tr>
      <w:tr>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Inherent Likelihood (1-5)</w:t>
            </w:r>
          </w:p>
        </w:tc>
        <w:tc>
          <w:tcPr>
            <w:tcW w:type="dxa" w:w="69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Likelihood score before considering existing controls</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Inherent Impact (1-5)</w:t>
            </w:r>
          </w:p>
        </w:tc>
        <w:tc>
          <w:tcPr>
            <w:tcW w:type="dxa" w:w="69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Impact score before considering existing controls</w:t>
            </w:r>
          </w:p>
        </w:tc>
      </w:tr>
      <w:tr>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Inherent Risk Score</w:t>
            </w:r>
          </w:p>
        </w:tc>
        <w:tc>
          <w:tcPr>
            <w:tcW w:type="dxa" w:w="69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Inherent Likelihood x Inherent Impact</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Inherent Risk Rating</w:t>
            </w:r>
          </w:p>
        </w:tc>
        <w:tc>
          <w:tcPr>
            <w:tcW w:type="dxa" w:w="69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Low / Medium / High / Critical per Section 6.4 bands</w:t>
            </w:r>
          </w:p>
        </w:tc>
      </w:tr>
      <w:tr>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Residual Likelihood (1-5)</w:t>
            </w:r>
          </w:p>
        </w:tc>
        <w:tc>
          <w:tcPr>
            <w:tcW w:type="dxa" w:w="69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Likelihood score after applying existing controls</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Residual Impact (1-5)</w:t>
            </w:r>
          </w:p>
        </w:tc>
        <w:tc>
          <w:tcPr>
            <w:tcW w:type="dxa" w:w="69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Impact score after applying existing controls</w:t>
            </w:r>
          </w:p>
        </w:tc>
      </w:tr>
      <w:tr>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Residual Risk Score</w:t>
            </w:r>
          </w:p>
        </w:tc>
        <w:tc>
          <w:tcPr>
            <w:tcW w:type="dxa" w:w="69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Residual Likelihood x Residual Impact</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Residual Risk Rating</w:t>
            </w:r>
          </w:p>
        </w:tc>
        <w:tc>
          <w:tcPr>
            <w:tcW w:type="dxa" w:w="69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Low / Medium / High / Critical per Section 6.4 bands</w:t>
            </w:r>
          </w:p>
        </w:tc>
      </w:tr>
      <w:tr>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Treatment Decision</w:t>
            </w:r>
          </w:p>
        </w:tc>
        <w:tc>
          <w:tcPr>
            <w:tcW w:type="dxa" w:w="69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Accept / Mitigate / Transfer / Avoid</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Treatment Plan</w:t>
            </w:r>
          </w:p>
        </w:tc>
        <w:tc>
          <w:tcPr>
            <w:tcW w:type="dxa" w:w="69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Actions, owner, timeline, KPIs, estimated cost, approval status</w:t>
            </w:r>
          </w:p>
        </w:tc>
      </w:tr>
      <w:tr>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Risk Owner</w:t>
            </w:r>
          </w:p>
        </w:tc>
        <w:tc>
          <w:tcPr>
            <w:tcW w:type="dxa" w:w="69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Named individual accountable for this risk</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Target Review Date</w:t>
            </w:r>
          </w:p>
        </w:tc>
        <w:tc>
          <w:tcPr>
            <w:tcW w:type="dxa" w:w="69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Next scheduled review date</w:t>
            </w:r>
          </w:p>
        </w:tc>
      </w:tr>
      <w:tr>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Status</w:t>
            </w:r>
          </w:p>
        </w:tc>
        <w:tc>
          <w:tcPr>
            <w:tcW w:type="dxa" w:w="69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Active / In Treatment / Accepted / Closed</w:t>
            </w:r>
          </w:p>
        </w:tc>
      </w:tr>
    </w:tbl>
    <w:p>
      <w:pPr>
        <w:spacing w:after="120" w:before="0"/>
      </w:pPr>
      <w:r>
        <w:t xml:space="preserve"/>
      </w:r>
    </w:p>
    <w:p>
      <w:r>
        <w:br w:type="page"/>
      </w:r>
    </w:p>
    <w:p>
      <w:pPr>
        <w:pStyle w:val="Heading1"/>
        <w:pBdr>
          <w:bottom w:val="single" w:color="07B4D9" w:sz="8" w:space="4"/>
        </w:pBdr>
        <w:spacing w:after="120" w:before="400"/>
      </w:pPr>
      <w:bookmarkStart w:name="appC" w:id="23"/>
      <w:r>
        <w:rPr>
          <w:rFonts w:ascii="Arial" w:cs="Arial" w:eastAsia="Arial" w:hAnsi="Arial"/>
          <w:b/>
          <w:bCs/>
          <w:color w:val="152168"/>
          <w:sz w:val="30"/>
          <w:szCs w:val="30"/>
        </w:rPr>
        <w:t xml:space="preserve">Appendix C: Risk Treatment Plan Template</w:t>
      </w:r>
      <w:bookmarkEnd w:id="24"/>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Field</w:t>
            </w:r>
          </w:p>
        </w:tc>
        <w:tc>
          <w:tcPr>
            <w:tcW w:type="dxa" w:w="65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Content</w:t>
            </w:r>
          </w:p>
        </w:tc>
      </w:tr>
      <w:tr>
        <w:tc>
          <w:tcPr>
            <w:tcW w:type="dxa" w:w="2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Risk ID</w:t>
            </w:r>
          </w:p>
        </w:tc>
        <w:tc>
          <w:tcPr>
            <w:tcW w:type="dxa" w:w="65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
            </w:r>
          </w:p>
        </w:tc>
      </w:tr>
      <w:tr>
        <w:tc>
          <w:tcPr>
            <w:tcW w:type="dxa" w:w="2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Risk Title</w:t>
            </w:r>
          </w:p>
        </w:tc>
        <w:tc>
          <w:tcPr>
            <w:tcW w:type="dxa" w:w="6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
            </w:r>
          </w:p>
        </w:tc>
      </w:tr>
      <w:tr>
        <w:tc>
          <w:tcPr>
            <w:tcW w:type="dxa" w:w="2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Residual Risk Rating</w:t>
            </w:r>
          </w:p>
        </w:tc>
        <w:tc>
          <w:tcPr>
            <w:tcW w:type="dxa" w:w="65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Low / Medium / High / Critical</w:t>
            </w:r>
          </w:p>
        </w:tc>
      </w:tr>
      <w:tr>
        <w:tc>
          <w:tcPr>
            <w:tcW w:type="dxa" w:w="2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Treatment Decision</w:t>
            </w:r>
          </w:p>
        </w:tc>
        <w:tc>
          <w:tcPr>
            <w:tcW w:type="dxa" w:w="6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Accept / Mitigate / Transfer / Avoid</w:t>
            </w:r>
          </w:p>
        </w:tc>
      </w:tr>
      <w:tr>
        <w:tc>
          <w:tcPr>
            <w:tcW w:type="dxa" w:w="2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Risk Owner</w:t>
            </w:r>
          </w:p>
        </w:tc>
        <w:tc>
          <w:tcPr>
            <w:tcW w:type="dxa" w:w="65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
            </w:r>
          </w:p>
        </w:tc>
      </w:tr>
      <w:tr>
        <w:tc>
          <w:tcPr>
            <w:tcW w:type="dxa" w:w="2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Treatment Action 1</w:t>
            </w:r>
          </w:p>
        </w:tc>
        <w:tc>
          <w:tcPr>
            <w:tcW w:type="dxa" w:w="6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Description of action, responsible party, due date</w:t>
            </w:r>
          </w:p>
        </w:tc>
      </w:tr>
      <w:tr>
        <w:tc>
          <w:tcPr>
            <w:tcW w:type="dxa" w:w="2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Treatment Action 2</w:t>
            </w:r>
          </w:p>
        </w:tc>
        <w:tc>
          <w:tcPr>
            <w:tcW w:type="dxa" w:w="65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Description of action, responsible party, due date</w:t>
            </w:r>
          </w:p>
        </w:tc>
      </w:tr>
      <w:tr>
        <w:tc>
          <w:tcPr>
            <w:tcW w:type="dxa" w:w="2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Treatment Action 3</w:t>
            </w:r>
          </w:p>
        </w:tc>
        <w:tc>
          <w:tcPr>
            <w:tcW w:type="dxa" w:w="6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Description of action, responsible party, due date</w:t>
            </w:r>
          </w:p>
        </w:tc>
      </w:tr>
      <w:tr>
        <w:tc>
          <w:tcPr>
            <w:tcW w:type="dxa" w:w="2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KPIs / Success Metrics</w:t>
            </w:r>
          </w:p>
        </w:tc>
        <w:tc>
          <w:tcPr>
            <w:tcW w:type="dxa" w:w="65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How will treatment effectiveness be measured?</w:t>
            </w:r>
          </w:p>
        </w:tc>
      </w:tr>
      <w:tr>
        <w:tc>
          <w:tcPr>
            <w:tcW w:type="dxa" w:w="2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Estimated Cost</w:t>
            </w:r>
          </w:p>
        </w:tc>
        <w:tc>
          <w:tcPr>
            <w:tcW w:type="dxa" w:w="6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
            </w:r>
          </w:p>
        </w:tc>
      </w:tr>
      <w:tr>
        <w:tc>
          <w:tcPr>
            <w:tcW w:type="dxa" w:w="2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Budget Approved By</w:t>
            </w:r>
          </w:p>
        </w:tc>
        <w:tc>
          <w:tcPr>
            <w:tcW w:type="dxa" w:w="65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
            </w:r>
          </w:p>
        </w:tc>
      </w:tr>
      <w:tr>
        <w:tc>
          <w:tcPr>
            <w:tcW w:type="dxa" w:w="2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Target Residual Risk After Treatment</w:t>
            </w:r>
          </w:p>
        </w:tc>
        <w:tc>
          <w:tcPr>
            <w:tcW w:type="dxa" w:w="6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Expected rating once treatment is complete</w:t>
            </w:r>
          </w:p>
        </w:tc>
      </w:tr>
      <w:tr>
        <w:tc>
          <w:tcPr>
            <w:tcW w:type="dxa" w:w="2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Target Completion Date</w:t>
            </w:r>
          </w:p>
        </w:tc>
        <w:tc>
          <w:tcPr>
            <w:tcW w:type="dxa" w:w="65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
            </w:r>
          </w:p>
        </w:tc>
      </w:tr>
      <w:tr>
        <w:tc>
          <w:tcPr>
            <w:tcW w:type="dxa" w:w="2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Review Date</w:t>
            </w:r>
          </w:p>
        </w:tc>
        <w:tc>
          <w:tcPr>
            <w:tcW w:type="dxa" w:w="6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Date when residual risk will be reassessed</w:t>
            </w:r>
          </w:p>
        </w:tc>
      </w:tr>
      <w:tr>
        <w:tc>
          <w:tcPr>
            <w:tcW w:type="dxa" w:w="2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Plan Approved By</w:t>
            </w:r>
          </w:p>
        </w:tc>
        <w:tc>
          <w:tcPr>
            <w:tcW w:type="dxa" w:w="65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Name, title, date</w:t>
            </w:r>
          </w:p>
        </w:tc>
      </w:tr>
    </w:tbl>
    <w:p>
      <w:pPr>
        <w:spacing w:after="120" w:before="0"/>
      </w:pPr>
      <w:r>
        <w:t xml:space="preserve"/>
      </w:r>
    </w:p>
    <w:p>
      <w:r>
        <w:br w:type="page"/>
      </w:r>
    </w:p>
    <w:p>
      <w:pPr>
        <w:pStyle w:val="Heading1"/>
        <w:pBdr>
          <w:bottom w:val="single" w:color="07B4D9" w:sz="8" w:space="4"/>
        </w:pBdr>
        <w:spacing w:after="120" w:before="400"/>
      </w:pPr>
      <w:bookmarkStart w:name="appD" w:id="25"/>
      <w:r>
        <w:rPr>
          <w:rFonts w:ascii="Arial" w:cs="Arial" w:eastAsia="Arial" w:hAnsi="Arial"/>
          <w:b/>
          <w:bCs/>
          <w:color w:val="152168"/>
          <w:sz w:val="30"/>
          <w:szCs w:val="30"/>
        </w:rPr>
        <w:t xml:space="preserve">Appendix D: Risk Appetite Statement Template</w:t>
      </w:r>
      <w:bookmarkEnd w:id="26"/>
    </w:p>
    <w:p>
      <w:pPr>
        <w:spacing w:after="80" w:before="60"/>
        <w:jc w:val="both"/>
      </w:pPr>
      <w:r>
        <w:rPr>
          <w:rFonts w:ascii="Arial" w:cs="Arial" w:eastAsia="Arial" w:hAnsi="Arial"/>
          <w:color w:val="1A2340"/>
          <w:sz w:val="22"/>
          <w:szCs w:val="22"/>
        </w:rPr>
        <w:t xml:space="preserve">Complete and obtain executive approval annually. This statement defines the boundaries within which the Organization is willing to operate with respect to information security risk.</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Field</w:t>
            </w:r>
          </w:p>
        </w:tc>
        <w:tc>
          <w:tcPr>
            <w:tcW w:type="dxa" w:w="65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Content</w:t>
            </w:r>
          </w:p>
        </w:tc>
      </w:tr>
      <w:tr>
        <w:tc>
          <w:tcPr>
            <w:tcW w:type="dxa" w:w="2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Organization Name</w:t>
            </w:r>
          </w:p>
        </w:tc>
        <w:tc>
          <w:tcPr>
            <w:tcW w:type="dxa" w:w="65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
            </w:r>
          </w:p>
        </w:tc>
      </w:tr>
      <w:tr>
        <w:tc>
          <w:tcPr>
            <w:tcW w:type="dxa" w:w="2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Statement Date</w:t>
            </w:r>
          </w:p>
        </w:tc>
        <w:tc>
          <w:tcPr>
            <w:tcW w:type="dxa" w:w="6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
            </w:r>
          </w:p>
        </w:tc>
      </w:tr>
      <w:tr>
        <w:tc>
          <w:tcPr>
            <w:tcW w:type="dxa" w:w="2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Approved By</w:t>
            </w:r>
          </w:p>
        </w:tc>
        <w:tc>
          <w:tcPr>
            <w:tcW w:type="dxa" w:w="65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
            </w:r>
          </w:p>
        </w:tc>
      </w:tr>
      <w:tr>
        <w:tc>
          <w:tcPr>
            <w:tcW w:type="dxa" w:w="2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Overall Risk Appetite</w:t>
            </w:r>
          </w:p>
        </w:tc>
        <w:tc>
          <w:tcPr>
            <w:tcW w:type="dxa" w:w="6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The Organization has a [Low / Medium] appetite for information security risk. We will not knowingly accept risks that threaten the confidentiality of customer data, the availability of business-critical systems for more than [X] hours, or that create regulatory notification obligations without an approved response plan.</w:t>
            </w:r>
          </w:p>
        </w:tc>
      </w:tr>
      <w:tr>
        <w:tc>
          <w:tcPr>
            <w:tcW w:type="dxa" w:w="2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Risks We Will Accept</w:t>
            </w:r>
          </w:p>
        </w:tc>
        <w:tc>
          <w:tcPr>
            <w:tcW w:type="dxa" w:w="65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1. Low-rated risks where the cost of treatment exceeds the value of the asset at risk. 2. [Add organization-specific examples]</w:t>
            </w:r>
          </w:p>
        </w:tc>
      </w:tr>
      <w:tr>
        <w:tc>
          <w:tcPr>
            <w:tcW w:type="dxa" w:w="2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Risks We Will Not Accept</w:t>
            </w:r>
          </w:p>
        </w:tc>
        <w:tc>
          <w:tcPr>
            <w:tcW w:type="dxa" w:w="6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1. Unencrypted storage of customer PII or payment data. 2. Public internet exposure of administrative interfaces without MFA. 3. Known Critical CVEs on internet-facing systems unpatched for more than 30 days. 4. [Add organization-specific examples]</w:t>
            </w:r>
          </w:p>
        </w:tc>
      </w:tr>
      <w:tr>
        <w:tc>
          <w:tcPr>
            <w:tcW w:type="dxa" w:w="2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Risk Appetite by Category</w:t>
            </w:r>
          </w:p>
        </w:tc>
        <w:tc>
          <w:tcPr>
            <w:tcW w:type="dxa" w:w="65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Strategic: [Low/Medium/High appetite]. Operational: [Low/Medium/High]. Technical: [Low/Medium/High]. Compliance: Low -- zero tolerance for regulatory non-compliance. Physical: [Low/Medium]. Human: [Low/Medium].</w:t>
            </w:r>
          </w:p>
        </w:tc>
      </w:tr>
      <w:tr>
        <w:tc>
          <w:tcPr>
            <w:tcW w:type="dxa" w:w="2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Tolerance Thresholds</w:t>
            </w:r>
          </w:p>
        </w:tc>
        <w:tc>
          <w:tcPr>
            <w:tcW w:type="dxa" w:w="6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We will initiate treatment for all risks rated Medium or above. High risks must have an approved treatment plan within 30 days. Critical risks require immediate executive engagement and treatment within 48 hours.</w:t>
            </w:r>
          </w:p>
        </w:tc>
      </w:tr>
      <w:tr>
        <w:tc>
          <w:tcPr>
            <w:tcW w:type="dxa" w:w="2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Next Review Date</w:t>
            </w:r>
          </w:p>
        </w:tc>
        <w:tc>
          <w:tcPr>
            <w:tcW w:type="dxa" w:w="65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Annual, or following a material change in the Organization's risk profile.</w:t>
            </w:r>
          </w:p>
        </w:tc>
      </w:tr>
    </w:tbl>
    <w:p>
      <w:pPr>
        <w:spacing w:after="120" w:before="0"/>
      </w:pPr>
      <w:r>
        <w:t xml:space="preserve"/>
      </w:r>
    </w:p>
    <w:p>
      <w:r>
        <w:br w:type="page"/>
      </w:r>
    </w:p>
    <w:p>
      <w:pPr>
        <w:pStyle w:val="Heading1"/>
        <w:pBdr>
          <w:bottom w:val="single" w:color="07B4D9" w:sz="8" w:space="4"/>
        </w:pBdr>
        <w:spacing w:after="120" w:before="400"/>
      </w:pPr>
      <w:bookmarkStart w:name="appE" w:id="27"/>
      <w:r>
        <w:rPr>
          <w:rFonts w:ascii="Arial" w:cs="Arial" w:eastAsia="Arial" w:hAnsi="Arial"/>
          <w:b/>
          <w:bCs/>
          <w:color w:val="152168"/>
          <w:sz w:val="30"/>
          <w:szCs w:val="30"/>
        </w:rPr>
        <w:t xml:space="preserve">Appendix E: Framework Mapping</w:t>
      </w:r>
      <w:bookmarkEnd w:id="28"/>
    </w:p>
    <w:p>
      <w:pPr>
        <w:spacing w:after="80" w:before="60"/>
        <w:jc w:val="both"/>
      </w:pPr>
      <w:r>
        <w:rPr>
          <w:rFonts w:ascii="Arial" w:cs="Arial" w:eastAsia="Arial" w:hAnsi="Arial"/>
          <w:color w:val="1A2340"/>
          <w:sz w:val="22"/>
          <w:szCs w:val="22"/>
        </w:rPr>
        <w:t xml:space="preserve">This policy has been designed to align with the following frameworks.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Framework</w:t>
            </w:r>
          </w:p>
        </w:tc>
        <w:tc>
          <w:tcPr>
            <w:tcW w:type="dxa" w:w="34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Reference</w:t>
            </w:r>
          </w:p>
        </w:tc>
        <w:tc>
          <w:tcPr>
            <w:tcW w:type="dxa" w:w="37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Policy Section</w:t>
            </w:r>
          </w:p>
        </w:tc>
      </w:tr>
      <w:tr>
        <w:tc>
          <w:tcPr>
            <w:tcW w:type="dxa" w:w="2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NIST CSF 2.0</w:t>
            </w:r>
          </w:p>
        </w:tc>
        <w:tc>
          <w:tcPr>
            <w:tcW w:type="dxa" w:w="3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GV.RM-01 -- Risk management objectives established</w:t>
            </w:r>
          </w:p>
        </w:tc>
        <w:tc>
          <w:tcPr>
            <w:tcW w:type="dxa" w:w="37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Sections 3 (Policy Statement), 6.1 (Risk Appetite)</w:t>
            </w:r>
          </w:p>
        </w:tc>
      </w:tr>
      <w:tr>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NIST CSF 2.0</w:t>
            </w:r>
          </w:p>
        </w:tc>
        <w:tc>
          <w:tcPr>
            <w:tcW w:type="dxa" w:w="3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GV.RM-02 -- Risk appetite and tolerance statements</w:t>
            </w:r>
          </w:p>
        </w:tc>
        <w:tc>
          <w:tcPr>
            <w:tcW w:type="dxa" w:w="37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Section 6.1 (Risk Appetite Statement), Appendix D</w:t>
            </w:r>
          </w:p>
        </w:tc>
      </w:tr>
      <w:tr>
        <w:tc>
          <w:tcPr>
            <w:tcW w:type="dxa" w:w="2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NIST CSF 2.0</w:t>
            </w:r>
          </w:p>
        </w:tc>
        <w:tc>
          <w:tcPr>
            <w:tcW w:type="dxa" w:w="3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ID.RA-01 -- Asset vulnerabilities identified</w:t>
            </w:r>
          </w:p>
        </w:tc>
        <w:tc>
          <w:tcPr>
            <w:tcW w:type="dxa" w:w="37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Sections 6.2, 6.3 (Risk Assessment and Identification)</w:t>
            </w:r>
          </w:p>
        </w:tc>
      </w:tr>
      <w:tr>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NIST CSF 2.0</w:t>
            </w:r>
          </w:p>
        </w:tc>
        <w:tc>
          <w:tcPr>
            <w:tcW w:type="dxa" w:w="3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ID.RA-03 -- Internal and external threats identified</w:t>
            </w:r>
          </w:p>
        </w:tc>
        <w:tc>
          <w:tcPr>
            <w:tcW w:type="dxa" w:w="37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Section 6.3 (Risk Identification Sources)</w:t>
            </w:r>
          </w:p>
        </w:tc>
      </w:tr>
      <w:tr>
        <w:tc>
          <w:tcPr>
            <w:tcW w:type="dxa" w:w="2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NIST CSF 2.0</w:t>
            </w:r>
          </w:p>
        </w:tc>
        <w:tc>
          <w:tcPr>
            <w:tcW w:type="dxa" w:w="3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ID.RA-04 -- Potential impacts and likelihoods identified</w:t>
            </w:r>
          </w:p>
        </w:tc>
        <w:tc>
          <w:tcPr>
            <w:tcW w:type="dxa" w:w="37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Section 6.4 (Risk Analysis and Matrix), Appendix A</w:t>
            </w:r>
          </w:p>
        </w:tc>
      </w:tr>
      <w:tr>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NIST CSF 2.0</w:t>
            </w:r>
          </w:p>
        </w:tc>
        <w:tc>
          <w:tcPr>
            <w:tcW w:type="dxa" w:w="3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ID.RA-06 -- Risk responses prioritized</w:t>
            </w:r>
          </w:p>
        </w:tc>
        <w:tc>
          <w:tcPr>
            <w:tcW w:type="dxa" w:w="37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Sections 6.5, 6.6 (Risk Evaluation and Treatment)</w:t>
            </w:r>
          </w:p>
        </w:tc>
      </w:tr>
      <w:tr>
        <w:tc>
          <w:tcPr>
            <w:tcW w:type="dxa" w:w="2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ISO/IEC 27001:2022</w:t>
            </w:r>
          </w:p>
        </w:tc>
        <w:tc>
          <w:tcPr>
            <w:tcW w:type="dxa" w:w="3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Clause 6.1 -- Actions to address risks and opportunities</w:t>
            </w:r>
          </w:p>
        </w:tc>
        <w:tc>
          <w:tcPr>
            <w:tcW w:type="dxa" w:w="37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Sections 6.2-6.7 (full Risk Assessment and Treatment lifecycle)</w:t>
            </w:r>
          </w:p>
        </w:tc>
      </w:tr>
      <w:tr>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ISO/IEC 27001:2022</w:t>
            </w:r>
          </w:p>
        </w:tc>
        <w:tc>
          <w:tcPr>
            <w:tcW w:type="dxa" w:w="3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Clause 8.2 -- Information security risk assessment</w:t>
            </w:r>
          </w:p>
        </w:tc>
        <w:tc>
          <w:tcPr>
            <w:tcW w:type="dxa" w:w="37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Sections 6.2, 6.3, 6.4, 6.5 and Appendix A (Matrix)</w:t>
            </w:r>
          </w:p>
        </w:tc>
      </w:tr>
      <w:tr>
        <w:tc>
          <w:tcPr>
            <w:tcW w:type="dxa" w:w="2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ISO/IEC 27001:2022</w:t>
            </w:r>
          </w:p>
        </w:tc>
        <w:tc>
          <w:tcPr>
            <w:tcW w:type="dxa" w:w="3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Clause 8.3 -- Information security risk treatment</w:t>
            </w:r>
          </w:p>
        </w:tc>
        <w:tc>
          <w:tcPr>
            <w:tcW w:type="dxa" w:w="37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Sections 6.6, 6.7, 6.8 and Appendices B, C</w:t>
            </w:r>
          </w:p>
        </w:tc>
      </w:tr>
      <w:tr>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ISO 31000:2018</w:t>
            </w:r>
          </w:p>
        </w:tc>
        <w:tc>
          <w:tcPr>
            <w:tcW w:type="dxa" w:w="3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Clause 6.3 -- Risk assessment process</w:t>
            </w:r>
          </w:p>
        </w:tc>
        <w:tc>
          <w:tcPr>
            <w:tcW w:type="dxa" w:w="37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Sections 6.2-6.5 (aligned assessment process)</w:t>
            </w:r>
          </w:p>
        </w:tc>
      </w:tr>
      <w:tr>
        <w:tc>
          <w:tcPr>
            <w:tcW w:type="dxa" w:w="2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ISO 31000:2018</w:t>
            </w:r>
          </w:p>
        </w:tc>
        <w:tc>
          <w:tcPr>
            <w:tcW w:type="dxa" w:w="3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Clause 6.4 -- Risk treatment</w:t>
            </w:r>
          </w:p>
        </w:tc>
        <w:tc>
          <w:tcPr>
            <w:tcW w:type="dxa" w:w="37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Section 6.6 (Treatment Options) and Appendix C</w:t>
            </w:r>
          </w:p>
        </w:tc>
      </w:tr>
      <w:tr>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2340"/>
                <w:sz w:val="20"/>
                <w:szCs w:val="20"/>
              </w:rPr>
              <w:t xml:space="preserve">ISO 31000:2018</w:t>
            </w:r>
          </w:p>
        </w:tc>
        <w:tc>
          <w:tcPr>
            <w:tcW w:type="dxa" w:w="3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Clause 6.6 -- Monitoring and review</w:t>
            </w:r>
          </w:p>
        </w:tc>
        <w:tc>
          <w:tcPr>
            <w:tcW w:type="dxa" w:w="37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2340"/>
                <w:sz w:val="20"/>
                <w:szCs w:val="20"/>
              </w:rPr>
              <w:t xml:space="preserve">Sections 6.8, 6.9, 6.10 (Register, Reporting, Improvement)</w:t>
            </w:r>
          </w:p>
        </w:tc>
      </w:tr>
    </w:tbl>
    <w:p>
      <w:pPr>
        <w:spacing w:after="120" w:before="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3EF" w:sz="4" w:space="1"/>
      </w:pBdr>
      <w:jc w:val="center"/>
    </w:pPr>
    <w:r>
      <w:rPr>
        <w:rFonts w:ascii="Arial" w:cs="Arial" w:eastAsia="Arial" w:hAnsi="Arial"/>
        <w:color w:val="5A6A8A"/>
        <w:sz w:val="16"/>
        <w:szCs w:val="16"/>
      </w:rPr>
      <w:t xml:space="preserve">INTERNAL -- CONFIDENTIAL | (c) [ORGANIZATION NAME]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3EF" w:sz="4" w:space="1"/>
      </w:pBdr>
      <w:jc w:val="right"/>
    </w:pPr>
    <w:r>
      <w:rPr>
        <w:rFonts w:ascii="Arial" w:cs="Arial" w:eastAsia="Arial" w:hAnsi="Arial"/>
        <w:color w:val="5A6A8A"/>
        <w:sz w:val="16"/>
        <w:szCs w:val="16"/>
      </w:rPr>
      <w:t xml:space="preserve">ENT-Draft-POL-Risk Management-Comprehensive-6.26 | Information Security Risk Management Policy   </w:t>
    </w:r>
    <w:r>
      <w:rPr>
        <w:rFonts w:ascii="Arial" w:cs="Arial" w:eastAsia="Arial" w:hAnsi="Arial"/>
        <w:color w:val="5A6A8A"/>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3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52168"/>
      <w:sz w:val="30"/>
      <w:szCs w:val="30"/>
    </w:rPr>
  </w:style>
  <w:style w:type="paragraph" w:styleId="Heading2">
    <w:name w:val="Heading 2"/>
    <w:basedOn w:val="Normal"/>
    <w:next w:val="Normal"/>
    <w:qFormat/>
    <w:pPr>
      <w:spacing w:after="80" w:before="280"/>
      <w:outlineLvl w:val="1"/>
    </w:pPr>
    <w:rPr>
      <w:rFonts w:ascii="Arial" w:cs="Arial" w:eastAsia="Arial" w:hAnsi="Arial"/>
      <w:b/>
      <w:bCs/>
      <w:color w:val="152168"/>
      <w:sz w:val="26"/>
      <w:szCs w:val="26"/>
    </w:rPr>
  </w:style>
  <w:style w:type="paragraph" w:styleId="Heading3">
    <w:name w:val="Heading 3"/>
    <w:basedOn w:val="Normal"/>
    <w:next w:val="Normal"/>
    <w:qFormat/>
    <w:pPr>
      <w:spacing w:after="60" w:before="220"/>
      <w:outlineLvl w:val="2"/>
    </w:pPr>
    <w:rPr>
      <w:rFonts w:ascii="Arial" w:cs="Arial" w:eastAsia="Arial" w:hAnsi="Arial"/>
      <w:b/>
      <w:bCs/>
      <w:color w:val="4F46E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2026-06-19T04:25:13.497Z</dcterms:created>
  <dcterms:modified xsi:type="dcterms:W3CDTF">2026-06-19T04:25:13.497Z</dcterms:modified>
</cp:coreProperties>
</file>

<file path=docProps/custom.xml><?xml version="1.0" encoding="utf-8"?>
<Properties xmlns="http://schemas.openxmlformats.org/officeDocument/2006/custom-properties" xmlns:vt="http://schemas.openxmlformats.org/officeDocument/2006/docPropsVTypes"/>
</file>