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52168"/>
          <w:sz w:val="52"/>
          <w:szCs w:val="52"/>
        </w:rPr>
        <w:t xml:space="preserve">Information Security Risk Management Policy</w:t>
      </w:r>
    </w:p>
    <w:p>
      <w:pPr>
        <w:spacing w:after="60" w:before="0"/>
        <w:jc w:val="center"/>
      </w:pPr>
      <w:r>
        <w:rPr>
          <w:rFonts w:ascii="Arial" w:cs="Arial" w:eastAsia="Arial" w:hAnsi="Arial"/>
          <w:color w:val="07B4D9"/>
          <w:sz w:val="28"/>
          <w:szCs w:val="28"/>
        </w:rPr>
        <w:t xml:space="preserve">Plain Language Edition</w:t>
      </w:r>
    </w:p>
    <w:p>
      <w:pPr>
        <w:spacing w:after="400" w:before="0"/>
        <w:jc w:val="center"/>
      </w:pPr>
      <w:r>
        <w:rPr>
          <w:rFonts w:ascii="Arial" w:cs="Arial" w:eastAsia="Arial" w:hAnsi="Arial"/>
          <w:i/>
          <w:iCs/>
          <w:color w:val="5A6A8A"/>
          <w:sz w:val="20"/>
          <w:szCs w:val="20"/>
        </w:rPr>
        <w:t xml:space="preserve">Written for everyone in the organization -- no technical background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Document ID:</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ENT-Draft-POL-Risk Management-SMB-6.26</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Policy Title: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Information Security Risk Management Policy (Plain Language Edition)</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Version: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1.0 -- Initial Release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Effective Date: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June 2026</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Policy Owner:</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[Owner Name / Title]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Approved By:</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[Name, Title]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Classification: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Internal -- Confidential</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Intended Audience: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All staff, including non-technical employees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Next Review:</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June 2026 (Annual)</w:t>
            </w:r>
          </w:p>
        </w:tc>
      </w:tr>
    </w:tbl>
    <w:p>
      <w:pPr>
        <w:spacing w:after="400" w:before="0"/>
      </w:pPr>
      <w:r>
        <w:t xml:space="preserve"/>
      </w:r>
    </w:p>
    <w:p>
      <w:pPr>
        <w:jc w:val="center"/>
      </w:pPr>
      <w:r>
        <w:rPr>
          <w:rFonts w:ascii="Arial" w:cs="Arial" w:eastAsia="Arial" w:hAnsi="Arial"/>
          <w:b/>
          <w:bCs/>
          <w:color w:val="991B1B"/>
          <w:sz w:val="20"/>
          <w:szCs w:val="20"/>
        </w:rPr>
        <w:t xml:space="preserve">INTERNAL -- CONFIDENTIAL</w:t>
      </w:r>
    </w:p>
    <w:p>
      <w:pPr>
        <w:spacing w:after="0" w:before="40"/>
        <w:jc w:val="center"/>
      </w:pPr>
      <w:r>
        <w:rPr>
          <w:rFonts w:ascii="Arial" w:cs="Arial" w:eastAsia="Arial" w:hAnsi="Arial"/>
          <w:i/>
          <w:iCs/>
          <w:color w:val="5A6A8A"/>
          <w:sz w:val="18"/>
          <w:szCs w:val="18"/>
        </w:rPr>
        <w:t xml:space="preserve">This document contains confidential information. Distribution is restricted to authorized personnel only.</w:t>
      </w:r>
    </w:p>
    <w:p>
      <w:r>
        <w:br w:type="page"/>
      </w:r>
    </w:p>
    <w:p>
      <w:pPr>
        <w:pStyle w:val="Heading1"/>
        <w:pBdr>
          <w:bottom w:val="single" w:color="07B4D9" w:sz="8" w:space="4"/>
        </w:pBdr>
        <w:spacing w:after="120" w:before="400"/>
      </w:pPr>
      <w:bookmarkStart w:name="s1" w:id="1"/>
      <w:r>
        <w:rPr>
          <w:rFonts w:ascii="Arial" w:cs="Arial" w:eastAsia="Arial" w:hAnsi="Arial"/>
          <w:b/>
          <w:bCs/>
          <w:color w:val="152168"/>
          <w:sz w:val="30"/>
          <w:szCs w:val="30"/>
        </w:rPr>
        <w:t xml:space="preserve">1. Why We Manage Risk</w:t>
      </w:r>
      <w:bookmarkEnd w:id="2"/>
    </w:p>
    <w:p>
      <w:pPr>
        <w:spacing w:after="80" w:before="60"/>
        <w:jc w:val="both"/>
      </w:pPr>
      <w:r>
        <w:rPr>
          <w:rFonts w:ascii="Arial" w:cs="Arial" w:eastAsia="Arial" w:hAnsi="Arial"/>
          <w:color w:val="1A2340"/>
          <w:sz w:val="22"/>
          <w:szCs w:val="22"/>
        </w:rPr>
        <w:t xml:space="preserve">Every organization faces risks -- things that could go wrong and hurt the business. In information security, those risks tend to be things like hackers stealing data, ransomware locking our systems, or staff accidentally exposing customer information.</w:t>
      </w:r>
    </w:p>
    <w:p>
      <w:pPr>
        <w:spacing w:after="80" w:before="60"/>
        <w:jc w:val="both"/>
      </w:pPr>
      <w:r>
        <w:rPr>
          <w:rFonts w:ascii="Arial" w:cs="Arial" w:eastAsia="Arial" w:hAnsi="Arial"/>
          <w:color w:val="1A2340"/>
          <w:sz w:val="22"/>
          <w:szCs w:val="22"/>
        </w:rPr>
        <w:t xml:space="preserve">The honest truth is this: risks we ignore tend to become problems. And when those problems hit, they cost far more to fix than it would have cost to prevent them -- in money, in time, and in trust.</w:t>
      </w:r>
    </w:p>
    <w:p>
      <w:pPr>
        <w:spacing w:after="80" w:before="60"/>
        <w:jc w:val="both"/>
      </w:pPr>
      <w:r>
        <w:rPr>
          <w:rFonts w:ascii="Arial" w:cs="Arial" w:eastAsia="Arial" w:hAnsi="Arial"/>
          <w:color w:val="1A2340"/>
          <w:sz w:val="22"/>
          <w:szCs w:val="22"/>
        </w:rPr>
        <w:t xml:space="preserve">Managing risk does not mean trying to eliminate every possible bad thing that could happen. That would be impossible and prohibitively expensive. What it means is making informed decisions about what we protect, how much we spend to protect it, and what level of uncertainty we are willing to accept.</w:t>
      </w:r>
    </w:p>
    <w:p>
      <w:pPr>
        <w:spacing w:after="120" w:before="0"/>
      </w:pPr>
      <w:r>
        <w:t xml:space="preserve"/>
      </w:r>
    </w:p>
    <w:p>
      <w:pPr>
        <w:pBdr>
          <w:left w:val="single" w:color="07B4D9" w:sz="12" w:space="4"/>
        </w:pBdr>
        <w:spacing w:after="80" w:before="80"/>
        <w:ind w:left="360" w:right="360"/>
      </w:pPr>
      <w:r>
        <w:rPr>
          <w:rFonts w:ascii="Arial" w:cs="Arial" w:eastAsia="Arial" w:hAnsi="Arial"/>
          <w:b w:val="false"/>
          <w:bCs w:val="false"/>
          <w:color w:val="152168"/>
          <w:sz w:val="22"/>
          <w:szCs w:val="22"/>
        </w:rPr>
        <w:t xml:space="preserve">Our goal is not zero risk. Our goal is the right risk -- understood, documented, and managed at a level we have consciously chosen.</w:t>
      </w:r>
    </w:p>
    <w:p>
      <w:pPr>
        <w:spacing w:after="120" w:before="0"/>
      </w:pPr>
      <w:r>
        <w:t xml:space="preserve"/>
      </w:r>
    </w:p>
    <w:p>
      <w:pPr>
        <w:spacing w:after="80" w:before="60"/>
        <w:jc w:val="both"/>
      </w:pPr>
      <w:r>
        <w:rPr>
          <w:rFonts w:ascii="Arial" w:cs="Arial" w:eastAsia="Arial" w:hAnsi="Arial"/>
          <w:color w:val="1A2340"/>
          <w:sz w:val="22"/>
          <w:szCs w:val="22"/>
        </w:rPr>
        <w:t xml:space="preserve">This policy tells everyone in the organization how we do that. It applies to all staff, regardless of role or technical background.</w:t>
      </w:r>
    </w:p>
    <w:p>
      <w:pPr>
        <w:spacing w:after="120" w:before="0"/>
      </w:pPr>
      <w:r>
        <w:t xml:space="preserve"/>
      </w:r>
    </w:p>
    <w:p>
      <w:pPr>
        <w:pStyle w:val="Heading1"/>
        <w:pBdr>
          <w:bottom w:val="single" w:color="07B4D9" w:sz="8" w:space="4"/>
        </w:pBdr>
        <w:spacing w:after="120" w:before="400"/>
      </w:pPr>
      <w:bookmarkStart w:name="s2" w:id="3"/>
      <w:r>
        <w:rPr>
          <w:rFonts w:ascii="Arial" w:cs="Arial" w:eastAsia="Arial" w:hAnsi="Arial"/>
          <w:b/>
          <w:bCs/>
          <w:color w:val="152168"/>
          <w:sz w:val="30"/>
          <w:szCs w:val="30"/>
        </w:rPr>
        <w:t xml:space="preserve">2. How We Think About Risk</w:t>
      </w:r>
      <w:bookmarkEnd w:id="4"/>
    </w:p>
    <w:p>
      <w:pPr>
        <w:spacing w:after="80" w:before="60"/>
        <w:jc w:val="both"/>
      </w:pPr>
      <w:r>
        <w:rPr>
          <w:rFonts w:ascii="Arial" w:cs="Arial" w:eastAsia="Arial" w:hAnsi="Arial"/>
          <w:color w:val="1A2340"/>
          <w:sz w:val="22"/>
          <w:szCs w:val="22"/>
        </w:rPr>
        <w:t xml:space="preserve">A risk has two parts: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Part</w:t>
            </w:r>
          </w:p>
        </w:tc>
        <w:tc>
          <w:tcPr>
            <w:tcW w:type="dxa" w:w="7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Threat</w:t>
            </w:r>
          </w:p>
        </w:tc>
        <w:tc>
          <w:tcPr>
            <w:tcW w:type="dxa" w:w="7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Something that could harm us. Examples: a hacker trying to break in, an employee clicking a phishing link, a server catching fire, a supplier getting breached.</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Vulnerability</w:t>
            </w:r>
          </w:p>
        </w:tc>
        <w:tc>
          <w:tcPr>
            <w:tcW w:type="dxa" w:w="7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A weakness that makes the threat more likely to succeed. Examples: no antivirus software, weak passwords, no staff training, unlocked server room.</w:t>
            </w:r>
          </w:p>
        </w:tc>
      </w:tr>
    </w:tbl>
    <w:p>
      <w:pPr>
        <w:spacing w:after="120" w:before="0"/>
      </w:pPr>
      <w:r>
        <w:t xml:space="preserve"/>
      </w:r>
    </w:p>
    <w:p>
      <w:pPr>
        <w:spacing w:after="80" w:before="60"/>
        <w:jc w:val="both"/>
      </w:pPr>
      <w:r>
        <w:rPr>
          <w:rFonts w:ascii="Arial" w:cs="Arial" w:eastAsia="Arial" w:hAnsi="Arial"/>
          <w:color w:val="1A2340"/>
          <w:sz w:val="22"/>
          <w:szCs w:val="22"/>
        </w:rPr>
        <w:t xml:space="preserve">When a threat meets a vulnerability, you have a risk. For example: if hackers are targeting businesses like ours (threat) and we have not enabled multi-factor authentication (vulnerability), we have a real risk of an account takeover.</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Two Factors Determine How Serious a Risk 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Factor</w:t>
            </w:r>
          </w:p>
        </w:tc>
        <w:tc>
          <w:tcPr>
            <w:tcW w:type="dxa" w:w="6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Plain English Explanation</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Likelihood</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How probable is it that this bad thing actually happens? Is it a once-a-decade event or something that happens to businesses like ours all the time?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Impact</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If it does happen, how bad would it be? A minor inconvenience, a significant operational disruption, or a business-ending event?</w:t>
            </w:r>
          </w:p>
        </w:tc>
      </w:tr>
    </w:tbl>
    <w:p>
      <w:pPr>
        <w:spacing w:after="120" w:before="0"/>
      </w:pPr>
      <w:r>
        <w:t xml:space="preserve"/>
      </w:r>
    </w:p>
    <w:p>
      <w:pPr>
        <w:spacing w:after="80" w:before="60"/>
        <w:jc w:val="both"/>
      </w:pPr>
      <w:r>
        <w:rPr>
          <w:rFonts w:ascii="Arial" w:cs="Arial" w:eastAsia="Arial" w:hAnsi="Arial"/>
          <w:color w:val="1A2340"/>
          <w:sz w:val="22"/>
          <w:szCs w:val="22"/>
        </w:rPr>
        <w:t xml:space="preserve">We multiply likelihood and impact together to get a risk score. Higher scores mean higher priority. See Section 4 for our rating table.</w:t>
      </w:r>
    </w:p>
    <w:p>
      <w:pPr>
        <w:spacing w:after="120" w:before="0"/>
      </w:pPr>
      <w:r>
        <w:t xml:space="preserve"/>
      </w:r>
    </w:p>
    <w:p>
      <w:pPr>
        <w:pStyle w:val="Heading1"/>
        <w:pBdr>
          <w:bottom w:val="single" w:color="07B4D9" w:sz="8" w:space="4"/>
        </w:pBdr>
        <w:spacing w:after="120" w:before="400"/>
      </w:pPr>
      <w:bookmarkStart w:name="s3" w:id="5"/>
      <w:r>
        <w:rPr>
          <w:rFonts w:ascii="Arial" w:cs="Arial" w:eastAsia="Arial" w:hAnsi="Arial"/>
          <w:b/>
          <w:bCs/>
          <w:color w:val="152168"/>
          <w:sz w:val="30"/>
          <w:szCs w:val="30"/>
        </w:rPr>
        <w:t xml:space="preserve">3. Our Risk Appetite</w:t>
      </w:r>
      <w:bookmarkEnd w:id="6"/>
    </w:p>
    <w:p>
      <w:pPr>
        <w:spacing w:after="80" w:before="60"/>
        <w:jc w:val="both"/>
      </w:pPr>
      <w:r>
        <w:rPr>
          <w:rFonts w:ascii="Arial" w:cs="Arial" w:eastAsia="Arial" w:hAnsi="Arial"/>
          <w:color w:val="1A2340"/>
          <w:sz w:val="22"/>
          <w:szCs w:val="22"/>
        </w:rPr>
        <w:t xml:space="preserve">Risk appetite is a fancy term for a simple concept: it defines what risks we are willing to live with, and what risks we are not.</w:t>
      </w:r>
    </w:p>
    <w:p>
      <w:pPr>
        <w:spacing w:after="120" w:before="0"/>
      </w:pPr>
      <w:r>
        <w:t xml:space="preserve"/>
      </w:r>
    </w:p>
    <w:p>
      <w:pPr>
        <w:pBdr>
          <w:left w:val="single" w:color="07B4D9" w:sz="12" w:space="4"/>
        </w:pBdr>
        <w:spacing w:after="80" w:before="80"/>
        <w:ind w:left="360" w:right="360"/>
      </w:pPr>
      <w:r>
        <w:rPr>
          <w:rFonts w:ascii="Arial" w:cs="Arial" w:eastAsia="Arial" w:hAnsi="Arial"/>
          <w:b w:val="false"/>
          <w:bCs w:val="false"/>
          <w:color w:val="152168"/>
          <w:sz w:val="22"/>
          <w:szCs w:val="22"/>
        </w:rPr>
        <w:t xml:space="preserve">Think of it like speed limits. We do not drive at zero miles per hour everywhere -- that would be impractical. But we also do not drive at 100 mph in a school zone. Risk appetite defines our speed limits for different kinds of risk.</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Risks We Accept</w:t>
      </w:r>
    </w:p>
    <w:p>
      <w:pPr>
        <w:spacing w:after="80" w:before="60"/>
        <w:jc w:val="both"/>
      </w:pPr>
      <w:r>
        <w:rPr>
          <w:rFonts w:ascii="Arial" w:cs="Arial" w:eastAsia="Arial" w:hAnsi="Arial"/>
          <w:color w:val="1A2340"/>
          <w:sz w:val="22"/>
          <w:szCs w:val="22"/>
        </w:rPr>
        <w:t xml:space="preserve">We accept some risks because fixing them would cost more than the risk is worth, or because the risk is genuinely small:</w:t>
      </w:r>
    </w:p>
    <w:p>
      <w:pPr>
        <w:pStyle w:val="ListParagraph"/>
        <w:numPr>
          <w:ilvl w:val="0"/>
          <w:numId w:val="2"/>
        </w:numPr>
        <w:spacing w:after="40" w:before="40"/>
      </w:pPr>
      <w:r>
        <w:rPr>
          <w:rFonts w:ascii="Arial" w:cs="Arial" w:eastAsia="Arial" w:hAnsi="Arial"/>
          <w:color w:val="1A2340"/>
          <w:sz w:val="22"/>
          <w:szCs w:val="22"/>
        </w:rPr>
        <w:t xml:space="preserve">We accept the risk of not having a dedicated in-house security team -- that is why we work with a vCISO and external expertise instead.</w:t>
      </w:r>
    </w:p>
    <w:p>
      <w:pPr>
        <w:pStyle w:val="ListParagraph"/>
        <w:numPr>
          <w:ilvl w:val="0"/>
          <w:numId w:val="2"/>
        </w:numPr>
        <w:spacing w:after="40" w:before="40"/>
      </w:pPr>
      <w:r>
        <w:rPr>
          <w:rFonts w:ascii="Arial" w:cs="Arial" w:eastAsia="Arial" w:hAnsi="Arial"/>
          <w:color w:val="1A2340"/>
          <w:sz w:val="22"/>
          <w:szCs w:val="22"/>
        </w:rPr>
        <w:t xml:space="preserve">We accept minor disruptions from system maintenance windows -- the inconvenience is worth the security benefit of staying patched.</w:t>
      </w:r>
    </w:p>
    <w:p>
      <w:pPr>
        <w:pStyle w:val="ListParagraph"/>
        <w:numPr>
          <w:ilvl w:val="0"/>
          <w:numId w:val="2"/>
        </w:numPr>
        <w:spacing w:after="40" w:before="40"/>
      </w:pPr>
      <w:r>
        <w:rPr>
          <w:rFonts w:ascii="Arial" w:cs="Arial" w:eastAsia="Arial" w:hAnsi="Arial"/>
          <w:color w:val="1A2340"/>
          <w:sz w:val="22"/>
          <w:szCs w:val="22"/>
        </w:rPr>
        <w:t xml:space="preserve">We accept that some phishing emails will reach staff inboxes -- we mitigate this with training and clear reporting procedures rather than trying to block every email.</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Risks We Do Not Accept</w:t>
      </w:r>
    </w:p>
    <w:p>
      <w:pPr>
        <w:spacing w:after="80" w:before="60"/>
        <w:jc w:val="both"/>
      </w:pPr>
      <w:r>
        <w:rPr>
          <w:rFonts w:ascii="Arial" w:cs="Arial" w:eastAsia="Arial" w:hAnsi="Arial"/>
          <w:color w:val="1A2340"/>
          <w:sz w:val="22"/>
          <w:szCs w:val="22"/>
        </w:rPr>
        <w:t xml:space="preserve">Some risks are not acceptable regardless of cost:</w:t>
      </w:r>
    </w:p>
    <w:p>
      <w:pPr>
        <w:pStyle w:val="ListParagraph"/>
        <w:numPr>
          <w:ilvl w:val="0"/>
          <w:numId w:val="2"/>
        </w:numPr>
        <w:spacing w:after="40" w:before="40"/>
      </w:pPr>
      <w:r>
        <w:rPr>
          <w:rFonts w:ascii="Arial" w:cs="Arial" w:eastAsia="Arial" w:hAnsi="Arial"/>
          <w:color w:val="1A2340"/>
          <w:sz w:val="22"/>
          <w:szCs w:val="22"/>
        </w:rPr>
        <w:t xml:space="preserve">We do not accept unencrypted storage of customer personal information or payment data.</w:t>
      </w:r>
    </w:p>
    <w:p>
      <w:pPr>
        <w:pStyle w:val="ListParagraph"/>
        <w:numPr>
          <w:ilvl w:val="0"/>
          <w:numId w:val="2"/>
        </w:numPr>
        <w:spacing w:after="40" w:before="40"/>
      </w:pPr>
      <w:r>
        <w:rPr>
          <w:rFonts w:ascii="Arial" w:cs="Arial" w:eastAsia="Arial" w:hAnsi="Arial"/>
          <w:color w:val="1A2340"/>
          <w:sz w:val="22"/>
          <w:szCs w:val="22"/>
        </w:rPr>
        <w:t xml:space="preserve">We do not accept employees using personal, unmanaged devices to access sensitive business systems without security controls.</w:t>
      </w:r>
    </w:p>
    <w:p>
      <w:pPr>
        <w:pStyle w:val="ListParagraph"/>
        <w:numPr>
          <w:ilvl w:val="0"/>
          <w:numId w:val="2"/>
        </w:numPr>
        <w:spacing w:after="40" w:before="40"/>
      </w:pPr>
      <w:r>
        <w:rPr>
          <w:rFonts w:ascii="Arial" w:cs="Arial" w:eastAsia="Arial" w:hAnsi="Arial"/>
          <w:color w:val="1A2340"/>
          <w:sz w:val="22"/>
          <w:szCs w:val="22"/>
        </w:rPr>
        <w:t xml:space="preserve">We do not accept internet-facing systems that use weak or shared passwords with no multi-factor authentication.</w:t>
      </w:r>
    </w:p>
    <w:p>
      <w:pPr>
        <w:pStyle w:val="ListParagraph"/>
        <w:numPr>
          <w:ilvl w:val="0"/>
          <w:numId w:val="2"/>
        </w:numPr>
        <w:spacing w:after="40" w:before="40"/>
      </w:pPr>
      <w:r>
        <w:rPr>
          <w:rFonts w:ascii="Arial" w:cs="Arial" w:eastAsia="Arial" w:hAnsi="Arial"/>
          <w:color w:val="1A2340"/>
          <w:sz w:val="22"/>
          <w:szCs w:val="22"/>
        </w:rPr>
        <w:t xml:space="preserve">We do not accept known critical security vulnerabilities on important systems going unpatched for more than 30 days.</w:t>
      </w:r>
    </w:p>
    <w:p>
      <w:pPr>
        <w:spacing w:after="120" w:before="0"/>
      </w:pPr>
      <w:r>
        <w:t xml:space="preserve"/>
      </w:r>
    </w:p>
    <w:p>
      <w:pPr>
        <w:spacing w:after="80" w:before="60"/>
        <w:jc w:val="both"/>
      </w:pPr>
      <w:r>
        <w:rPr>
          <w:rFonts w:ascii="Arial" w:cs="Arial" w:eastAsia="Arial" w:hAnsi="Arial"/>
          <w:color w:val="1A2340"/>
          <w:sz w:val="22"/>
          <w:szCs w:val="22"/>
        </w:rPr>
        <w:t xml:space="preserve">When a risk exceeds our appetite, we have to do something about it. We do not just leave it and hope for the best.</w:t>
      </w:r>
    </w:p>
    <w:p>
      <w:pPr>
        <w:spacing w:after="120" w:before="0"/>
      </w:pPr>
      <w:r>
        <w:t xml:space="preserve"/>
      </w:r>
    </w:p>
    <w:p>
      <w:pPr>
        <w:pStyle w:val="Heading1"/>
        <w:pBdr>
          <w:bottom w:val="single" w:color="07B4D9" w:sz="8" w:space="4"/>
        </w:pBdr>
        <w:spacing w:after="120" w:before="400"/>
      </w:pPr>
      <w:bookmarkStart w:name="s4" w:id="7"/>
      <w:r>
        <w:rPr>
          <w:rFonts w:ascii="Arial" w:cs="Arial" w:eastAsia="Arial" w:hAnsi="Arial"/>
          <w:b/>
          <w:bCs/>
          <w:color w:val="152168"/>
          <w:sz w:val="30"/>
          <w:szCs w:val="30"/>
        </w:rPr>
        <w:t xml:space="preserve">4. How We Rate Risks</w:t>
      </w:r>
      <w:bookmarkEnd w:id="8"/>
    </w:p>
    <w:p>
      <w:pPr>
        <w:spacing w:after="80" w:before="60"/>
        <w:jc w:val="both"/>
      </w:pPr>
      <w:r>
        <w:rPr>
          <w:rFonts w:ascii="Arial" w:cs="Arial" w:eastAsia="Arial" w:hAnsi="Arial"/>
          <w:color w:val="1A2340"/>
          <w:sz w:val="22"/>
          <w:szCs w:val="22"/>
        </w:rPr>
        <w:t xml:space="preserve">We use a simple 3x3 table to rate every risk we identify. We ask two questions: How likely is this to happen? And if it does, how bad would it be?</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Rating</w:t>
            </w:r>
          </w:p>
        </w:tc>
        <w:tc>
          <w:tcPr>
            <w:tcW w:type="dxa" w:w="5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340"/>
                <w:sz w:val="20"/>
                <w:szCs w:val="20"/>
              </w:rPr>
              <w:t xml:space="preserve">1</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Low</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Unlikely to happen in any given year. Maybe once every several years at most.</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color w:val="1A2340"/>
                <w:sz w:val="20"/>
                <w:szCs w:val="20"/>
              </w:rPr>
              <w:t xml:space="preserve">2</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Medium</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Could happen -- perhaps once a year, or we have seen it happen to similar organizations.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340"/>
                <w:sz w:val="20"/>
                <w:szCs w:val="20"/>
              </w:rPr>
              <w:t xml:space="preserve">3</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High</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Expected to happen -- it is not a question of if, but when. Attackers actively try this regularly.</w:t>
            </w:r>
          </w:p>
        </w:tc>
      </w:tr>
    </w:tbl>
    <w:p>
      <w:pPr>
        <w:spacing w:after="120" w:before="0"/>
      </w:pPr>
      <w:r>
        <w:t xml:space="preserve"/>
      </w:r>
    </w:p>
    <w:p>
      <w:pPr>
        <w:pStyle w:val="Heading2"/>
        <w:spacing w:after="60" w:before="240"/>
      </w:pPr>
      <w:r>
        <w:rPr>
          <w:rFonts w:ascii="Arial" w:cs="Arial" w:eastAsia="Arial" w:hAnsi="Arial"/>
          <w:b/>
          <w:bCs/>
          <w:color w:val="4F46E5"/>
          <w:sz w:val="24"/>
          <w:szCs w:val="24"/>
        </w:rPr>
        <w:t xml:space="preserve">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Rating</w:t>
            </w:r>
          </w:p>
        </w:tc>
        <w:tc>
          <w:tcPr>
            <w:tcW w:type="dxa" w:w="5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340"/>
                <w:sz w:val="20"/>
                <w:szCs w:val="20"/>
              </w:rPr>
              <w:t xml:space="preserve">1</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Low</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Minor disruption. Fixed within hours. Small financial cost. No regulatory concern.</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color w:val="1A2340"/>
                <w:sz w:val="20"/>
                <w:szCs w:val="20"/>
              </w:rPr>
              <w:t xml:space="preserve">2</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Medium</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Significant disruption. Data loss or customer impact possible. Days to recover. Moderate cost. Regulatory attention possible.</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340"/>
                <w:sz w:val="20"/>
                <w:szCs w:val="20"/>
              </w:rPr>
              <w:t xml:space="preserve">3</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High</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Major or catastrophic impact. Potential regulatory fines, lawsuits, or reputational damage that could threaten the business.</w:t>
            </w:r>
          </w:p>
        </w:tc>
      </w:tr>
    </w:tbl>
    <w:p>
      <w:pPr>
        <w:spacing w:after="120" w:before="0"/>
      </w:pPr>
      <w:r>
        <w:t xml:space="preserve"/>
      </w:r>
    </w:p>
    <w:p>
      <w:pPr>
        <w:pStyle w:val="Heading2"/>
        <w:spacing w:after="60" w:before="240"/>
      </w:pPr>
      <w:r>
        <w:rPr>
          <w:rFonts w:ascii="Arial" w:cs="Arial" w:eastAsia="Arial" w:hAnsi="Arial"/>
          <w:b/>
          <w:bCs/>
          <w:color w:val="4F46E5"/>
          <w:sz w:val="24"/>
          <w:szCs w:val="24"/>
        </w:rPr>
        <w:t xml:space="preserve">Risk Rating Table</w:t>
      </w:r>
    </w:p>
    <w:p>
      <w:pPr>
        <w:spacing w:after="80" w:before="60"/>
        <w:jc w:val="both"/>
      </w:pPr>
      <w:r>
        <w:rPr>
          <w:rFonts w:ascii="Arial" w:cs="Arial" w:eastAsia="Arial" w:hAnsi="Arial"/>
          <w:color w:val="1A2340"/>
          <w:sz w:val="22"/>
          <w:szCs w:val="22"/>
        </w:rPr>
        <w:t xml:space="preserve">Multiply Likelihood x Impact to get the Risk Score, then use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Likelihood / Impact</w:t>
            </w:r>
          </w:p>
        </w:tc>
        <w:tc>
          <w:tcPr>
            <w:tcW w:type="dxa" w:w="23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Low Impact (1)</w:t>
            </w:r>
          </w:p>
        </w:tc>
        <w:tc>
          <w:tcPr>
            <w:tcW w:type="dxa" w:w="23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Medium Impact (2)</w:t>
            </w:r>
          </w:p>
        </w:tc>
        <w:tc>
          <w:tcPr>
            <w:tcW w:type="dxa" w:w="23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High Impact (3)</w:t>
            </w:r>
          </w:p>
        </w:tc>
      </w:tr>
      <w:tr>
        <w:tc>
          <w:tcPr>
            <w:tcW w:type="dxa" w:w="234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 Likelihood (3)</w:t>
            </w:r>
          </w:p>
        </w:tc>
        <w:tc>
          <w:tcPr>
            <w:tcW w:type="dxa" w:w="234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0"/>
                <w:szCs w:val="20"/>
              </w:rPr>
              <w:t xml:space="preserve">Medium (3)</w:t>
            </w:r>
          </w:p>
        </w:tc>
        <w:tc>
          <w:tcPr>
            <w:tcW w:type="dxa" w:w="2340"/>
            <w:tcBorders>
              <w:top w:val="single" w:color="DDE3EF" w:sz="4"/>
              <w:left w:val="single" w:color="DDE3EF" w:sz="4"/>
              <w:bottom w:val="single" w:color="DDE3EF" w:sz="4"/>
              <w:right w:val="single" w:color="DDE3EF" w:sz="4"/>
            </w:tcBorders>
            <w:shd w:fill="FEE2E2" w:val="clear"/>
            <w:tcMar>
              <w:top w:type="dxa" w:w="80"/>
              <w:left w:type="dxa" w:w="80"/>
              <w:bottom w:type="dxa" w:w="80"/>
              <w:right w:type="dxa" w:w="80"/>
            </w:tcMar>
          </w:tcPr>
          <w:p>
            <w:pPr>
              <w:jc w:val="center"/>
            </w:pPr>
            <w:r>
              <w:rPr>
                <w:rFonts w:ascii="Arial" w:cs="Arial" w:eastAsia="Arial" w:hAnsi="Arial"/>
                <w:b/>
                <w:bCs/>
                <w:color w:val="991B1B"/>
                <w:sz w:val="20"/>
                <w:szCs w:val="20"/>
              </w:rPr>
              <w:t xml:space="preserve">High (6)</w:t>
            </w:r>
          </w:p>
        </w:tc>
        <w:tc>
          <w:tcPr>
            <w:tcW w:type="dxa" w:w="2340"/>
            <w:tcBorders>
              <w:top w:val="single" w:color="DDE3EF" w:sz="4"/>
              <w:left w:val="single" w:color="DDE3EF" w:sz="4"/>
              <w:bottom w:val="single" w:color="DDE3EF" w:sz="4"/>
              <w:right w:val="single" w:color="DDE3EF" w:sz="4"/>
            </w:tcBorders>
            <w:shd w:fill="7F1D1D"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Critical (9)</w:t>
            </w:r>
          </w:p>
        </w:tc>
      </w:tr>
      <w:tr>
        <w:tc>
          <w:tcPr>
            <w:tcW w:type="dxa" w:w="234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 Likelihood (2)</w:t>
            </w:r>
          </w:p>
        </w:tc>
        <w:tc>
          <w:tcPr>
            <w:tcW w:type="dxa" w:w="234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 (2)</w:t>
            </w:r>
          </w:p>
        </w:tc>
        <w:tc>
          <w:tcPr>
            <w:tcW w:type="dxa" w:w="234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0"/>
                <w:szCs w:val="20"/>
              </w:rPr>
              <w:t xml:space="preserve">Medium (4)</w:t>
            </w:r>
          </w:p>
        </w:tc>
        <w:tc>
          <w:tcPr>
            <w:tcW w:type="dxa" w:w="2340"/>
            <w:tcBorders>
              <w:top w:val="single" w:color="DDE3EF" w:sz="4"/>
              <w:left w:val="single" w:color="DDE3EF" w:sz="4"/>
              <w:bottom w:val="single" w:color="DDE3EF" w:sz="4"/>
              <w:right w:val="single" w:color="DDE3EF" w:sz="4"/>
            </w:tcBorders>
            <w:shd w:fill="FEE2E2" w:val="clear"/>
            <w:tcMar>
              <w:top w:type="dxa" w:w="80"/>
              <w:left w:type="dxa" w:w="80"/>
              <w:bottom w:type="dxa" w:w="80"/>
              <w:right w:type="dxa" w:w="80"/>
            </w:tcMar>
          </w:tcPr>
          <w:p>
            <w:pPr>
              <w:jc w:val="center"/>
            </w:pPr>
            <w:r>
              <w:rPr>
                <w:rFonts w:ascii="Arial" w:cs="Arial" w:eastAsia="Arial" w:hAnsi="Arial"/>
                <w:b/>
                <w:bCs/>
                <w:color w:val="991B1B"/>
                <w:sz w:val="20"/>
                <w:szCs w:val="20"/>
              </w:rPr>
              <w:t xml:space="preserve">High (6)</w:t>
            </w:r>
          </w:p>
        </w:tc>
      </w:tr>
      <w:tr>
        <w:tc>
          <w:tcPr>
            <w:tcW w:type="dxa" w:w="234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 Likelihood (1)</w:t>
            </w:r>
          </w:p>
        </w:tc>
        <w:tc>
          <w:tcPr>
            <w:tcW w:type="dxa" w:w="234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 (1)</w:t>
            </w:r>
          </w:p>
        </w:tc>
        <w:tc>
          <w:tcPr>
            <w:tcW w:type="dxa" w:w="234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 (2)</w:t>
            </w:r>
          </w:p>
        </w:tc>
        <w:tc>
          <w:tcPr>
            <w:tcW w:type="dxa" w:w="234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0"/>
                <w:szCs w:val="20"/>
              </w:rPr>
              <w:t xml:space="preserve">Medium (3)</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3EF" w:sz="4"/>
              <w:left w:val="single" w:color="DDE3EF" w:sz="4"/>
              <w:bottom w:val="single" w:color="DDE3EF" w:sz="4"/>
              <w:right w:val="single" w:color="DDE3EF" w:sz="4"/>
            </w:tcBorders>
            <w:shd w:fill="DCFCE7" w:val="clear"/>
            <w:tcMar>
              <w:top w:type="dxa" w:w="60"/>
              <w:left w:type="dxa" w:w="80"/>
              <w:bottom w:type="dxa" w:w="60"/>
              <w:right w:type="dxa" w:w="80"/>
            </w:tcMar>
          </w:tcPr>
          <w:p>
            <w:pPr>
              <w:jc w:val="center"/>
            </w:pPr>
            <w:r>
              <w:rPr>
                <w:rFonts w:ascii="Arial" w:cs="Arial" w:eastAsia="Arial" w:hAnsi="Arial"/>
                <w:b/>
                <w:bCs/>
                <w:color w:val="166534"/>
                <w:sz w:val="19"/>
                <w:szCs w:val="19"/>
              </w:rPr>
              <w:t xml:space="preserve">Low: 1-2</w:t>
            </w:r>
          </w:p>
        </w:tc>
        <w:tc>
          <w:tcPr>
            <w:tcW w:type="dxa" w:w="2340"/>
            <w:tcBorders>
              <w:top w:val="single" w:color="DDE3EF" w:sz="4"/>
              <w:left w:val="single" w:color="DDE3EF" w:sz="4"/>
              <w:bottom w:val="single" w:color="DDE3EF" w:sz="4"/>
              <w:right w:val="single" w:color="DDE3EF" w:sz="4"/>
            </w:tcBorders>
            <w:shd w:fill="FEF3C7" w:val="clear"/>
            <w:tcMar>
              <w:top w:type="dxa" w:w="60"/>
              <w:left w:type="dxa" w:w="80"/>
              <w:bottom w:type="dxa" w:w="60"/>
              <w:right w:type="dxa" w:w="80"/>
            </w:tcMar>
          </w:tcPr>
          <w:p>
            <w:pPr>
              <w:jc w:val="center"/>
            </w:pPr>
            <w:r>
              <w:rPr>
                <w:rFonts w:ascii="Arial" w:cs="Arial" w:eastAsia="Arial" w:hAnsi="Arial"/>
                <w:b/>
                <w:bCs/>
                <w:color w:val="92400E"/>
                <w:sz w:val="19"/>
                <w:szCs w:val="19"/>
              </w:rPr>
              <w:t xml:space="preserve">Medium: 3-4</w:t>
            </w:r>
          </w:p>
        </w:tc>
        <w:tc>
          <w:tcPr>
            <w:tcW w:type="dxa" w:w="2340"/>
            <w:tcBorders>
              <w:top w:val="single" w:color="DDE3EF" w:sz="4"/>
              <w:left w:val="single" w:color="DDE3EF" w:sz="4"/>
              <w:bottom w:val="single" w:color="DDE3EF" w:sz="4"/>
              <w:right w:val="single" w:color="DDE3EF" w:sz="4"/>
            </w:tcBorders>
            <w:shd w:fill="FEE2E2" w:val="clear"/>
            <w:tcMar>
              <w:top w:type="dxa" w:w="60"/>
              <w:left w:type="dxa" w:w="80"/>
              <w:bottom w:type="dxa" w:w="60"/>
              <w:right w:type="dxa" w:w="80"/>
            </w:tcMar>
          </w:tcPr>
          <w:p>
            <w:pPr>
              <w:jc w:val="center"/>
            </w:pPr>
            <w:r>
              <w:rPr>
                <w:rFonts w:ascii="Arial" w:cs="Arial" w:eastAsia="Arial" w:hAnsi="Arial"/>
                <w:b/>
                <w:bCs/>
                <w:color w:val="991B1B"/>
                <w:sz w:val="19"/>
                <w:szCs w:val="19"/>
              </w:rPr>
              <w:t xml:space="preserve">High: 5-6</w:t>
            </w:r>
          </w:p>
        </w:tc>
        <w:tc>
          <w:tcPr>
            <w:tcW w:type="dxa" w:w="2340"/>
            <w:tcBorders>
              <w:top w:val="single" w:color="DDE3EF" w:sz="4"/>
              <w:left w:val="single" w:color="DDE3EF" w:sz="4"/>
              <w:bottom w:val="single" w:color="DDE3EF" w:sz="4"/>
              <w:right w:val="single" w:color="DDE3EF" w:sz="4"/>
            </w:tcBorders>
            <w:shd w:fill="7F1D1D" w:val="clear"/>
            <w:tcMar>
              <w:top w:type="dxa" w:w="60"/>
              <w:left w:type="dxa" w:w="80"/>
              <w:bottom w:type="dxa" w:w="60"/>
              <w:right w:type="dxa" w:w="80"/>
            </w:tcMar>
          </w:tcPr>
          <w:p>
            <w:pPr>
              <w:jc w:val="center"/>
            </w:pPr>
            <w:r>
              <w:rPr>
                <w:rFonts w:ascii="Arial" w:cs="Arial" w:eastAsia="Arial" w:hAnsi="Arial"/>
                <w:b/>
                <w:bCs/>
                <w:color w:val="FFFFFF"/>
                <w:sz w:val="19"/>
                <w:szCs w:val="19"/>
              </w:rPr>
              <w:t xml:space="preserve">Critical: 7-9</w:t>
            </w:r>
          </w:p>
        </w:tc>
      </w:tr>
    </w:tbl>
    <w:p>
      <w:pPr>
        <w:spacing w:after="120" w:before="0"/>
      </w:pPr>
      <w:r>
        <w:t xml:space="preserve"/>
      </w:r>
    </w:p>
    <w:p>
      <w:pPr>
        <w:pStyle w:val="Heading1"/>
        <w:pBdr>
          <w:bottom w:val="single" w:color="07B4D9" w:sz="8" w:space="4"/>
        </w:pBdr>
        <w:spacing w:after="120" w:before="400"/>
      </w:pPr>
      <w:bookmarkStart w:name="s5" w:id="9"/>
      <w:r>
        <w:rPr>
          <w:rFonts w:ascii="Arial" w:cs="Arial" w:eastAsia="Arial" w:hAnsi="Arial"/>
          <w:b/>
          <w:bCs/>
          <w:color w:val="152168"/>
          <w:sz w:val="30"/>
          <w:szCs w:val="30"/>
        </w:rPr>
        <w:t xml:space="preserve">5. What We Do About Risks</w:t>
      </w:r>
      <w:bookmarkEnd w:id="10"/>
    </w:p>
    <w:p>
      <w:pPr>
        <w:spacing w:after="80" w:before="60"/>
        <w:jc w:val="both"/>
      </w:pPr>
      <w:r>
        <w:rPr>
          <w:rFonts w:ascii="Arial" w:cs="Arial" w:eastAsia="Arial" w:hAnsi="Arial"/>
          <w:color w:val="1A2340"/>
          <w:sz w:val="22"/>
          <w:szCs w:val="22"/>
        </w:rPr>
        <w:t xml:space="preserve">Once we have identified and rated a risk, we have four options. We pick the one that makes the most sense given the risk level and the cost of each option.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Option</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Plain Name</w:t>
            </w:r>
          </w:p>
        </w:tc>
        <w:tc>
          <w:tcPr>
            <w:tcW w:type="dxa" w:w="5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Mitigate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Fix it</w:t>
            </w:r>
          </w:p>
        </w:tc>
        <w:tc>
          <w:tcPr>
            <w:tcW w:type="dxa" w:w="5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We put controls in place to make the risk less likely to happen or less damaging if it does. This is the most common response to Medium, High, and Critical risks. Examples: install antivirus software, enable MFA, run staff training.</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Accept</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Accept it</w:t>
            </w:r>
          </w:p>
        </w:tc>
        <w:tc>
          <w:tcPr>
            <w:tcW w:type="dxa" w:w="5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We decide the risk is small enough or too expensive to fix, so we live with it -- but we document that decision so it is a conscious choice, not just something we forgot about. Only Low risks should be accepted without any controls. Larger risks need formal sign-off.</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Transfer</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Share it (insurance)</w:t>
            </w:r>
          </w:p>
        </w:tc>
        <w:tc>
          <w:tcPr>
            <w:tcW w:type="dxa" w:w="5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We move the financial risk to someone else -- usually through cyber insurance or by making a supplier contractually responsible for data they handle. Insurance does not remove the risk; it just means someone helps pay if things go wrong.</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Avoid</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Stop doing the thing</w:t>
            </w:r>
          </w:p>
        </w:tc>
        <w:tc>
          <w:tcPr>
            <w:tcW w:type="dxa" w:w="5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If a business activity carries a risk that is too high and we cannot reduce it adequately, we stop doing that activity. This is the most drastic option and is used when no other approach is workable.</w:t>
            </w:r>
          </w:p>
        </w:tc>
      </w:tr>
    </w:tbl>
    <w:p>
      <w:pPr>
        <w:spacing w:after="120" w:before="0"/>
      </w:pPr>
      <w:r>
        <w:t xml:space="preserve"/>
      </w:r>
    </w:p>
    <w:p>
      <w:pPr>
        <w:pBdr>
          <w:left w:val="single" w:color="07B4D9" w:sz="12" w:space="4"/>
        </w:pBdr>
        <w:spacing w:after="80" w:before="80"/>
        <w:ind w:left="360" w:right="360"/>
      </w:pPr>
      <w:r>
        <w:rPr>
          <w:rFonts w:ascii="Arial" w:cs="Arial" w:eastAsia="Arial" w:hAnsi="Arial"/>
          <w:b w:val="false"/>
          <w:bCs w:val="false"/>
          <w:color w:val="152168"/>
          <w:sz w:val="22"/>
          <w:szCs w:val="22"/>
        </w:rPr>
        <w:t xml:space="preserve">For every Medium, High, or Critical risk, we write down what we decided to do, who is responsible, and when it will be done. We do not just rate risks and walk away.</w:t>
      </w:r>
    </w:p>
    <w:p>
      <w:pPr>
        <w:spacing w:after="120" w:before="0"/>
      </w:pPr>
      <w:r>
        <w:t xml:space="preserve"/>
      </w:r>
    </w:p>
    <w:p>
      <w:pPr>
        <w:pStyle w:val="Heading1"/>
        <w:pBdr>
          <w:bottom w:val="single" w:color="07B4D9" w:sz="8" w:space="4"/>
        </w:pBdr>
        <w:spacing w:after="120" w:before="400"/>
      </w:pPr>
      <w:bookmarkStart w:name="s6" w:id="11"/>
      <w:r>
        <w:rPr>
          <w:rFonts w:ascii="Arial" w:cs="Arial" w:eastAsia="Arial" w:hAnsi="Arial"/>
          <w:b/>
          <w:bCs/>
          <w:color w:val="152168"/>
          <w:sz w:val="30"/>
          <w:szCs w:val="30"/>
        </w:rPr>
        <w:t xml:space="preserve">6. Our Risk Register</w:t>
      </w:r>
      <w:bookmarkEnd w:id="12"/>
    </w:p>
    <w:p>
      <w:pPr>
        <w:spacing w:after="80" w:before="60"/>
        <w:jc w:val="both"/>
      </w:pPr>
      <w:r>
        <w:rPr>
          <w:rFonts w:ascii="Arial" w:cs="Arial" w:eastAsia="Arial" w:hAnsi="Arial"/>
          <w:color w:val="1A2340"/>
          <w:sz w:val="22"/>
          <w:szCs w:val="22"/>
        </w:rPr>
        <w:t xml:space="preserve">A risk register is just a list of all the risks we have identified, with enough information to track and manage each one. Think of it as a living to-do list for security problems -- but one we review regularly rather than letting gather dust.</w:t>
      </w:r>
    </w:p>
    <w:p>
      <w:pPr>
        <w:spacing w:after="80" w:before="60"/>
        <w:jc w:val="both"/>
      </w:pPr>
      <w:r>
        <w:rPr>
          <w:rFonts w:ascii="Arial" w:cs="Arial" w:eastAsia="Arial" w:hAnsi="Arial"/>
          <w:color w:val="1A2340"/>
          <w:sz w:val="22"/>
          <w:szCs w:val="22"/>
        </w:rPr>
        <w:t xml:space="preserve">The CISO/vCISO (or security lead) owns the risk register and keeps it up to date. Every risk has a named owner who is responsible for making sure something is being done about it.</w:t>
      </w:r>
    </w:p>
    <w:p>
      <w:pPr>
        <w:spacing w:after="120" w:before="0"/>
      </w:pPr>
      <w:r>
        <w:t xml:space="preserve"/>
      </w:r>
    </w:p>
    <w:p>
      <w:pPr>
        <w:spacing w:after="80" w:before="60"/>
        <w:jc w:val="both"/>
      </w:pPr>
      <w:r>
        <w:rPr>
          <w:rFonts w:ascii="Arial" w:cs="Arial" w:eastAsia="Arial" w:hAnsi="Arial"/>
          <w:color w:val="1A2340"/>
          <w:sz w:val="22"/>
          <w:szCs w:val="22"/>
        </w:rPr>
        <w:t xml:space="preserve">For each risk in our register, we record the following information: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Goes Here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Risk ID</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A unique number so we can track this risk over time (e.g., RISK-2026-001)</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Risk Title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A short name for the risk (e.g., Phishing attacks targeting finance staff)</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Risk Description</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What is the threat, what weakness exists, and what could go wrong if it happens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Likelihood</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Low / Medium / High</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Impact</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Low / Medium / High</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Risk Rating</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Low / Medium / High / Critical (Likelihood x Impact)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What We Are Doing About It</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Fix it / Accept it / Transfer it / Avoid it -- and what specifically we are doing</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Risk Owner</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The person responsible for making sure action is taken</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Due Date / Next Review</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When the action should be complete, or when we will review this risk again</w:t>
            </w:r>
          </w:p>
        </w:tc>
      </w:tr>
    </w:tbl>
    <w:p>
      <w:pPr>
        <w:spacing w:after="120" w:before="0"/>
      </w:pPr>
      <w:r>
        <w:t xml:space="preserve"/>
      </w:r>
    </w:p>
    <w:p>
      <w:r>
        <w:br w:type="page"/>
      </w:r>
    </w:p>
    <w:p>
      <w:pPr>
        <w:pStyle w:val="Heading1"/>
        <w:pBdr>
          <w:bottom w:val="single" w:color="07B4D9" w:sz="8" w:space="4"/>
        </w:pBdr>
        <w:spacing w:after="120" w:before="400"/>
      </w:pPr>
      <w:bookmarkStart w:name="s7" w:id="13"/>
      <w:r>
        <w:rPr>
          <w:rFonts w:ascii="Arial" w:cs="Arial" w:eastAsia="Arial" w:hAnsi="Arial"/>
          <w:b/>
          <w:bCs/>
          <w:color w:val="152168"/>
          <w:sz w:val="30"/>
          <w:szCs w:val="30"/>
        </w:rPr>
        <w:t xml:space="preserve">7. Who Is Responsible for What</w:t>
      </w:r>
      <w:bookmarkEnd w:id="14"/>
    </w:p>
    <w:p>
      <w:pPr>
        <w:spacing w:after="80" w:before="60"/>
        <w:jc w:val="both"/>
      </w:pPr>
      <w:r>
        <w:rPr>
          <w:rFonts w:ascii="Arial" w:cs="Arial" w:eastAsia="Arial" w:hAnsi="Arial"/>
          <w:color w:val="1A2340"/>
          <w:sz w:val="22"/>
          <w:szCs w:val="22"/>
        </w:rPr>
        <w:t xml:space="preserve">Managing risk is everyone's job -- but different people have different parts to play: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Who</w:t>
            </w:r>
          </w:p>
        </w:tc>
        <w:tc>
          <w:tcPr>
            <w:tcW w:type="dxa" w:w="6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Their Risk Management Job</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Executive Leadership</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Set the overall risk appetite -- decide what level of risk is acceptable for the organization. Approve major risk decisions. Make sure resources are available to manage risks. Receive quarterly updates on the top risks.</w:t>
            </w:r>
          </w:p>
        </w:tc>
      </w:tr>
      <w:tr>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CISO / vCISO</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Run the risk management program. Maintain the risk register. Coordinate risk assessments. Prepare risk reports. Make sure every risk has an owner and a plan.</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Risk Owners (Managers)</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Take responsibility for specific risks in their area. Make sure treatment actions get done on time. Escalate if something changes or a risk gets worse. Report progress to the CISO/vCISO.</w:t>
            </w:r>
          </w:p>
        </w:tc>
      </w:tr>
      <w:tr>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color w:val="1A2340"/>
                <w:sz w:val="20"/>
                <w:szCs w:val="20"/>
              </w:rPr>
              <w:t xml:space="preserve">Department Managers</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Know the risks in their area and raise new ones when they see them. Help their team understand and follow the controls we put in place. Flag changes that might create new risks (new tools, new processes, new vendors).</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color w:val="1A2340"/>
                <w:sz w:val="20"/>
                <w:szCs w:val="20"/>
              </w:rPr>
              <w:t xml:space="preserve">All Staff</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Report anything that looks like a risk or a security concern. Follow the controls we have put in place (passwords, MFA, data handling). Complete security awareness training. When in doubt, ask.</w:t>
            </w:r>
          </w:p>
        </w:tc>
      </w:tr>
    </w:tbl>
    <w:p>
      <w:pPr>
        <w:spacing w:after="120" w:before="0"/>
      </w:pPr>
      <w:r>
        <w:t xml:space="preserve"/>
      </w:r>
    </w:p>
    <w:p>
      <w:pPr>
        <w:pStyle w:val="Heading1"/>
        <w:pBdr>
          <w:bottom w:val="single" w:color="07B4D9" w:sz="8" w:space="4"/>
        </w:pBdr>
        <w:spacing w:after="120" w:before="400"/>
      </w:pPr>
      <w:bookmarkStart w:name="s8" w:id="15"/>
      <w:r>
        <w:rPr>
          <w:rFonts w:ascii="Arial" w:cs="Arial" w:eastAsia="Arial" w:hAnsi="Arial"/>
          <w:b/>
          <w:bCs/>
          <w:color w:val="152168"/>
          <w:sz w:val="30"/>
          <w:szCs w:val="30"/>
        </w:rPr>
        <w:t xml:space="preserve">8. When We Review Risks</w:t>
      </w:r>
      <w:bookmarkEnd w:id="16"/>
    </w:p>
    <w:p>
      <w:pPr>
        <w:spacing w:after="80" w:before="60"/>
        <w:jc w:val="both"/>
      </w:pPr>
      <w:r>
        <w:rPr>
          <w:rFonts w:ascii="Arial" w:cs="Arial" w:eastAsia="Arial" w:hAnsi="Arial"/>
          <w:color w:val="1A2340"/>
          <w:sz w:val="22"/>
          <w:szCs w:val="22"/>
        </w:rPr>
        <w:t xml:space="preserve">The risk register is not a one-time document. We review it regularly because risks change -- new threats emerge, our business changes, and controls we put in place may need to be updated.</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Annual Review</w:t>
      </w:r>
    </w:p>
    <w:p>
      <w:pPr>
        <w:spacing w:after="80" w:before="60"/>
        <w:jc w:val="both"/>
      </w:pPr>
      <w:r>
        <w:rPr>
          <w:rFonts w:ascii="Arial" w:cs="Arial" w:eastAsia="Arial" w:hAnsi="Arial"/>
          <w:color w:val="1A2340"/>
          <w:sz w:val="22"/>
          <w:szCs w:val="22"/>
        </w:rPr>
        <w:t xml:space="preserve">Once a year, we review the entire risk register. This is a full look at every risk: are our ratings still accurate? Are our treatment plans working? Have any risks been resolved? Are there new risks we have not captured yet?</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We Also Review Risks After</w:t>
      </w:r>
    </w:p>
    <w:p>
      <w:pPr>
        <w:pStyle w:val="ListParagraph"/>
        <w:numPr>
          <w:ilvl w:val="0"/>
          <w:numId w:val="2"/>
        </w:numPr>
        <w:spacing w:after="40" w:before="40"/>
      </w:pPr>
      <w:r>
        <w:rPr>
          <w:rFonts w:ascii="Arial" w:cs="Arial" w:eastAsia="Arial" w:hAnsi="Arial"/>
          <w:color w:val="1A2340"/>
          <w:sz w:val="22"/>
          <w:szCs w:val="22"/>
        </w:rPr>
        <w:t xml:space="preserve">A security incident -- something that actually happened, so we can learn from it</w:t>
      </w:r>
    </w:p>
    <w:p>
      <w:pPr>
        <w:pStyle w:val="ListParagraph"/>
        <w:numPr>
          <w:ilvl w:val="0"/>
          <w:numId w:val="2"/>
        </w:numPr>
        <w:spacing w:after="40" w:before="40"/>
      </w:pPr>
      <w:r>
        <w:rPr>
          <w:rFonts w:ascii="Arial" w:cs="Arial" w:eastAsia="Arial" w:hAnsi="Arial"/>
          <w:color w:val="1A2340"/>
          <w:sz w:val="22"/>
          <w:szCs w:val="22"/>
        </w:rPr>
        <w:t xml:space="preserve">A near-miss -- something that almost happened and showed us a weakness</w:t>
      </w:r>
    </w:p>
    <w:p>
      <w:pPr>
        <w:pStyle w:val="ListParagraph"/>
        <w:numPr>
          <w:ilvl w:val="0"/>
          <w:numId w:val="2"/>
        </w:numPr>
        <w:spacing w:after="40" w:before="40"/>
      </w:pPr>
      <w:r>
        <w:rPr>
          <w:rFonts w:ascii="Arial" w:cs="Arial" w:eastAsia="Arial" w:hAnsi="Arial"/>
          <w:color w:val="1A2340"/>
          <w:sz w:val="22"/>
          <w:szCs w:val="22"/>
        </w:rPr>
        <w:t xml:space="preserve">A major business change -- new system, new location, acquisition, major new product or service</w:t>
      </w:r>
    </w:p>
    <w:p>
      <w:pPr>
        <w:pStyle w:val="ListParagraph"/>
        <w:numPr>
          <w:ilvl w:val="0"/>
          <w:numId w:val="2"/>
        </w:numPr>
        <w:spacing w:after="40" w:before="40"/>
      </w:pPr>
      <w:r>
        <w:rPr>
          <w:rFonts w:ascii="Arial" w:cs="Arial" w:eastAsia="Arial" w:hAnsi="Arial"/>
          <w:color w:val="1A2340"/>
          <w:sz w:val="22"/>
          <w:szCs w:val="22"/>
        </w:rPr>
        <w:t xml:space="preserve">Onboarding a new significant vendor -- especially one that will handle customer data</w:t>
      </w:r>
    </w:p>
    <w:p>
      <w:pPr>
        <w:pStyle w:val="ListParagraph"/>
        <w:numPr>
          <w:ilvl w:val="0"/>
          <w:numId w:val="2"/>
        </w:numPr>
        <w:spacing w:after="40" w:before="40"/>
      </w:pPr>
      <w:r>
        <w:rPr>
          <w:rFonts w:ascii="Arial" w:cs="Arial" w:eastAsia="Arial" w:hAnsi="Arial"/>
          <w:color w:val="1A2340"/>
          <w:sz w:val="22"/>
          <w:szCs w:val="22"/>
        </w:rPr>
        <w:t xml:space="preserve">A significant regulatory change -- new law or rule that affects our data practices</w:t>
      </w:r>
    </w:p>
    <w:p>
      <w:pPr>
        <w:spacing w:after="120" w:before="0"/>
      </w:pPr>
      <w:r>
        <w:t xml:space="preserve"/>
      </w:r>
    </w:p>
    <w:p>
      <w:pPr>
        <w:pBdr>
          <w:left w:val="single" w:color="07B4D9" w:sz="12" w:space="4"/>
        </w:pBdr>
        <w:spacing w:after="80" w:before="80"/>
        <w:ind w:left="360" w:right="360"/>
      </w:pPr>
      <w:r>
        <w:rPr>
          <w:rFonts w:ascii="Arial" w:cs="Arial" w:eastAsia="Arial" w:hAnsi="Arial"/>
          <w:b w:val="false"/>
          <w:bCs w:val="false"/>
          <w:color w:val="152168"/>
          <w:sz w:val="22"/>
          <w:szCs w:val="22"/>
        </w:rPr>
        <w:t xml:space="preserve">You do not need to wait for the annual review to raise a risk. If you see something that looks risky, say something. Report it to your manager or directly to the CISO/vCISO.</w:t>
      </w:r>
    </w:p>
    <w:p>
      <w:pPr>
        <w:spacing w:after="120" w:before="0"/>
      </w:pPr>
      <w:r>
        <w:t xml:space="preserve"/>
      </w:r>
    </w:p>
    <w:p>
      <w:pPr>
        <w:pStyle w:val="Heading1"/>
        <w:pBdr>
          <w:bottom w:val="single" w:color="07B4D9" w:sz="8" w:space="4"/>
        </w:pBdr>
        <w:spacing w:after="120" w:before="400"/>
      </w:pPr>
      <w:bookmarkStart w:name="s9" w:id="17"/>
      <w:r>
        <w:rPr>
          <w:rFonts w:ascii="Arial" w:cs="Arial" w:eastAsia="Arial" w:hAnsi="Arial"/>
          <w:b/>
          <w:bCs/>
          <w:color w:val="152168"/>
          <w:sz w:val="30"/>
          <w:szCs w:val="30"/>
        </w:rPr>
        <w:t xml:space="preserve">9. Reporting Risks You Find</w:t>
      </w:r>
      <w:bookmarkEnd w:id="18"/>
    </w:p>
    <w:p>
      <w:pPr>
        <w:spacing w:after="80" w:before="60"/>
        <w:jc w:val="both"/>
      </w:pPr>
      <w:r>
        <w:rPr>
          <w:rFonts w:ascii="Arial" w:cs="Arial" w:eastAsia="Arial" w:hAnsi="Arial"/>
          <w:color w:val="1A2340"/>
          <w:sz w:val="22"/>
          <w:szCs w:val="22"/>
        </w:rPr>
        <w:t xml:space="preserve">Anyone in the organization can identify a risk. You do not need to be a technical expert. If something seems like it could go wrong and hurt the business, customers, or staff -- that is worth raising.</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How to Report a Risk</w:t>
      </w:r>
    </w:p>
    <w:p>
      <w:pPr>
        <w:pStyle w:val="ListParagraph"/>
        <w:numPr>
          <w:ilvl w:val="0"/>
          <w:numId w:val="2"/>
        </w:numPr>
        <w:spacing w:after="40" w:before="40"/>
      </w:pPr>
      <w:r>
        <w:rPr>
          <w:rFonts w:ascii="Arial" w:cs="Arial" w:eastAsia="Arial" w:hAnsi="Arial"/>
          <w:color w:val="1A2340"/>
          <w:sz w:val="22"/>
          <w:szCs w:val="22"/>
        </w:rPr>
        <w:t xml:space="preserve">Tell your direct manager what you have observed or are concerned about.</w:t>
      </w:r>
    </w:p>
    <w:p>
      <w:pPr>
        <w:pStyle w:val="ListParagraph"/>
        <w:numPr>
          <w:ilvl w:val="0"/>
          <w:numId w:val="2"/>
        </w:numPr>
        <w:spacing w:after="40" w:before="40"/>
      </w:pPr>
      <w:r>
        <w:rPr>
          <w:rFonts w:ascii="Arial" w:cs="Arial" w:eastAsia="Arial" w:hAnsi="Arial"/>
          <w:color w:val="1A2340"/>
          <w:sz w:val="22"/>
          <w:szCs w:val="22"/>
        </w:rPr>
        <w:t xml:space="preserve">Your manager will either address it directly or escalate it to the CISO/vCISO.</w:t>
      </w:r>
    </w:p>
    <w:p>
      <w:pPr>
        <w:pStyle w:val="ListParagraph"/>
        <w:numPr>
          <w:ilvl w:val="0"/>
          <w:numId w:val="2"/>
        </w:numPr>
        <w:spacing w:after="40" w:before="40"/>
      </w:pPr>
      <w:r>
        <w:rPr>
          <w:rFonts w:ascii="Arial" w:cs="Arial" w:eastAsia="Arial" w:hAnsi="Arial"/>
          <w:color w:val="1A2340"/>
          <w:sz w:val="22"/>
          <w:szCs w:val="22"/>
        </w:rPr>
        <w:t xml:space="preserve">You can also email or contact the CISO/vCISO directly if you prefer.</w:t>
      </w:r>
    </w:p>
    <w:p>
      <w:pPr>
        <w:pStyle w:val="ListParagraph"/>
        <w:numPr>
          <w:ilvl w:val="0"/>
          <w:numId w:val="2"/>
        </w:numPr>
        <w:spacing w:after="40" w:before="40"/>
      </w:pPr>
      <w:r>
        <w:rPr>
          <w:rFonts w:ascii="Arial" w:cs="Arial" w:eastAsia="Arial" w:hAnsi="Arial"/>
          <w:color w:val="1A2340"/>
          <w:sz w:val="22"/>
          <w:szCs w:val="22"/>
        </w:rPr>
        <w:t xml:space="preserve">Anonymous reporting options are available -- ask HR or your manager for details.</w:t>
      </w:r>
    </w:p>
    <w:p>
      <w:pPr>
        <w:spacing w:after="120" w:before="0"/>
      </w:pPr>
      <w:r>
        <w:t xml:space="preserve"/>
      </w:r>
    </w:p>
    <w:p>
      <w:pPr>
        <w:pStyle w:val="Heading2"/>
        <w:spacing w:after="60" w:before="240"/>
      </w:pPr>
      <w:r>
        <w:rPr>
          <w:rFonts w:ascii="Arial" w:cs="Arial" w:eastAsia="Arial" w:hAnsi="Arial"/>
          <w:b/>
          <w:bCs/>
          <w:color w:val="4F46E5"/>
          <w:sz w:val="24"/>
          <w:szCs w:val="24"/>
        </w:rPr>
        <w:t xml:space="preserve">What to Include in Your Report</w:t>
      </w:r>
    </w:p>
    <w:p>
      <w:pPr>
        <w:spacing w:after="80" w:before="60"/>
        <w:jc w:val="both"/>
      </w:pPr>
      <w:r>
        <w:rPr>
          <w:rFonts w:ascii="Arial" w:cs="Arial" w:eastAsia="Arial" w:hAnsi="Arial"/>
          <w:color w:val="1A2340"/>
          <w:sz w:val="22"/>
          <w:szCs w:val="22"/>
        </w:rPr>
        <w:t xml:space="preserve">You do not need a formal report -- just tell us:</w:t>
      </w:r>
    </w:p>
    <w:p>
      <w:pPr>
        <w:pStyle w:val="ListParagraph"/>
        <w:numPr>
          <w:ilvl w:val="0"/>
          <w:numId w:val="2"/>
        </w:numPr>
        <w:spacing w:after="40" w:before="40"/>
      </w:pPr>
      <w:r>
        <w:rPr>
          <w:rFonts w:ascii="Arial" w:cs="Arial" w:eastAsia="Arial" w:hAnsi="Arial"/>
          <w:color w:val="1A2340"/>
          <w:sz w:val="22"/>
          <w:szCs w:val="22"/>
        </w:rPr>
        <w:t xml:space="preserve">What you saw or what concerned you</w:t>
      </w:r>
    </w:p>
    <w:p>
      <w:pPr>
        <w:pStyle w:val="ListParagraph"/>
        <w:numPr>
          <w:ilvl w:val="0"/>
          <w:numId w:val="2"/>
        </w:numPr>
        <w:spacing w:after="40" w:before="40"/>
      </w:pPr>
      <w:r>
        <w:rPr>
          <w:rFonts w:ascii="Arial" w:cs="Arial" w:eastAsia="Arial" w:hAnsi="Arial"/>
          <w:color w:val="1A2340"/>
          <w:sz w:val="22"/>
          <w:szCs w:val="22"/>
        </w:rPr>
        <w:t xml:space="preserve">When you noticed it</w:t>
      </w:r>
    </w:p>
    <w:p>
      <w:pPr>
        <w:pStyle w:val="ListParagraph"/>
        <w:numPr>
          <w:ilvl w:val="0"/>
          <w:numId w:val="2"/>
        </w:numPr>
        <w:spacing w:after="40" w:before="40"/>
      </w:pPr>
      <w:r>
        <w:rPr>
          <w:rFonts w:ascii="Arial" w:cs="Arial" w:eastAsia="Arial" w:hAnsi="Arial"/>
          <w:color w:val="1A2340"/>
          <w:sz w:val="22"/>
          <w:szCs w:val="22"/>
        </w:rPr>
        <w:t xml:space="preserve">Whether you think it is urgent or not</w:t>
      </w:r>
    </w:p>
    <w:p>
      <w:pPr>
        <w:pStyle w:val="ListParagraph"/>
        <w:numPr>
          <w:ilvl w:val="0"/>
          <w:numId w:val="2"/>
        </w:numPr>
        <w:spacing w:after="40" w:before="40"/>
      </w:pPr>
      <w:r>
        <w:rPr>
          <w:rFonts w:ascii="Arial" w:cs="Arial" w:eastAsia="Arial" w:hAnsi="Arial"/>
          <w:color w:val="1A2340"/>
          <w:sz w:val="22"/>
          <w:szCs w:val="22"/>
        </w:rPr>
        <w:t xml:space="preserve">Any steps you already took (e.g., did not click a link, logged out of a system)</w:t>
      </w:r>
    </w:p>
    <w:p>
      <w:pPr>
        <w:spacing w:after="120" w:before="0"/>
      </w:pPr>
      <w:r>
        <w:t xml:space="preserve"/>
      </w:r>
    </w:p>
    <w:p>
      <w:pPr>
        <w:pBdr>
          <w:left w:val="single" w:color="07B4D9" w:sz="12" w:space="4"/>
        </w:pBdr>
        <w:spacing w:after="80" w:before="80"/>
        <w:ind w:left="360" w:right="360"/>
      </w:pPr>
      <w:r>
        <w:rPr>
          <w:rFonts w:ascii="Arial" w:cs="Arial" w:eastAsia="Arial" w:hAnsi="Arial"/>
          <w:b w:val="false"/>
          <w:bCs w:val="false"/>
          <w:color w:val="152168"/>
          <w:sz w:val="22"/>
          <w:szCs w:val="22"/>
        </w:rPr>
        <w:t xml:space="preserve">No one will get in trouble for reporting a concern in good faith. We want to hear about risks early, before they become problems.</w:t>
      </w:r>
    </w:p>
    <w:p>
      <w:pPr>
        <w:spacing w:after="120" w:before="0"/>
      </w:pPr>
      <w:r>
        <w:t xml:space="preserve"/>
      </w:r>
    </w:p>
    <w:p>
      <w:pPr>
        <w:spacing w:after="80" w:before="60"/>
        <w:jc w:val="both"/>
      </w:pPr>
      <w:r>
        <w:rPr>
          <w:rFonts w:ascii="Arial" w:cs="Arial" w:eastAsia="Arial" w:hAnsi="Arial"/>
          <w:color w:val="1A2340"/>
          <w:sz w:val="22"/>
          <w:szCs w:val="22"/>
        </w:rPr>
        <w:t xml:space="preserve">The CISO/vCISO will assess every reported risk within five business days and either add it to the risk register, provide guidance on why it is not a risk, or escalate it if it requires immediate attention.</w:t>
      </w:r>
    </w:p>
    <w:p>
      <w:pPr>
        <w:spacing w:after="120" w:before="0"/>
      </w:pPr>
      <w:r>
        <w:t xml:space="preserve"/>
      </w:r>
    </w:p>
    <w:p>
      <w:r>
        <w:br w:type="page"/>
      </w:r>
    </w:p>
    <w:p>
      <w:pPr>
        <w:pStyle w:val="Heading1"/>
        <w:pBdr>
          <w:bottom w:val="single" w:color="07B4D9" w:sz="8" w:space="4"/>
        </w:pBdr>
        <w:spacing w:after="120" w:before="400"/>
      </w:pPr>
      <w:bookmarkStart w:name="s10" w:id="19"/>
      <w:r>
        <w:rPr>
          <w:rFonts w:ascii="Arial" w:cs="Arial" w:eastAsia="Arial" w:hAnsi="Arial"/>
          <w:b/>
          <w:bCs/>
          <w:color w:val="152168"/>
          <w:sz w:val="30"/>
          <w:szCs w:val="30"/>
        </w:rPr>
        <w:t xml:space="preserve">10. Document Control and Acknowledgement</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3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Changes</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1.0</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June 2026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[Policy Owner]</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Initial draft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[Name, Title]</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June 2026</w:t>
            </w:r>
          </w:p>
        </w:tc>
      </w:tr>
    </w:tbl>
    <w:p>
      <w:pPr>
        <w:spacing w:after="120" w:before="0"/>
      </w:pPr>
      <w:r>
        <w:t xml:space="preserve"/>
      </w:r>
    </w:p>
    <w:p>
      <w:pPr>
        <w:spacing w:after="80" w:before="60"/>
        <w:jc w:val="both"/>
      </w:pPr>
      <w:r>
        <w:rPr>
          <w:rFonts w:ascii="Arial" w:cs="Arial" w:eastAsia="Arial" w:hAnsi="Arial"/>
          <w:i/>
          <w:iCs/>
          <w:color w:val="5A6A8A"/>
          <w:sz w:val="22"/>
          <w:szCs w:val="22"/>
        </w:rPr>
        <w:t xml:space="preserve">Next review date: June 2027 (or sooner if a material change to the business or threat environment occurs).</w:t>
      </w:r>
    </w:p>
    <w:p>
      <w:pPr>
        <w:spacing w:after="240" w:before="0"/>
      </w:pPr>
      <w:r>
        <w:t xml:space="preserve"/>
      </w:r>
    </w:p>
    <w:p>
      <w:pPr>
        <w:pStyle w:val="Heading2"/>
        <w:spacing w:after="60" w:before="240"/>
      </w:pPr>
      <w:r>
        <w:rPr>
          <w:rFonts w:ascii="Arial" w:cs="Arial" w:eastAsia="Arial" w:hAnsi="Arial"/>
          <w:b/>
          <w:bCs/>
          <w:color w:val="4F46E5"/>
          <w:sz w:val="24"/>
          <w:szCs w:val="24"/>
        </w:rPr>
        <w:t xml:space="preserve">Staff Acknowledgement</w:t>
      </w:r>
    </w:p>
    <w:p>
      <w:pPr>
        <w:spacing w:after="80" w:before="60"/>
        <w:jc w:val="both"/>
      </w:pPr>
      <w:r>
        <w:rPr>
          <w:rFonts w:ascii="Arial" w:cs="Arial" w:eastAsia="Arial" w:hAnsi="Arial"/>
          <w:color w:val="1A2340"/>
          <w:sz w:val="22"/>
          <w:szCs w:val="22"/>
        </w:rPr>
        <w:t xml:space="preserve">All staff are required to read this policy and confirm their understanding annually. If your organization uses an electronic acknowledgement system, record your confirmation there. If not, sign and return this form to your manager.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Full Name</w:t>
            </w:r>
          </w:p>
        </w:tc>
        <w:tc>
          <w:tcPr>
            <w:tcW w:type="dxa" w:w="3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3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r>
      <w:tr>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r>
      <w:tr>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r>
      <w:tr>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340"/>
                <w:sz w:val="20"/>
                <w:szCs w:val="20"/>
              </w:rPr>
              <w:t xml:space="preserve"/>
            </w:r>
          </w:p>
        </w:tc>
      </w:tr>
    </w:tbl>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1"/>
      </w:pBdr>
      <w:jc w:val="center"/>
    </w:pPr>
    <w:r>
      <w:rPr>
        <w:rFonts w:ascii="Arial" w:cs="Arial" w:eastAsia="Arial" w:hAnsi="Arial"/>
        <w:color w:val="5A6A8A"/>
        <w:sz w:val="16"/>
        <w:szCs w:val="16"/>
      </w:rPr>
      <w:t xml:space="preserve">INTERNAL -- CONFIDENTIAL | (c)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1"/>
      </w:pBdr>
      <w:jc w:val="right"/>
    </w:pPr>
    <w:r>
      <w:rPr>
        <w:rFonts w:ascii="Arial" w:cs="Arial" w:eastAsia="Arial" w:hAnsi="Arial"/>
        <w:color w:val="5A6A8A"/>
        <w:sz w:val="16"/>
        <w:szCs w:val="16"/>
      </w:rPr>
      <w:t xml:space="preserve">ENT-Draft-POL-Risk Management-SMB-6.26 | Information Security Risk Management Policy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60" w:before="240"/>
      <w:outlineLvl w:val="1"/>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2026-06-19T04:25:20.896Z</dcterms:created>
  <dcterms:modified xsi:type="dcterms:W3CDTF">2026-06-19T04:25:20.896Z</dcterms:modified>
</cp:coreProperties>
</file>

<file path=docProps/custom.xml><?xml version="1.0" encoding="utf-8"?>
<Properties xmlns="http://schemas.openxmlformats.org/officeDocument/2006/custom-properties" xmlns:vt="http://schemas.openxmlformats.org/officeDocument/2006/docPropsVTypes"/>
</file>