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
      </w:pPr>
      <w:r>
        <w:rPr>
          <w:rFonts w:ascii="Arial" w:cs="Arial" w:eastAsia="Arial" w:hAnsi="Arial"/>
          <w:b/>
          <w:bCs/>
          <w:color w:val="152168"/>
          <w:sz w:val="40"/>
          <w:szCs w:val="40"/>
        </w:rPr>
        <w:t xml:space="preserve">Security Awareness and Training Policy</w:t>
      </w:r>
    </w:p>
    <w:p>
      <w:pPr>
        <w:spacing w:after="80" w:before="0"/>
      </w:pPr>
      <w:r>
        <w:rPr>
          <w:rFonts w:ascii="Arial" w:cs="Arial" w:eastAsia="Arial" w:hAnsi="Arial"/>
          <w:color w:val="5A6A8A"/>
          <w:sz w:val="20"/>
          <w:szCs w:val="20"/>
        </w:rPr>
        <w:t xml:space="preserve">ENT-Draft-POL-Security Awareness and Training-Comprehensive-6.26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ENT-Draft-POL-Security Awarene</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1.0 (Draft)</w:t>
            </w:r>
          </w:p>
        </w:tc>
      </w:tr>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INTERNAL - CONFIDENTIAL</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Effective Date</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[DATE]</w:t>
            </w:r>
          </w:p>
        </w:tc>
      </w:tr>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CISO / vCISO</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Review Cycle</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Annual</w:t>
            </w:r>
          </w:p>
        </w:tc>
      </w:tr>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Organization</w:t>
            </w:r>
          </w:p>
        </w:tc>
        <w:tc>
          <w:tcPr>
            <w:tcW w:type="dxa" w:w="7020"/>
            <w:gridSpan w:val="3"/>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[ORGANIZATION NAME]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2"/>
              <w:bottom w:val="nil" w:color="FFFFFF" w:sz="0"/>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iCs/>
                <w:color w:val="1A2340"/>
                <w:sz w:val="20"/>
                <w:szCs w:val="20"/>
              </w:rPr>
              <w:t xml:space="preserve">Framework References</w:t>
            </w:r>
          </w:p>
        </w:tc>
      </w:tr>
      <w:tr>
        <w:tc>
          <w:tcPr>
            <w:tcW w:type="dxa" w:w="9360"/>
            <w:tcBorders>
              <w:top w:val="nil" w:color="FFFFFF" w:sz="0"/>
              <w:left w:val="single" w:color="07B4D9" w:sz="12"/>
              <w:bottom w:val="nil" w:color="FFFFFF" w:sz="0"/>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val="false"/>
                <w:iCs w:val="false"/>
                <w:color w:val="1A2340"/>
                <w:sz w:val="20"/>
                <w:szCs w:val="20"/>
              </w:rPr>
              <w:t xml:space="preserve">NIST CSF 2.0 — PR.AT (Awareness and Training)</w:t>
            </w:r>
          </w:p>
        </w:tc>
      </w:tr>
      <w:tr>
        <w:tc>
          <w:tcPr>
            <w:tcW w:type="dxa" w:w="9360"/>
            <w:tcBorders>
              <w:top w:val="nil" w:color="FFFFFF" w:sz="0"/>
              <w:left w:val="single" w:color="07B4D9" w:sz="12"/>
              <w:bottom w:val="nil" w:color="FFFFFF" w:sz="0"/>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val="false"/>
                <w:iCs w:val="false"/>
                <w:color w:val="1A2340"/>
                <w:sz w:val="20"/>
                <w:szCs w:val="20"/>
              </w:rPr>
              <w:t xml:space="preserve">ISO/IEC 27001:2022 — Annex A 6.3 (Information Security Awareness, Education and Training)</w:t>
            </w:r>
          </w:p>
        </w:tc>
      </w:tr>
      <w:tr>
        <w:tc>
          <w:tcPr>
            <w:tcW w:type="dxa" w:w="9360"/>
            <w:tcBorders>
              <w:top w:val="nil" w:color="FFFFFF" w:sz="0"/>
              <w:left w:val="single" w:color="07B4D9" w:sz="12"/>
              <w:bottom w:val="single" w:color="07B4D9" w:sz="4"/>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val="false"/>
                <w:iCs w:val="false"/>
                <w:color w:val="1A2340"/>
                <w:sz w:val="20"/>
                <w:szCs w:val="20"/>
              </w:rPr>
              <w:t xml:space="preserve">NIST SP 800-50 Rev 1 — Building a Cybersecurity and Privacy Learning Program</w:t>
            </w:r>
          </w:p>
        </w:tc>
      </w:tr>
    </w:tbl>
    <w:p>
      <w:pPr>
        <w:spacing w:after="120" w:before="120"/>
      </w:pPr>
      <w:r>
        <w:t xml:space="preserve"/>
      </w:r>
    </w:p>
    <w:p>
      <w:pPr>
        <w:pBdr>
          <w:bottom w:val="single" w:color="07B4D9" w:sz="6" w:space="4"/>
        </w:pBdr>
        <w:spacing w:after="120" w:before="360"/>
      </w:pPr>
      <w:r>
        <w:rPr>
          <w:rFonts w:ascii="Arial" w:cs="Arial" w:eastAsia="Arial" w:hAnsi="Arial"/>
          <w:b/>
          <w:bCs/>
          <w:color w:val="152168"/>
          <w:sz w:val="28"/>
          <w:szCs w:val="28"/>
        </w:rPr>
        <w:t xml:space="preserve">1. Purpose</w:t>
      </w:r>
    </w:p>
    <w:p>
      <w:pPr>
        <w:spacing w:after="100" w:before="80"/>
      </w:pPr>
      <w:r>
        <w:rPr>
          <w:rFonts w:ascii="Arial" w:cs="Arial" w:eastAsia="Arial" w:hAnsi="Arial"/>
          <w:color w:val="1A2340"/>
          <w:sz w:val="22"/>
          <w:szCs w:val="22"/>
        </w:rPr>
        <w:t xml:space="preserve">This policy establishes the requirements for a structured Security Awareness and Training Program at [ORGANIZATION NAME]. The program is designed to:</w:t>
      </w:r>
    </w:p>
    <w:p>
      <w:pPr>
        <w:pStyle w:val="ListParagraph"/>
        <w:numPr>
          <w:ilvl w:val="0"/>
          <w:numId w:val="2"/>
        </w:numPr>
        <w:spacing w:after="40" w:before="40"/>
      </w:pPr>
      <w:r>
        <w:rPr>
          <w:rFonts w:ascii="Arial" w:cs="Arial" w:eastAsia="Arial" w:hAnsi="Arial"/>
          <w:color w:val="1A2340"/>
          <w:sz w:val="22"/>
          <w:szCs w:val="22"/>
        </w:rPr>
        <w:t xml:space="preserve">Ensure all personnel possess the knowledge and skills necessary to protect organizational information assets and systems.</w:t>
      </w:r>
    </w:p>
    <w:p>
      <w:pPr>
        <w:pStyle w:val="ListParagraph"/>
        <w:numPr>
          <w:ilvl w:val="0"/>
          <w:numId w:val="2"/>
        </w:numPr>
        <w:spacing w:after="40" w:before="40"/>
      </w:pPr>
      <w:r>
        <w:rPr>
          <w:rFonts w:ascii="Arial" w:cs="Arial" w:eastAsia="Arial" w:hAnsi="Arial"/>
          <w:color w:val="1A2340"/>
          <w:sz w:val="22"/>
          <w:szCs w:val="22"/>
        </w:rPr>
        <w:t xml:space="preserve">Reduce human-factor security risk through structured, role-appropriate awareness and training programs.</w:t>
      </w:r>
    </w:p>
    <w:p>
      <w:pPr>
        <w:pStyle w:val="ListParagraph"/>
        <w:numPr>
          <w:ilvl w:val="0"/>
          <w:numId w:val="2"/>
        </w:numPr>
        <w:spacing w:after="40" w:before="40"/>
      </w:pPr>
      <w:r>
        <w:rPr>
          <w:rFonts w:ascii="Arial" w:cs="Arial" w:eastAsia="Arial" w:hAnsi="Arial"/>
          <w:color w:val="1A2340"/>
          <w:sz w:val="22"/>
          <w:szCs w:val="22"/>
        </w:rPr>
        <w:t xml:space="preserve">Meet applicable regulatory and contractual obligations related to security training.</w:t>
      </w:r>
    </w:p>
    <w:p>
      <w:pPr>
        <w:pStyle w:val="ListParagraph"/>
        <w:numPr>
          <w:ilvl w:val="0"/>
          <w:numId w:val="2"/>
        </w:numPr>
        <w:spacing w:after="40" w:before="40"/>
      </w:pPr>
      <w:r>
        <w:rPr>
          <w:rFonts w:ascii="Arial" w:cs="Arial" w:eastAsia="Arial" w:hAnsi="Arial"/>
          <w:color w:val="1A2340"/>
          <w:sz w:val="22"/>
          <w:szCs w:val="22"/>
        </w:rPr>
        <w:t xml:space="preserve">Foster a security-aware culture where all personnel contribute to the protection of organizational data and systems.</w:t>
      </w:r>
    </w:p>
    <w:p>
      <w:pPr>
        <w:spacing w:after="40" w:before="40"/>
      </w:pPr>
      <w:r>
        <w:t xml:space="preserve"/>
      </w:r>
    </w:p>
    <w:p>
      <w:pPr>
        <w:spacing w:after="100" w:before="80"/>
      </w:pPr>
      <w:r>
        <w:rPr>
          <w:rFonts w:ascii="Arial" w:cs="Arial" w:eastAsia="Arial" w:hAnsi="Arial"/>
          <w:color w:val="1A2340"/>
          <w:sz w:val="22"/>
          <w:szCs w:val="22"/>
        </w:rPr>
        <w:t xml:space="preserve">Cybersecurity awareness and training is one of the most cost-effective investments an organization can make. Human error remains the leading cause of successful cyberattacks, and a well-trained workforce is a critical line of defence.</w:t>
      </w:r>
    </w:p>
    <w:p>
      <w:pPr>
        <w:pBdr>
          <w:bottom w:val="single" w:color="07B4D9" w:sz="6" w:space="4"/>
        </w:pBdr>
        <w:spacing w:after="120" w:before="360"/>
      </w:pPr>
      <w:r>
        <w:rPr>
          <w:rFonts w:ascii="Arial" w:cs="Arial" w:eastAsia="Arial" w:hAnsi="Arial"/>
          <w:b/>
          <w:bCs/>
          <w:color w:val="152168"/>
          <w:sz w:val="28"/>
          <w:szCs w:val="28"/>
        </w:rPr>
        <w:t xml:space="preserve">2. Scope</w:t>
      </w:r>
    </w:p>
    <w:p>
      <w:pPr>
        <w:spacing w:after="100" w:before="80"/>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employees (full-time, part-time, and temporary) of [ORGANIZATION NAME].</w:t>
      </w:r>
    </w:p>
    <w:p>
      <w:pPr>
        <w:pStyle w:val="ListParagraph"/>
        <w:numPr>
          <w:ilvl w:val="0"/>
          <w:numId w:val="2"/>
        </w:numPr>
        <w:spacing w:after="40" w:before="40"/>
      </w:pPr>
      <w:r>
        <w:rPr>
          <w:rFonts w:ascii="Arial" w:cs="Arial" w:eastAsia="Arial" w:hAnsi="Arial"/>
          <w:color w:val="1A2340"/>
          <w:sz w:val="22"/>
          <w:szCs w:val="22"/>
        </w:rPr>
        <w:t xml:space="preserve">Contractors, consultants, and managed service providers who have access to organizational systems, networks, or data.</w:t>
      </w:r>
    </w:p>
    <w:p>
      <w:pPr>
        <w:pStyle w:val="ListParagraph"/>
        <w:numPr>
          <w:ilvl w:val="0"/>
          <w:numId w:val="2"/>
        </w:numPr>
        <w:spacing w:after="40" w:before="40"/>
      </w:pPr>
      <w:r>
        <w:rPr>
          <w:rFonts w:ascii="Arial" w:cs="Arial" w:eastAsia="Arial" w:hAnsi="Arial"/>
          <w:color w:val="1A2340"/>
          <w:sz w:val="22"/>
          <w:szCs w:val="22"/>
        </w:rPr>
        <w:t xml:space="preserve">Third parties with access to organizational information assets.</w:t>
      </w:r>
    </w:p>
    <w:p>
      <w:pPr>
        <w:pStyle w:val="ListParagraph"/>
        <w:numPr>
          <w:ilvl w:val="0"/>
          <w:numId w:val="2"/>
        </w:numPr>
        <w:spacing w:after="40" w:before="40"/>
      </w:pPr>
      <w:r>
        <w:rPr>
          <w:rFonts w:ascii="Arial" w:cs="Arial" w:eastAsia="Arial" w:hAnsi="Arial"/>
          <w:color w:val="1A2340"/>
          <w:sz w:val="22"/>
          <w:szCs w:val="22"/>
        </w:rPr>
        <w:t xml:space="preserve">All departments and business units across the organization.</w:t>
      </w:r>
    </w:p>
    <w:p>
      <w:pPr>
        <w:spacing w:after="40" w:before="40"/>
      </w:pPr>
      <w:r>
        <w:t xml:space="preserve"/>
      </w:r>
    </w:p>
    <w:p>
      <w:pPr>
        <w:spacing w:after="100" w:before="80"/>
      </w:pPr>
      <w:r>
        <w:rPr>
          <w:rFonts w:ascii="Arial" w:cs="Arial" w:eastAsia="Arial" w:hAnsi="Arial"/>
          <w:color w:val="1A2340"/>
          <w:sz w:val="22"/>
          <w:szCs w:val="22"/>
        </w:rPr>
        <w:t xml:space="preserve">This policy applies regardless of the location from which work is performed, including on-premises, remote, or hybrid arrangements.</w:t>
      </w:r>
    </w:p>
    <w:p>
      <w:pPr>
        <w:pBdr>
          <w:bottom w:val="single" w:color="07B4D9" w:sz="6" w:space="4"/>
        </w:pBdr>
        <w:spacing w:after="120" w:before="360"/>
      </w:pPr>
      <w:r>
        <w:rPr>
          <w:rFonts w:ascii="Arial" w:cs="Arial" w:eastAsia="Arial" w:hAnsi="Arial"/>
          <w:b/>
          <w:bCs/>
          <w:color w:val="152168"/>
          <w:sz w:val="28"/>
          <w:szCs w:val="28"/>
        </w:rPr>
        <w:t xml:space="preserve">3. Policy Statement</w:t>
      </w:r>
    </w:p>
    <w:p>
      <w:pPr>
        <w:spacing w:after="100" w:before="80"/>
      </w:pPr>
      <w:r>
        <w:rPr>
          <w:rFonts w:ascii="Arial" w:cs="Arial" w:eastAsia="Arial" w:hAnsi="Arial"/>
          <w:color w:val="1A2340"/>
          <w:sz w:val="22"/>
          <w:szCs w:val="22"/>
        </w:rPr>
        <w:t xml:space="preserve">Security awareness and training at [ORGANIZATION NAME] is guided by five core principles:</w:t>
      </w:r>
    </w:p>
    <w:p>
      <w:pPr>
        <w:spacing w:after="60" w:before="40"/>
      </w:pPr>
      <w:r>
        <w:t xml:space="preserve"/>
      </w:r>
    </w:p>
    <w:p>
      <w:pPr>
        <w:pStyle w:val="ListParagraph"/>
        <w:numPr>
          <w:ilvl w:val="0"/>
          <w:numId w:val="3"/>
        </w:numPr>
        <w:spacing w:after="80" w:before="80"/>
      </w:pPr>
      <w:r>
        <w:rPr>
          <w:rFonts w:ascii="Arial" w:cs="Arial" w:eastAsia="Arial" w:hAnsi="Arial"/>
          <w:b/>
          <w:bCs/>
          <w:color w:val="152168"/>
          <w:sz w:val="22"/>
          <w:szCs w:val="22"/>
        </w:rPr>
        <w:t xml:space="preserve">Security Culture: </w:t>
      </w:r>
      <w:r>
        <w:rPr>
          <w:rFonts w:ascii="Arial" w:cs="Arial" w:eastAsia="Arial" w:hAnsi="Arial"/>
          <w:color w:val="1A2340"/>
          <w:sz w:val="22"/>
          <w:szCs w:val="22"/>
        </w:rPr>
        <w:t xml:space="preserve">Building and sustaining a security-first mindset across all levels of the organization. Security is not solely the responsibility of the IT or security team — every individual plays a role.</w:t>
      </w:r>
    </w:p>
    <w:p>
      <w:pPr>
        <w:pStyle w:val="ListParagraph"/>
        <w:numPr>
          <w:ilvl w:val="0"/>
          <w:numId w:val="3"/>
        </w:numPr>
        <w:spacing w:after="80" w:before="80"/>
      </w:pPr>
      <w:r>
        <w:rPr>
          <w:rFonts w:ascii="Arial" w:cs="Arial" w:eastAsia="Arial" w:hAnsi="Arial"/>
          <w:b/>
          <w:bCs/>
          <w:color w:val="152168"/>
          <w:sz w:val="22"/>
          <w:szCs w:val="22"/>
        </w:rPr>
        <w:t xml:space="preserve">Relevance and Role-Appropriateness: </w:t>
      </w:r>
      <w:r>
        <w:rPr>
          <w:rFonts w:ascii="Arial" w:cs="Arial" w:eastAsia="Arial" w:hAnsi="Arial"/>
          <w:color w:val="1A2340"/>
          <w:sz w:val="22"/>
          <w:szCs w:val="22"/>
        </w:rPr>
        <w:t xml:space="preserve">Training content is tailored to the specific risks, responsibilities, and systems associated with each role. Generic training is supplemented by role-specific content.</w:t>
      </w:r>
    </w:p>
    <w:p>
      <w:pPr>
        <w:pStyle w:val="ListParagraph"/>
        <w:numPr>
          <w:ilvl w:val="0"/>
          <w:numId w:val="3"/>
        </w:numPr>
        <w:spacing w:after="80" w:before="80"/>
      </w:pPr>
      <w:r>
        <w:rPr>
          <w:rFonts w:ascii="Arial" w:cs="Arial" w:eastAsia="Arial" w:hAnsi="Arial"/>
          <w:b/>
          <w:bCs/>
          <w:color w:val="152168"/>
          <w:sz w:val="22"/>
          <w:szCs w:val="22"/>
        </w:rPr>
        <w:t xml:space="preserve">Measurable Effectiveness: </w:t>
      </w:r>
      <w:r>
        <w:rPr>
          <w:rFonts w:ascii="Arial" w:cs="Arial" w:eastAsia="Arial" w:hAnsi="Arial"/>
          <w:color w:val="1A2340"/>
          <w:sz w:val="22"/>
          <w:szCs w:val="22"/>
        </w:rPr>
        <w:t xml:space="preserve">Training programs are evaluated against defined metrics including completion rates, phishing simulation performance, and incident trends. Effectiveness data drives continuous improvement.</w:t>
      </w:r>
    </w:p>
    <w:p>
      <w:pPr>
        <w:pStyle w:val="ListParagraph"/>
        <w:numPr>
          <w:ilvl w:val="0"/>
          <w:numId w:val="3"/>
        </w:numPr>
        <w:spacing w:after="80" w:before="80"/>
      </w:pPr>
      <w:r>
        <w:rPr>
          <w:rFonts w:ascii="Arial" w:cs="Arial" w:eastAsia="Arial" w:hAnsi="Arial"/>
          <w:b/>
          <w:bCs/>
          <w:color w:val="152168"/>
          <w:sz w:val="22"/>
          <w:szCs w:val="22"/>
        </w:rPr>
        <w:t xml:space="preserve">Continuous Reinforcement: </w:t>
      </w:r>
      <w:r>
        <w:rPr>
          <w:rFonts w:ascii="Arial" w:cs="Arial" w:eastAsia="Arial" w:hAnsi="Arial"/>
          <w:color w:val="1A2340"/>
          <w:sz w:val="22"/>
          <w:szCs w:val="22"/>
        </w:rPr>
        <w:t xml:space="preserve">Awareness is not a once-a-year event. Ongoing touchpoints — bulletins, simulations, just-in-time learning, and security champion programs — keep security top of mind throughout the year.</w:t>
      </w:r>
    </w:p>
    <w:p>
      <w:pPr>
        <w:pStyle w:val="ListParagraph"/>
        <w:numPr>
          <w:ilvl w:val="0"/>
          <w:numId w:val="3"/>
        </w:numPr>
        <w:spacing w:after="80" w:before="80"/>
      </w:pPr>
      <w:r>
        <w:rPr>
          <w:rFonts w:ascii="Arial" w:cs="Arial" w:eastAsia="Arial" w:hAnsi="Arial"/>
          <w:b/>
          <w:bCs/>
          <w:color w:val="152168"/>
          <w:sz w:val="22"/>
          <w:szCs w:val="22"/>
        </w:rPr>
        <w:t xml:space="preserve">Accountability: </w:t>
      </w:r>
      <w:r>
        <w:rPr>
          <w:rFonts w:ascii="Arial" w:cs="Arial" w:eastAsia="Arial" w:hAnsi="Arial"/>
          <w:color w:val="1A2340"/>
          <w:sz w:val="22"/>
          <w:szCs w:val="22"/>
        </w:rPr>
        <w:t xml:space="preserve">Completion of mandatory training is a condition of employment and system access. Non-compliance is escalated through defined channels and subject to disciplinary action where warranted.</w:t>
      </w:r>
    </w:p>
    <w:p>
      <w:r>
        <w:br w:type="page"/>
      </w:r>
    </w:p>
    <w:p>
      <w:pPr>
        <w:pBdr>
          <w:bottom w:val="single" w:color="07B4D9" w:sz="6" w:space="4"/>
        </w:pBdr>
        <w:spacing w:after="120" w:before="360"/>
      </w:pPr>
      <w:r>
        <w:rPr>
          <w:rFonts w:ascii="Arial" w:cs="Arial" w:eastAsia="Arial" w:hAnsi="Arial"/>
          <w:b/>
          <w:bCs/>
          <w:color w:val="152168"/>
          <w:sz w:val="28"/>
          <w:szCs w:val="28"/>
        </w:rPr>
        <w:t xml:space="preserve">4. Definitions</w:t>
      </w:r>
    </w:p>
    <w:p>
      <w:pPr>
        <w:spacing w:after="60" w:before="60"/>
      </w:pPr>
      <w:r>
        <w:rPr>
          <w:rFonts w:ascii="Arial" w:cs="Arial" w:eastAsia="Arial" w:hAnsi="Arial"/>
          <w:b/>
          <w:bCs/>
          <w:color w:val="1A2340"/>
          <w:sz w:val="22"/>
          <w:szCs w:val="22"/>
        </w:rPr>
        <w:t xml:space="preserve">Security Awareness: </w:t>
      </w:r>
      <w:r>
        <w:rPr>
          <w:rFonts w:ascii="Arial" w:cs="Arial" w:eastAsia="Arial" w:hAnsi="Arial"/>
          <w:color w:val="1A2340"/>
          <w:sz w:val="22"/>
          <w:szCs w:val="22"/>
        </w:rPr>
        <w:t xml:space="preserve">General knowledge and attitudes that personnel hold regarding security risks, policies, and the importance of protecting organizational assets. Awareness programs aim to change behaviour.</w:t>
      </w:r>
    </w:p>
    <w:p>
      <w:pPr>
        <w:spacing w:after="60" w:before="60"/>
      </w:pPr>
      <w:r>
        <w:rPr>
          <w:rFonts w:ascii="Arial" w:cs="Arial" w:eastAsia="Arial" w:hAnsi="Arial"/>
          <w:b/>
          <w:bCs/>
          <w:color w:val="1A2340"/>
          <w:sz w:val="22"/>
          <w:szCs w:val="22"/>
        </w:rPr>
        <w:t xml:space="preserve">Security Training: </w:t>
      </w:r>
      <w:r>
        <w:rPr>
          <w:rFonts w:ascii="Arial" w:cs="Arial" w:eastAsia="Arial" w:hAnsi="Arial"/>
          <w:color w:val="1A2340"/>
          <w:sz w:val="22"/>
          <w:szCs w:val="22"/>
        </w:rPr>
        <w:t xml:space="preserve">Structured learning activities designed to build specific security competencies and skills. Training is more formal and role-targeted than general awareness.</w:t>
      </w:r>
    </w:p>
    <w:p>
      <w:pPr>
        <w:spacing w:after="60" w:before="60"/>
      </w:pPr>
      <w:r>
        <w:rPr>
          <w:rFonts w:ascii="Arial" w:cs="Arial" w:eastAsia="Arial" w:hAnsi="Arial"/>
          <w:b/>
          <w:bCs/>
          <w:color w:val="1A2340"/>
          <w:sz w:val="22"/>
          <w:szCs w:val="22"/>
        </w:rPr>
        <w:t xml:space="preserve">Phishing Simulation: </w:t>
      </w:r>
      <w:r>
        <w:rPr>
          <w:rFonts w:ascii="Arial" w:cs="Arial" w:eastAsia="Arial" w:hAnsi="Arial"/>
          <w:color w:val="1A2340"/>
          <w:sz w:val="22"/>
          <w:szCs w:val="22"/>
        </w:rPr>
        <w:t xml:space="preserve">A controlled, authorized test that mimics real-world phishing emails to assess employee susceptibility and deliver immediate learning at the point of failure.</w:t>
      </w:r>
    </w:p>
    <w:p>
      <w:pPr>
        <w:spacing w:after="60" w:before="60"/>
      </w:pPr>
      <w:r>
        <w:rPr>
          <w:rFonts w:ascii="Arial" w:cs="Arial" w:eastAsia="Arial" w:hAnsi="Arial"/>
          <w:b/>
          <w:bCs/>
          <w:color w:val="1A2340"/>
          <w:sz w:val="22"/>
          <w:szCs w:val="22"/>
        </w:rPr>
        <w:t xml:space="preserve">Social Engineering: </w:t>
      </w:r>
      <w:r>
        <w:rPr>
          <w:rFonts w:ascii="Arial" w:cs="Arial" w:eastAsia="Arial" w:hAnsi="Arial"/>
          <w:color w:val="1A2340"/>
          <w:sz w:val="22"/>
          <w:szCs w:val="22"/>
        </w:rPr>
        <w:t xml:space="preserve">Manipulation techniques used by attackers to deceive individuals into disclosing sensitive information or performing actions that compromise security.</w:t>
      </w:r>
    </w:p>
    <w:p>
      <w:pPr>
        <w:spacing w:after="60" w:before="60"/>
      </w:pPr>
      <w:r>
        <w:rPr>
          <w:rFonts w:ascii="Arial" w:cs="Arial" w:eastAsia="Arial" w:hAnsi="Arial"/>
          <w:b/>
          <w:bCs/>
          <w:color w:val="1A2340"/>
          <w:sz w:val="22"/>
          <w:szCs w:val="22"/>
        </w:rPr>
        <w:t xml:space="preserve">Role-Based Training: </w:t>
      </w:r>
      <w:r>
        <w:rPr>
          <w:rFonts w:ascii="Arial" w:cs="Arial" w:eastAsia="Arial" w:hAnsi="Arial"/>
          <w:color w:val="1A2340"/>
          <w:sz w:val="22"/>
          <w:szCs w:val="22"/>
        </w:rPr>
        <w:t xml:space="preserve">Security training content specifically designed for a defined job function or access level, addressing the unique risks and responsibilities of that role.</w:t>
      </w:r>
    </w:p>
    <w:p>
      <w:pPr>
        <w:spacing w:after="60" w:before="60"/>
      </w:pPr>
      <w:r>
        <w:rPr>
          <w:rFonts w:ascii="Arial" w:cs="Arial" w:eastAsia="Arial" w:hAnsi="Arial"/>
          <w:b/>
          <w:bCs/>
          <w:color w:val="1A2340"/>
          <w:sz w:val="22"/>
          <w:szCs w:val="22"/>
        </w:rPr>
        <w:t xml:space="preserve">Completion Record: </w:t>
      </w:r>
      <w:r>
        <w:rPr>
          <w:rFonts w:ascii="Arial" w:cs="Arial" w:eastAsia="Arial" w:hAnsi="Arial"/>
          <w:color w:val="1A2340"/>
          <w:sz w:val="22"/>
          <w:szCs w:val="22"/>
        </w:rPr>
        <w:t xml:space="preserve">A documented record confirming that an individual has completed a required training module, including the date of completion and any assessment result.</w:t>
      </w:r>
    </w:p>
    <w:p>
      <w:pPr>
        <w:spacing w:after="60" w:before="60"/>
      </w:pPr>
      <w:r>
        <w:rPr>
          <w:rFonts w:ascii="Arial" w:cs="Arial" w:eastAsia="Arial" w:hAnsi="Arial"/>
          <w:b/>
          <w:bCs/>
          <w:color w:val="1A2340"/>
          <w:sz w:val="22"/>
          <w:szCs w:val="22"/>
        </w:rPr>
        <w:t xml:space="preserve">Compliance Rate: </w:t>
      </w:r>
      <w:r>
        <w:rPr>
          <w:rFonts w:ascii="Arial" w:cs="Arial" w:eastAsia="Arial" w:hAnsi="Arial"/>
          <w:color w:val="1A2340"/>
          <w:sz w:val="22"/>
          <w:szCs w:val="22"/>
        </w:rPr>
        <w:t xml:space="preserve">The percentage of required personnel who have completed mandatory training within the defined deadline. The target completion rate is 95%.</w:t>
      </w:r>
    </w:p>
    <w:p>
      <w:pPr>
        <w:spacing w:after="60" w:before="60"/>
      </w:pPr>
      <w:r>
        <w:rPr>
          <w:rFonts w:ascii="Arial" w:cs="Arial" w:eastAsia="Arial" w:hAnsi="Arial"/>
          <w:b/>
          <w:bCs/>
          <w:color w:val="1A2340"/>
          <w:sz w:val="22"/>
          <w:szCs w:val="22"/>
        </w:rPr>
        <w:t xml:space="preserve">Security Champion: </w:t>
      </w:r>
      <w:r>
        <w:rPr>
          <w:rFonts w:ascii="Arial" w:cs="Arial" w:eastAsia="Arial" w:hAnsi="Arial"/>
          <w:color w:val="1A2340"/>
          <w:sz w:val="22"/>
          <w:szCs w:val="22"/>
        </w:rPr>
        <w:t xml:space="preserve">A designated employee within a business unit who serves as a local security advocate, promoting awareness and providing a first point of contact for security questions.</w:t>
      </w:r>
    </w:p>
    <w:p>
      <w:pPr>
        <w:spacing w:after="60" w:before="60"/>
      </w:pPr>
      <w:r>
        <w:rPr>
          <w:rFonts w:ascii="Arial" w:cs="Arial" w:eastAsia="Arial" w:hAnsi="Arial"/>
          <w:b/>
          <w:bCs/>
          <w:color w:val="1A2340"/>
          <w:sz w:val="22"/>
          <w:szCs w:val="22"/>
        </w:rPr>
        <w:t xml:space="preserve">New Hire Onboarding Training: </w:t>
      </w:r>
      <w:r>
        <w:rPr>
          <w:rFonts w:ascii="Arial" w:cs="Arial" w:eastAsia="Arial" w:hAnsi="Arial"/>
          <w:color w:val="1A2340"/>
          <w:sz w:val="22"/>
          <w:szCs w:val="22"/>
        </w:rPr>
        <w:t xml:space="preserve">Security training completed by new employees within their first five business days, and before access to production systems is granted.</w:t>
      </w:r>
    </w:p>
    <w:p>
      <w:pPr>
        <w:spacing w:after="60" w:before="60"/>
      </w:pPr>
      <w:r>
        <w:rPr>
          <w:rFonts w:ascii="Arial" w:cs="Arial" w:eastAsia="Arial" w:hAnsi="Arial"/>
          <w:b/>
          <w:bCs/>
          <w:color w:val="1A2340"/>
          <w:sz w:val="22"/>
          <w:szCs w:val="22"/>
        </w:rPr>
        <w:t xml:space="preserve">Refresher Training: </w:t>
      </w:r>
      <w:r>
        <w:rPr>
          <w:rFonts w:ascii="Arial" w:cs="Arial" w:eastAsia="Arial" w:hAnsi="Arial"/>
          <w:color w:val="1A2340"/>
          <w:sz w:val="22"/>
          <w:szCs w:val="22"/>
        </w:rPr>
        <w:t xml:space="preserve">Annual security awareness training required of all in-scope personnel to reinforce core security principles and address current threat trends.</w:t>
      </w:r>
    </w:p>
    <w:p>
      <w:pPr>
        <w:spacing w:after="60" w:before="60"/>
      </w:pPr>
      <w:r>
        <w:rPr>
          <w:rFonts w:ascii="Arial" w:cs="Arial" w:eastAsia="Arial" w:hAnsi="Arial"/>
          <w:b/>
          <w:bCs/>
          <w:color w:val="1A2340"/>
          <w:sz w:val="22"/>
          <w:szCs w:val="22"/>
        </w:rPr>
        <w:t xml:space="preserve">Just-in-Time Training: </w:t>
      </w:r>
      <w:r>
        <w:rPr>
          <w:rFonts w:ascii="Arial" w:cs="Arial" w:eastAsia="Arial" w:hAnsi="Arial"/>
          <w:color w:val="1A2340"/>
          <w:sz w:val="22"/>
          <w:szCs w:val="22"/>
        </w:rPr>
        <w:t xml:space="preserve">Targeted security education delivered immediately after an individual exhibits a risky behaviour, such as clicking a simulated phishing link.</w:t>
      </w:r>
    </w:p>
    <w:p>
      <w:pPr>
        <w:spacing w:after="60" w:before="60"/>
      </w:pPr>
      <w:r>
        <w:rPr>
          <w:rFonts w:ascii="Arial" w:cs="Arial" w:eastAsia="Arial" w:hAnsi="Arial"/>
          <w:b/>
          <w:bCs/>
          <w:color w:val="1A2340"/>
          <w:sz w:val="22"/>
          <w:szCs w:val="22"/>
        </w:rPr>
        <w:t xml:space="preserve">Knowledge Assessment: </w:t>
      </w:r>
      <w:r>
        <w:rPr>
          <w:rFonts w:ascii="Arial" w:cs="Arial" w:eastAsia="Arial" w:hAnsi="Arial"/>
          <w:color w:val="1A2340"/>
          <w:sz w:val="22"/>
          <w:szCs w:val="22"/>
        </w:rPr>
        <w:t xml:space="preserve">A quiz or test administered at the end of a training module to evaluate comprehension and retention of key concepts.</w:t>
      </w:r>
    </w:p>
    <w:p>
      <w:pPr>
        <w:spacing w:after="60" w:before="60"/>
      </w:pPr>
      <w:r>
        <w:rPr>
          <w:rFonts w:ascii="Arial" w:cs="Arial" w:eastAsia="Arial" w:hAnsi="Arial"/>
          <w:b/>
          <w:bCs/>
          <w:color w:val="1A2340"/>
          <w:sz w:val="22"/>
          <w:szCs w:val="22"/>
        </w:rPr>
        <w:t xml:space="preserve">Security Bulletin: </w:t>
      </w:r>
      <w:r>
        <w:rPr>
          <w:rFonts w:ascii="Arial" w:cs="Arial" w:eastAsia="Arial" w:hAnsi="Arial"/>
          <w:color w:val="1A2340"/>
          <w:sz w:val="22"/>
          <w:szCs w:val="22"/>
        </w:rPr>
        <w:t xml:space="preserve">A brief, timely communication distributed to all personnel covering a specific security topic, emerging threat, or best practice. Minimum one per month.</w:t>
      </w:r>
    </w:p>
    <w:p>
      <w:pPr>
        <w:spacing w:after="60" w:before="60"/>
      </w:pPr>
      <w:r>
        <w:rPr>
          <w:rFonts w:ascii="Arial" w:cs="Arial" w:eastAsia="Arial" w:hAnsi="Arial"/>
          <w:b/>
          <w:bCs/>
          <w:color w:val="1A2340"/>
          <w:sz w:val="22"/>
          <w:szCs w:val="22"/>
        </w:rPr>
        <w:t xml:space="preserve">Completion Certificate: </w:t>
      </w:r>
      <w:r>
        <w:rPr>
          <w:rFonts w:ascii="Arial" w:cs="Arial" w:eastAsia="Arial" w:hAnsi="Arial"/>
          <w:color w:val="1A2340"/>
          <w:sz w:val="22"/>
          <w:szCs w:val="22"/>
        </w:rPr>
        <w:t xml:space="preserve">A formal record issued upon successful completion of a training program, which may be used for regulatory documentation purposes.</w:t>
      </w:r>
    </w:p>
    <w:p>
      <w:r>
        <w:br w:type="page"/>
      </w:r>
    </w:p>
    <w:p>
      <w:pPr>
        <w:pBdr>
          <w:bottom w:val="single" w:color="07B4D9" w:sz="6" w:space="4"/>
        </w:pBdr>
        <w:spacing w:after="120" w:before="360"/>
      </w:pPr>
      <w:r>
        <w:rPr>
          <w:rFonts w:ascii="Arial" w:cs="Arial" w:eastAsia="Arial" w:hAnsi="Arial"/>
          <w:b/>
          <w:bCs/>
          <w:color w:val="152168"/>
          <w:sz w:val="28"/>
          <w:szCs w:val="28"/>
        </w:rPr>
        <w:t xml:space="preserve">5. Roles and Responsibilities</w:t>
      </w:r>
    </w:p>
    <w:p>
      <w:pPr>
        <w:spacing w:after="100" w:before="280"/>
      </w:pPr>
      <w:r>
        <w:rPr>
          <w:rFonts w:ascii="Arial" w:cs="Arial" w:eastAsia="Arial" w:hAnsi="Arial"/>
          <w:b/>
          <w:bCs/>
          <w:color w:val="152168"/>
          <w:sz w:val="24"/>
          <w:szCs w:val="24"/>
        </w:rPr>
        <w:t xml:space="preserve">5.1  CISO / vCISO</w:t>
      </w:r>
    </w:p>
    <w:p>
      <w:pPr>
        <w:pStyle w:val="ListParagraph"/>
        <w:numPr>
          <w:ilvl w:val="0"/>
          <w:numId w:val="2"/>
        </w:numPr>
        <w:spacing w:after="40" w:before="40"/>
      </w:pPr>
      <w:r>
        <w:rPr>
          <w:rFonts w:ascii="Arial" w:cs="Arial" w:eastAsia="Arial" w:hAnsi="Arial"/>
          <w:color w:val="1A2340"/>
          <w:sz w:val="22"/>
          <w:szCs w:val="22"/>
        </w:rPr>
        <w:t xml:space="preserve">Program owner responsible for the overall design, delivery, and effectiveness of the Security Awareness and Training Program.</w:t>
      </w:r>
    </w:p>
    <w:p>
      <w:pPr>
        <w:pStyle w:val="ListParagraph"/>
        <w:numPr>
          <w:ilvl w:val="0"/>
          <w:numId w:val="2"/>
        </w:numPr>
        <w:spacing w:after="40" w:before="40"/>
      </w:pPr>
      <w:r>
        <w:rPr>
          <w:rFonts w:ascii="Arial" w:cs="Arial" w:eastAsia="Arial" w:hAnsi="Arial"/>
          <w:color w:val="1A2340"/>
          <w:sz w:val="22"/>
          <w:szCs w:val="22"/>
        </w:rPr>
        <w:t xml:space="preserve">Develop and maintain the annual training curriculum, including core and role-specific content.</w:t>
      </w:r>
    </w:p>
    <w:p>
      <w:pPr>
        <w:pStyle w:val="ListParagraph"/>
        <w:numPr>
          <w:ilvl w:val="0"/>
          <w:numId w:val="2"/>
        </w:numPr>
        <w:spacing w:after="40" w:before="40"/>
      </w:pPr>
      <w:r>
        <w:rPr>
          <w:rFonts w:ascii="Arial" w:cs="Arial" w:eastAsia="Arial" w:hAnsi="Arial"/>
          <w:color w:val="1A2340"/>
          <w:sz w:val="22"/>
          <w:szCs w:val="22"/>
        </w:rPr>
        <w:t xml:space="preserve">Define KPIs and report program effectiveness to executive leadership.</w:t>
      </w:r>
    </w:p>
    <w:p>
      <w:pPr>
        <w:pStyle w:val="ListParagraph"/>
        <w:numPr>
          <w:ilvl w:val="0"/>
          <w:numId w:val="2"/>
        </w:numPr>
        <w:spacing w:after="40" w:before="40"/>
      </w:pPr>
      <w:r>
        <w:rPr>
          <w:rFonts w:ascii="Arial" w:cs="Arial" w:eastAsia="Arial" w:hAnsi="Arial"/>
          <w:color w:val="1A2340"/>
          <w:sz w:val="22"/>
          <w:szCs w:val="22"/>
        </w:rPr>
        <w:t xml:space="preserve">Review and update training content annually and in response to significant threat changes.</w:t>
      </w:r>
    </w:p>
    <w:p>
      <w:pPr>
        <w:pStyle w:val="ListParagraph"/>
        <w:numPr>
          <w:ilvl w:val="0"/>
          <w:numId w:val="2"/>
        </w:numPr>
        <w:spacing w:after="40" w:before="40"/>
      </w:pPr>
      <w:r>
        <w:rPr>
          <w:rFonts w:ascii="Arial" w:cs="Arial" w:eastAsia="Arial" w:hAnsi="Arial"/>
          <w:color w:val="1A2340"/>
          <w:sz w:val="22"/>
          <w:szCs w:val="22"/>
        </w:rPr>
        <w:t xml:space="preserve">Oversee the phishing simulation program and review quarterly results.</w:t>
      </w:r>
    </w:p>
    <w:p>
      <w:pPr>
        <w:spacing w:after="40" w:before="40"/>
      </w:pPr>
      <w:r>
        <w:t xml:space="preserve"/>
      </w:r>
    </w:p>
    <w:p>
      <w:pPr>
        <w:spacing w:after="100" w:before="280"/>
      </w:pPr>
      <w:r>
        <w:rPr>
          <w:rFonts w:ascii="Arial" w:cs="Arial" w:eastAsia="Arial" w:hAnsi="Arial"/>
          <w:b/>
          <w:bCs/>
          <w:color w:val="152168"/>
          <w:sz w:val="24"/>
          <w:szCs w:val="24"/>
        </w:rPr>
        <w:t xml:space="preserve">5.2  Human Resources (HR)</w:t>
      </w:r>
    </w:p>
    <w:p>
      <w:pPr>
        <w:pStyle w:val="ListParagraph"/>
        <w:numPr>
          <w:ilvl w:val="0"/>
          <w:numId w:val="2"/>
        </w:numPr>
        <w:spacing w:after="40" w:before="40"/>
      </w:pPr>
      <w:r>
        <w:rPr>
          <w:rFonts w:ascii="Arial" w:cs="Arial" w:eastAsia="Arial" w:hAnsi="Arial"/>
          <w:color w:val="1A2340"/>
          <w:sz w:val="22"/>
          <w:szCs w:val="22"/>
        </w:rPr>
        <w:t xml:space="preserve">Integrate mandatory security training into the new hire onboarding process.</w:t>
      </w:r>
    </w:p>
    <w:p>
      <w:pPr>
        <w:pStyle w:val="ListParagraph"/>
        <w:numPr>
          <w:ilvl w:val="0"/>
          <w:numId w:val="2"/>
        </w:numPr>
        <w:spacing w:after="40" w:before="40"/>
      </w:pPr>
      <w:r>
        <w:rPr>
          <w:rFonts w:ascii="Arial" w:cs="Arial" w:eastAsia="Arial" w:hAnsi="Arial"/>
          <w:color w:val="1A2340"/>
          <w:sz w:val="22"/>
          <w:szCs w:val="22"/>
        </w:rPr>
        <w:t xml:space="preserve">Track training completion records in coordination with the CISO/vCISO.</w:t>
      </w:r>
    </w:p>
    <w:p>
      <w:pPr>
        <w:pStyle w:val="ListParagraph"/>
        <w:numPr>
          <w:ilvl w:val="0"/>
          <w:numId w:val="2"/>
        </w:numPr>
        <w:spacing w:after="40" w:before="40"/>
      </w:pPr>
      <w:r>
        <w:rPr>
          <w:rFonts w:ascii="Arial" w:cs="Arial" w:eastAsia="Arial" w:hAnsi="Arial"/>
          <w:color w:val="1A2340"/>
          <w:sz w:val="22"/>
          <w:szCs w:val="22"/>
        </w:rPr>
        <w:t xml:space="preserve">Notify the CISO/vCISO and department managers of non-completions at defined escalation thresholds.</w:t>
      </w:r>
    </w:p>
    <w:p>
      <w:pPr>
        <w:pStyle w:val="ListParagraph"/>
        <w:numPr>
          <w:ilvl w:val="0"/>
          <w:numId w:val="2"/>
        </w:numPr>
        <w:spacing w:after="40" w:before="40"/>
      </w:pPr>
      <w:r>
        <w:rPr>
          <w:rFonts w:ascii="Arial" w:cs="Arial" w:eastAsia="Arial" w:hAnsi="Arial"/>
          <w:color w:val="1A2340"/>
          <w:sz w:val="22"/>
          <w:szCs w:val="22"/>
        </w:rPr>
        <w:t xml:space="preserve">Administer disciplinary action processes for persistent non-compliance, in accordance with HR policy.</w:t>
      </w:r>
    </w:p>
    <w:p>
      <w:pPr>
        <w:spacing w:after="40" w:before="40"/>
      </w:pPr>
      <w:r>
        <w:t xml:space="preserve"/>
      </w:r>
    </w:p>
    <w:p>
      <w:pPr>
        <w:spacing w:after="100" w:before="280"/>
      </w:pPr>
      <w:r>
        <w:rPr>
          <w:rFonts w:ascii="Arial" w:cs="Arial" w:eastAsia="Arial" w:hAnsi="Arial"/>
          <w:b/>
          <w:bCs/>
          <w:color w:val="152168"/>
          <w:sz w:val="24"/>
          <w:szCs w:val="24"/>
        </w:rPr>
        <w:t xml:space="preserve">5.3  Department Managers</w:t>
      </w:r>
    </w:p>
    <w:p>
      <w:pPr>
        <w:pStyle w:val="ListParagraph"/>
        <w:numPr>
          <w:ilvl w:val="0"/>
          <w:numId w:val="2"/>
        </w:numPr>
        <w:spacing w:after="40" w:before="40"/>
      </w:pPr>
      <w:r>
        <w:rPr>
          <w:rFonts w:ascii="Arial" w:cs="Arial" w:eastAsia="Arial" w:hAnsi="Arial"/>
          <w:color w:val="1A2340"/>
          <w:sz w:val="22"/>
          <w:szCs w:val="22"/>
        </w:rPr>
        <w:t xml:space="preserve">Ensure all team members complete mandatory training within the defined deadlines.</w:t>
      </w:r>
    </w:p>
    <w:p>
      <w:pPr>
        <w:pStyle w:val="ListParagraph"/>
        <w:numPr>
          <w:ilvl w:val="0"/>
          <w:numId w:val="2"/>
        </w:numPr>
        <w:spacing w:after="40" w:before="40"/>
      </w:pPr>
      <w:r>
        <w:rPr>
          <w:rFonts w:ascii="Arial" w:cs="Arial" w:eastAsia="Arial" w:hAnsi="Arial"/>
          <w:color w:val="1A2340"/>
          <w:sz w:val="22"/>
          <w:szCs w:val="22"/>
        </w:rPr>
        <w:t xml:space="preserve">Complete manager-specific role-based training on an annual basis.</w:t>
      </w:r>
    </w:p>
    <w:p>
      <w:pPr>
        <w:pStyle w:val="ListParagraph"/>
        <w:numPr>
          <w:ilvl w:val="0"/>
          <w:numId w:val="2"/>
        </w:numPr>
        <w:spacing w:after="40" w:before="40"/>
      </w:pPr>
      <w:r>
        <w:rPr>
          <w:rFonts w:ascii="Arial" w:cs="Arial" w:eastAsia="Arial" w:hAnsi="Arial"/>
          <w:color w:val="1A2340"/>
          <w:sz w:val="22"/>
          <w:szCs w:val="22"/>
        </w:rPr>
        <w:t xml:space="preserve">Approve or escalate exceptions for team members who cannot complete training by the deadline.</w:t>
      </w:r>
    </w:p>
    <w:p>
      <w:pPr>
        <w:pStyle w:val="ListParagraph"/>
        <w:numPr>
          <w:ilvl w:val="0"/>
          <w:numId w:val="2"/>
        </w:numPr>
        <w:spacing w:after="40" w:before="40"/>
      </w:pPr>
      <w:r>
        <w:rPr>
          <w:rFonts w:ascii="Arial" w:cs="Arial" w:eastAsia="Arial" w:hAnsi="Arial"/>
          <w:color w:val="1A2340"/>
          <w:sz w:val="22"/>
          <w:szCs w:val="22"/>
        </w:rPr>
        <w:t xml:space="preserve">Reinforce security awareness messages within their teams throughout the year.</w:t>
      </w:r>
    </w:p>
    <w:p>
      <w:pPr>
        <w:spacing w:after="40" w:before="40"/>
      </w:pPr>
      <w:r>
        <w:t xml:space="preserve"/>
      </w:r>
    </w:p>
    <w:p>
      <w:pPr>
        <w:spacing w:after="100" w:before="280"/>
      </w:pPr>
      <w:r>
        <w:rPr>
          <w:rFonts w:ascii="Arial" w:cs="Arial" w:eastAsia="Arial" w:hAnsi="Arial"/>
          <w:b/>
          <w:bCs/>
          <w:color w:val="152168"/>
          <w:sz w:val="24"/>
          <w:szCs w:val="24"/>
        </w:rPr>
        <w:t xml:space="preserve">5.4  All Personnel</w:t>
      </w:r>
    </w:p>
    <w:p>
      <w:pPr>
        <w:pStyle w:val="ListParagraph"/>
        <w:numPr>
          <w:ilvl w:val="0"/>
          <w:numId w:val="2"/>
        </w:numPr>
        <w:spacing w:after="40" w:before="40"/>
      </w:pPr>
      <w:r>
        <w:rPr>
          <w:rFonts w:ascii="Arial" w:cs="Arial" w:eastAsia="Arial" w:hAnsi="Arial"/>
          <w:color w:val="1A2340"/>
          <w:sz w:val="22"/>
          <w:szCs w:val="22"/>
        </w:rPr>
        <w:t xml:space="preserve">Complete all mandatory security awareness training on time, within the deadlines specified.</w:t>
      </w:r>
    </w:p>
    <w:p>
      <w:pPr>
        <w:pStyle w:val="ListParagraph"/>
        <w:numPr>
          <w:ilvl w:val="0"/>
          <w:numId w:val="2"/>
        </w:numPr>
        <w:spacing w:after="40" w:before="40"/>
      </w:pPr>
      <w:r>
        <w:rPr>
          <w:rFonts w:ascii="Arial" w:cs="Arial" w:eastAsia="Arial" w:hAnsi="Arial"/>
          <w:color w:val="1A2340"/>
          <w:sz w:val="22"/>
          <w:szCs w:val="22"/>
        </w:rPr>
        <w:t xml:space="preserve">Apply security learning in their daily work activities.</w:t>
      </w:r>
    </w:p>
    <w:p>
      <w:pPr>
        <w:pStyle w:val="ListParagraph"/>
        <w:numPr>
          <w:ilvl w:val="0"/>
          <w:numId w:val="2"/>
        </w:numPr>
        <w:spacing w:after="40" w:before="40"/>
      </w:pPr>
      <w:r>
        <w:rPr>
          <w:rFonts w:ascii="Arial" w:cs="Arial" w:eastAsia="Arial" w:hAnsi="Arial"/>
          <w:color w:val="1A2340"/>
          <w:sz w:val="22"/>
          <w:szCs w:val="22"/>
        </w:rPr>
        <w:t xml:space="preserve">Report suspicious emails, messages, or activities to the designated security contact.</w:t>
      </w:r>
    </w:p>
    <w:p>
      <w:pPr>
        <w:pStyle w:val="ListParagraph"/>
        <w:numPr>
          <w:ilvl w:val="0"/>
          <w:numId w:val="2"/>
        </w:numPr>
        <w:spacing w:after="40" w:before="40"/>
      </w:pPr>
      <w:r>
        <w:rPr>
          <w:rFonts w:ascii="Arial" w:cs="Arial" w:eastAsia="Arial" w:hAnsi="Arial"/>
          <w:color w:val="1A2340"/>
          <w:sz w:val="22"/>
          <w:szCs w:val="22"/>
        </w:rPr>
        <w:t xml:space="preserve">Acknowledge receipt and understanding of key security policies as required.</w:t>
      </w:r>
    </w:p>
    <w:p>
      <w:pPr>
        <w:spacing w:after="40" w:before="40"/>
      </w:pPr>
      <w:r>
        <w:t xml:space="preserve"/>
      </w:r>
    </w:p>
    <w:p>
      <w:pPr>
        <w:spacing w:after="100" w:before="280"/>
      </w:pPr>
      <w:r>
        <w:rPr>
          <w:rFonts w:ascii="Arial" w:cs="Arial" w:eastAsia="Arial" w:hAnsi="Arial"/>
          <w:b/>
          <w:bCs/>
          <w:color w:val="152168"/>
          <w:sz w:val="24"/>
          <w:szCs w:val="24"/>
        </w:rPr>
        <w:t xml:space="preserve">5.5  Information Technology (IT)</w:t>
      </w:r>
    </w:p>
    <w:p>
      <w:pPr>
        <w:pStyle w:val="ListParagraph"/>
        <w:numPr>
          <w:ilvl w:val="0"/>
          <w:numId w:val="2"/>
        </w:numPr>
        <w:spacing w:after="40" w:before="40"/>
      </w:pPr>
      <w:r>
        <w:rPr>
          <w:rFonts w:ascii="Arial" w:cs="Arial" w:eastAsia="Arial" w:hAnsi="Arial"/>
          <w:color w:val="1A2340"/>
          <w:sz w:val="22"/>
          <w:szCs w:val="22"/>
        </w:rPr>
        <w:t xml:space="preserve">Deliver technical security training to IT staff and users with privileged access.</w:t>
      </w:r>
    </w:p>
    <w:p>
      <w:pPr>
        <w:pStyle w:val="ListParagraph"/>
        <w:numPr>
          <w:ilvl w:val="0"/>
          <w:numId w:val="2"/>
        </w:numPr>
        <w:spacing w:after="40" w:before="40"/>
      </w:pPr>
      <w:r>
        <w:rPr>
          <w:rFonts w:ascii="Arial" w:cs="Arial" w:eastAsia="Arial" w:hAnsi="Arial"/>
          <w:color w:val="1A2340"/>
          <w:sz w:val="22"/>
          <w:szCs w:val="22"/>
        </w:rPr>
        <w:t xml:space="preserve">Maintain and operate the phishing simulation platform.</w:t>
      </w:r>
    </w:p>
    <w:p>
      <w:pPr>
        <w:pStyle w:val="ListParagraph"/>
        <w:numPr>
          <w:ilvl w:val="0"/>
          <w:numId w:val="2"/>
        </w:numPr>
        <w:spacing w:after="40" w:before="40"/>
      </w:pPr>
      <w:r>
        <w:rPr>
          <w:rFonts w:ascii="Arial" w:cs="Arial" w:eastAsia="Arial" w:hAnsi="Arial"/>
          <w:color w:val="1A2340"/>
          <w:sz w:val="22"/>
          <w:szCs w:val="22"/>
        </w:rPr>
        <w:t xml:space="preserve">Enforce access restriction controls for personnel who are significantly overdue on training completion.</w:t>
      </w:r>
    </w:p>
    <w:p>
      <w:pPr>
        <w:pStyle w:val="ListParagraph"/>
        <w:numPr>
          <w:ilvl w:val="0"/>
          <w:numId w:val="2"/>
        </w:numPr>
        <w:spacing w:after="40" w:before="40"/>
      </w:pPr>
      <w:r>
        <w:rPr>
          <w:rFonts w:ascii="Arial" w:cs="Arial" w:eastAsia="Arial" w:hAnsi="Arial"/>
          <w:color w:val="1A2340"/>
          <w:sz w:val="22"/>
          <w:szCs w:val="22"/>
        </w:rPr>
        <w:t xml:space="preserve">Provide technical input for training content development.</w:t>
      </w:r>
    </w:p>
    <w:p>
      <w:pPr>
        <w:spacing w:after="40" w:before="40"/>
      </w:pPr>
      <w:r>
        <w:t xml:space="preserve"/>
      </w:r>
    </w:p>
    <w:p>
      <w:pPr>
        <w:spacing w:after="100" w:before="280"/>
      </w:pPr>
      <w:r>
        <w:rPr>
          <w:rFonts w:ascii="Arial" w:cs="Arial" w:eastAsia="Arial" w:hAnsi="Arial"/>
          <w:b/>
          <w:bCs/>
          <w:color w:val="152168"/>
          <w:sz w:val="24"/>
          <w:szCs w:val="24"/>
        </w:rPr>
        <w:t xml:space="preserve">5.6  Security Champions (Optional Program)</w:t>
      </w:r>
    </w:p>
    <w:p>
      <w:pPr>
        <w:pStyle w:val="ListParagraph"/>
        <w:numPr>
          <w:ilvl w:val="0"/>
          <w:numId w:val="2"/>
        </w:numPr>
        <w:spacing w:after="40" w:before="40"/>
      </w:pPr>
      <w:r>
        <w:rPr>
          <w:rFonts w:ascii="Arial" w:cs="Arial" w:eastAsia="Arial" w:hAnsi="Arial"/>
          <w:color w:val="1A2340"/>
          <w:sz w:val="22"/>
          <w:szCs w:val="22"/>
        </w:rPr>
        <w:t xml:space="preserve">Serve as department-level security advocates and first point of contact for security questions.</w:t>
      </w:r>
    </w:p>
    <w:p>
      <w:pPr>
        <w:pStyle w:val="ListParagraph"/>
        <w:numPr>
          <w:ilvl w:val="0"/>
          <w:numId w:val="2"/>
        </w:numPr>
        <w:spacing w:after="40" w:before="40"/>
      </w:pPr>
      <w:r>
        <w:rPr>
          <w:rFonts w:ascii="Arial" w:cs="Arial" w:eastAsia="Arial" w:hAnsi="Arial"/>
          <w:color w:val="1A2340"/>
          <w:sz w:val="22"/>
          <w:szCs w:val="22"/>
        </w:rPr>
        <w:t xml:space="preserve">Participate in Security Champion training and briefings.</w:t>
      </w:r>
    </w:p>
    <w:p>
      <w:pPr>
        <w:pStyle w:val="ListParagraph"/>
        <w:numPr>
          <w:ilvl w:val="0"/>
          <w:numId w:val="2"/>
        </w:numPr>
        <w:spacing w:after="40" w:before="40"/>
      </w:pPr>
      <w:r>
        <w:rPr>
          <w:rFonts w:ascii="Arial" w:cs="Arial" w:eastAsia="Arial" w:hAnsi="Arial"/>
          <w:color w:val="1A2340"/>
          <w:sz w:val="22"/>
          <w:szCs w:val="22"/>
        </w:rPr>
        <w:t xml:space="preserve">Promote security awareness within their business unit and surface emerging concerns to the CISO/vCISO.</w:t>
      </w:r>
    </w:p>
    <w:p>
      <w:pPr>
        <w:spacing w:after="40" w:before="40"/>
      </w:pPr>
      <w:r>
        <w:t xml:space="preserve"/>
      </w:r>
    </w:p>
    <w:p>
      <w:r>
        <w:br w:type="page"/>
      </w:r>
    </w:p>
    <w:p>
      <w:pPr>
        <w:pBdr>
          <w:bottom w:val="single" w:color="07B4D9" w:sz="6" w:space="4"/>
        </w:pBdr>
        <w:spacing w:after="120" w:before="360"/>
      </w:pPr>
      <w:r>
        <w:rPr>
          <w:rFonts w:ascii="Arial" w:cs="Arial" w:eastAsia="Arial" w:hAnsi="Arial"/>
          <w:b/>
          <w:bCs/>
          <w:color w:val="152168"/>
          <w:sz w:val="28"/>
          <w:szCs w:val="28"/>
        </w:rPr>
        <w:t xml:space="preserve">6. Policy Requirements</w:t>
      </w:r>
    </w:p>
    <w:p>
      <w:pPr>
        <w:spacing w:after="100" w:before="280"/>
      </w:pPr>
      <w:r>
        <w:rPr>
          <w:rFonts w:ascii="Arial" w:cs="Arial" w:eastAsia="Arial" w:hAnsi="Arial"/>
          <w:b/>
          <w:bCs/>
          <w:color w:val="152168"/>
          <w:sz w:val="24"/>
          <w:szCs w:val="24"/>
        </w:rPr>
        <w:t xml:space="preserve">6.1  Mandatory Annual Security Awareness Training</w:t>
      </w:r>
    </w:p>
    <w:p>
      <w:pPr>
        <w:spacing w:after="100" w:before="80"/>
      </w:pPr>
      <w:r>
        <w:rPr>
          <w:rFonts w:ascii="Arial" w:cs="Arial" w:eastAsia="Arial" w:hAnsi="Arial"/>
          <w:color w:val="1A2340"/>
          <w:sz w:val="22"/>
          <w:szCs w:val="22"/>
        </w:rPr>
        <w:t xml:space="preserve">All in-scope personnel must complete mandatory security awareness training annually. The following requirements apply:</w:t>
      </w:r>
    </w:p>
    <w:p>
      <w:pPr>
        <w:pStyle w:val="ListParagraph"/>
        <w:numPr>
          <w:ilvl w:val="0"/>
          <w:numId w:val="2"/>
        </w:numPr>
        <w:spacing w:after="40" w:before="40"/>
      </w:pPr>
      <w:r>
        <w:rPr>
          <w:rFonts w:ascii="Arial" w:cs="Arial" w:eastAsia="Arial" w:hAnsi="Arial"/>
          <w:color w:val="1A2340"/>
          <w:sz w:val="22"/>
          <w:szCs w:val="22"/>
        </w:rPr>
        <w:t xml:space="preserve">Applicability: All employees (full-time, part-time, temporary), contractors, and third parties with access to organizational systems.</w:t>
      </w:r>
    </w:p>
    <w:p>
      <w:pPr>
        <w:pStyle w:val="ListParagraph"/>
        <w:numPr>
          <w:ilvl w:val="0"/>
          <w:numId w:val="2"/>
        </w:numPr>
        <w:spacing w:after="40" w:before="40"/>
      </w:pPr>
      <w:r>
        <w:rPr>
          <w:rFonts w:ascii="Arial" w:cs="Arial" w:eastAsia="Arial" w:hAnsi="Arial"/>
          <w:color w:val="1A2340"/>
          <w:sz w:val="22"/>
          <w:szCs w:val="22"/>
        </w:rPr>
        <w:t xml:space="preserve">Minimum Duration: 60 minutes of training content annually. This may be delivered across multiple modules or in a single session.</w:t>
      </w:r>
    </w:p>
    <w:p>
      <w:pPr>
        <w:pStyle w:val="ListParagraph"/>
        <w:numPr>
          <w:ilvl w:val="0"/>
          <w:numId w:val="2"/>
        </w:numPr>
        <w:spacing w:after="40" w:before="40"/>
      </w:pPr>
      <w:r>
        <w:rPr>
          <w:rFonts w:ascii="Arial" w:cs="Arial" w:eastAsia="Arial" w:hAnsi="Arial"/>
          <w:color w:val="1A2340"/>
          <w:sz w:val="22"/>
          <w:szCs w:val="22"/>
        </w:rPr>
        <w:t xml:space="preserve">Completion Deadline: Within 30 days of the annual training launch date, or within 30 days of the hire date for new staff completing initial awareness training.</w:t>
      </w:r>
    </w:p>
    <w:p>
      <w:pPr>
        <w:pStyle w:val="ListParagraph"/>
        <w:numPr>
          <w:ilvl w:val="0"/>
          <w:numId w:val="2"/>
        </w:numPr>
        <w:spacing w:after="40" w:before="40"/>
      </w:pPr>
      <w:r>
        <w:rPr>
          <w:rFonts w:ascii="Arial" w:cs="Arial" w:eastAsia="Arial" w:hAnsi="Arial"/>
          <w:color w:val="1A2340"/>
          <w:sz w:val="22"/>
          <w:szCs w:val="22"/>
        </w:rPr>
        <w:t xml:space="preserve">Medium: Training may be delivered via Learning Management System (LMS), live instructor-led session, or approved equivalent.</w:t>
      </w:r>
    </w:p>
    <w:p>
      <w:pPr>
        <w:spacing w:after="80" w:before="80"/>
      </w:pPr>
      <w:r>
        <w:t xml:space="preserve"/>
      </w:r>
    </w:p>
    <w:p>
      <w:pPr>
        <w:spacing w:after="100" w:before="80"/>
      </w:pPr>
      <w:r>
        <w:rPr>
          <w:rFonts w:ascii="Arial" w:cs="Arial" w:eastAsia="Arial" w:hAnsi="Arial"/>
          <w:color w:val="1A2340"/>
          <w:sz w:val="22"/>
          <w:szCs w:val="22"/>
        </w:rPr>
        <w:t xml:space="preserve">Mandatory training topics for all personnel include: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Training Topic</w:t>
            </w:r>
          </w:p>
        </w:tc>
        <w:tc>
          <w:tcPr>
            <w:tcW w:type="dxa" w:w="58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and Social Engineering</w:t>
            </w:r>
          </w:p>
        </w:tc>
        <w:tc>
          <w:tcPr>
            <w:tcW w:type="dxa" w:w="5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Recognizing phishing emails, smishing, vishing, and pretexting attempts</w:t>
            </w:r>
          </w:p>
        </w:tc>
      </w:tr>
      <w:tr>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Password and Credential Security</w:t>
            </w:r>
          </w:p>
        </w:tc>
        <w:tc>
          <w:tcPr>
            <w:tcW w:type="dxa" w:w="5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Strong password creation, password managers, MFA enrollment and use</w:t>
            </w:r>
          </w:p>
        </w:tc>
      </w:tr>
      <w:tr>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Data Classification and Handling</w:t>
            </w:r>
          </w:p>
        </w:tc>
        <w:tc>
          <w:tcPr>
            <w:tcW w:type="dxa" w:w="5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How to identify, label, and handle data according to sensitivity level</w:t>
            </w:r>
          </w:p>
        </w:tc>
      </w:tr>
      <w:tr>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Acceptable Use of Systems and Data</w:t>
            </w:r>
          </w:p>
        </w:tc>
        <w:tc>
          <w:tcPr>
            <w:tcW w:type="dxa" w:w="5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What is and is not permitted use of organizational systems and data</w:t>
            </w:r>
          </w:p>
        </w:tc>
      </w:tr>
      <w:tr>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Incident Reporting</w:t>
            </w:r>
          </w:p>
        </w:tc>
        <w:tc>
          <w:tcPr>
            <w:tcW w:type="dxa" w:w="5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How and when to report a security incident or suspected breach</w:t>
            </w:r>
          </w:p>
        </w:tc>
      </w:tr>
      <w:tr>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Physical Security</w:t>
            </w:r>
          </w:p>
        </w:tc>
        <w:tc>
          <w:tcPr>
            <w:tcW w:type="dxa" w:w="5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Tailgating, clean desk policy, screen locking, visitor management</w:t>
            </w:r>
          </w:p>
        </w:tc>
      </w:tr>
      <w:tr>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Mobile Device Security</w:t>
            </w:r>
          </w:p>
        </w:tc>
        <w:tc>
          <w:tcPr>
            <w:tcW w:type="dxa" w:w="5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Securing personal and organizational devices; use on public networks</w:t>
            </w:r>
          </w:p>
        </w:tc>
      </w:tr>
      <w:tr>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Working Remotely</w:t>
            </w:r>
          </w:p>
        </w:tc>
        <w:tc>
          <w:tcPr>
            <w:tcW w:type="dxa" w:w="5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Home network security, VPN use, secure remote access practices</w:t>
            </w:r>
          </w:p>
        </w:tc>
      </w:tr>
      <w:tr>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AI Tool Use</w:t>
            </w:r>
          </w:p>
        </w:tc>
        <w:tc>
          <w:tcPr>
            <w:tcW w:type="dxa" w:w="5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Responsible use of AI tools; reference: AI Governance Policy</w:t>
            </w:r>
          </w:p>
        </w:tc>
      </w:tr>
    </w:tbl>
    <w:p>
      <w:pPr>
        <w:spacing w:after="80" w:before="120"/>
      </w:pPr>
      <w:r>
        <w:t xml:space="preserve"/>
      </w:r>
    </w:p>
    <w:p>
      <w:pPr>
        <w:spacing w:after="100" w:before="280"/>
      </w:pPr>
      <w:r>
        <w:rPr>
          <w:rFonts w:ascii="Arial" w:cs="Arial" w:eastAsia="Arial" w:hAnsi="Arial"/>
          <w:b/>
          <w:bCs/>
          <w:color w:val="152168"/>
          <w:sz w:val="24"/>
          <w:szCs w:val="24"/>
        </w:rPr>
        <w:t xml:space="preserve">6.2  New Hire Security Onboarding</w:t>
      </w:r>
    </w:p>
    <w:p>
      <w:pPr>
        <w:spacing w:after="100" w:before="80"/>
      </w:pPr>
      <w:r>
        <w:rPr>
          <w:rFonts w:ascii="Arial" w:cs="Arial" w:eastAsia="Arial" w:hAnsi="Arial"/>
          <w:color w:val="1A2340"/>
          <w:sz w:val="22"/>
          <w:szCs w:val="22"/>
        </w:rPr>
        <w:t xml:space="preserve">All new employees must complete security onboarding training as follows:</w:t>
      </w:r>
    </w:p>
    <w:p>
      <w:pPr>
        <w:pStyle w:val="ListParagraph"/>
        <w:numPr>
          <w:ilvl w:val="0"/>
          <w:numId w:val="2"/>
        </w:numPr>
        <w:spacing w:after="40" w:before="40"/>
      </w:pPr>
      <w:r>
        <w:rPr>
          <w:rFonts w:ascii="Arial" w:cs="Arial" w:eastAsia="Arial" w:hAnsi="Arial"/>
          <w:color w:val="1A2340"/>
          <w:sz w:val="22"/>
          <w:szCs w:val="22"/>
        </w:rPr>
        <w:t xml:space="preserve">Completion Deadline: Within the first 5 business days of employment.</w:t>
      </w:r>
    </w:p>
    <w:p>
      <w:pPr>
        <w:pStyle w:val="ListParagraph"/>
        <w:numPr>
          <w:ilvl w:val="0"/>
          <w:numId w:val="2"/>
        </w:numPr>
        <w:spacing w:after="40" w:before="40"/>
      </w:pPr>
      <w:r>
        <w:rPr>
          <w:rFonts w:ascii="Arial" w:cs="Arial" w:eastAsia="Arial" w:hAnsi="Arial"/>
          <w:color w:val="1A2340"/>
          <w:sz w:val="22"/>
          <w:szCs w:val="22"/>
        </w:rPr>
        <w:t xml:space="preserve">Access Requirement: No access to production systems is granted until onboarding training is confirmed complete.</w:t>
      </w:r>
    </w:p>
    <w:p>
      <w:pPr>
        <w:pStyle w:val="ListParagraph"/>
        <w:numPr>
          <w:ilvl w:val="0"/>
          <w:numId w:val="2"/>
        </w:numPr>
        <w:spacing w:after="40" w:before="40"/>
      </w:pPr>
      <w:r>
        <w:rPr>
          <w:rFonts w:ascii="Arial" w:cs="Arial" w:eastAsia="Arial" w:hAnsi="Arial"/>
          <w:color w:val="1A2340"/>
          <w:sz w:val="22"/>
          <w:szCs w:val="22"/>
        </w:rPr>
        <w:t xml:space="preserve">Topics: All core awareness topics listed in Section 6.1, plus role-specific security requirements applicable to the new hire's position, plus acknowledgement of key security policies.</w:t>
      </w:r>
    </w:p>
    <w:p>
      <w:pPr>
        <w:pStyle w:val="ListParagraph"/>
        <w:numPr>
          <w:ilvl w:val="0"/>
          <w:numId w:val="2"/>
        </w:numPr>
        <w:spacing w:after="40" w:before="40"/>
      </w:pPr>
      <w:r>
        <w:rPr>
          <w:rFonts w:ascii="Arial" w:cs="Arial" w:eastAsia="Arial" w:hAnsi="Arial"/>
          <w:color w:val="1A2340"/>
          <w:sz w:val="22"/>
          <w:szCs w:val="22"/>
        </w:rPr>
        <w:t xml:space="preserve">Manager Sign-Off: The new hire's direct manager must confirm completion of onboarding training before production system access is provisioned.</w:t>
      </w:r>
    </w:p>
    <w:p>
      <w:pPr>
        <w:spacing w:after="80" w:before="80"/>
      </w:pPr>
      <w:r>
        <w:t xml:space="preserve"/>
      </w:r>
    </w:p>
    <w:p>
      <w:pPr>
        <w:spacing w:after="100" w:before="280"/>
      </w:pPr>
      <w:r>
        <w:rPr>
          <w:rFonts w:ascii="Arial" w:cs="Arial" w:eastAsia="Arial" w:hAnsi="Arial"/>
          <w:b/>
          <w:bCs/>
          <w:color w:val="152168"/>
          <w:sz w:val="24"/>
          <w:szCs w:val="24"/>
        </w:rPr>
        <w:t xml:space="preserve">6.3  Role-Based Training Requirements</w:t>
      </w:r>
    </w:p>
    <w:p>
      <w:pPr>
        <w:spacing w:after="100" w:before="80"/>
      </w:pPr>
      <w:r>
        <w:rPr>
          <w:rFonts w:ascii="Arial" w:cs="Arial" w:eastAsia="Arial" w:hAnsi="Arial"/>
          <w:color w:val="1A2340"/>
          <w:sz w:val="22"/>
          <w:szCs w:val="22"/>
        </w:rPr>
        <w:t xml:space="preserve">In addition to the mandatory annual training, the following roles must complete role-specific security training on an annual basis (or as otherwise specified):</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Role Group</w:t>
            </w:r>
          </w:p>
        </w:tc>
        <w:tc>
          <w:tcPr>
            <w:tcW w:type="dxa" w:w="5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Training Topics Required</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Frequency</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 / System Administrators</w:t>
            </w:r>
          </w:p>
        </w:tc>
        <w:tc>
          <w:tcPr>
            <w:tcW w:type="dxa" w:w="5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Patch management, secure configuration, privilege management, incident response — technical track</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Managers / Supervisors</w:t>
            </w:r>
          </w:p>
        </w:tc>
        <w:tc>
          <w:tcPr>
            <w:tcW w:type="dxa" w:w="5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leadership responsibilities, insider threat recognition, privacy and HR data handling</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Finance / Accounts Payable</w:t>
            </w:r>
          </w:p>
        </w:tc>
        <w:tc>
          <w:tcPr>
            <w:tcW w:type="dxa" w:w="5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Business email compromise (BEC) and wire fraud awareness, payment approval process, vendor authentication procedures</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Executives</w:t>
            </w:r>
          </w:p>
        </w:tc>
        <w:tc>
          <w:tcPr>
            <w:tcW w:type="dxa" w:w="5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Board-level cyber risk reporting, executive-targeted spear phishing, cyber insurance considerations</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 on request</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Developers (if applicable)</w:t>
            </w:r>
          </w:p>
        </w:tc>
        <w:tc>
          <w:tcPr>
            <w:tcW w:type="dxa" w:w="5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OWASP Top 10, secure coding standards, code review security practices</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w:t>
            </w:r>
          </w:p>
        </w:tc>
      </w:tr>
    </w:tbl>
    <w:p>
      <w:pPr>
        <w:spacing w:after="80" w:before="120"/>
      </w:pPr>
      <w:r>
        <w:t xml:space="preserve"/>
      </w:r>
    </w:p>
    <w:p>
      <w:pPr>
        <w:spacing w:after="100" w:before="280"/>
      </w:pPr>
      <w:r>
        <w:rPr>
          <w:rFonts w:ascii="Arial" w:cs="Arial" w:eastAsia="Arial" w:hAnsi="Arial"/>
          <w:b/>
          <w:bCs/>
          <w:color w:val="152168"/>
          <w:sz w:val="24"/>
          <w:szCs w:val="24"/>
        </w:rPr>
        <w:t xml:space="preserve">6.4  Phishing Simulation Program</w:t>
      </w:r>
    </w:p>
    <w:p>
      <w:pPr>
        <w:spacing w:after="100" w:before="80"/>
      </w:pPr>
      <w:r>
        <w:rPr>
          <w:rFonts w:ascii="Arial" w:cs="Arial" w:eastAsia="Arial" w:hAnsi="Arial"/>
          <w:color w:val="1A2340"/>
          <w:sz w:val="22"/>
          <w:szCs w:val="22"/>
        </w:rPr>
        <w:t xml:space="preserve">A phishing simulation program shall be maintained to test and improve personnel resilience against phishing attacks. Requirements include:</w:t>
      </w:r>
    </w:p>
    <w:p>
      <w:pPr>
        <w:pStyle w:val="ListParagraph"/>
        <w:numPr>
          <w:ilvl w:val="0"/>
          <w:numId w:val="2"/>
        </w:numPr>
        <w:spacing w:after="40" w:before="40"/>
      </w:pPr>
      <w:r>
        <w:rPr>
          <w:rFonts w:ascii="Arial" w:cs="Arial" w:eastAsia="Arial" w:hAnsi="Arial"/>
          <w:color w:val="1A2340"/>
          <w:sz w:val="22"/>
          <w:szCs w:val="22"/>
        </w:rPr>
        <w:t xml:space="preserve">Frequency: Minimum quarterly simulated phishing campaigns, targeting all in-scope personnel.</w:t>
      </w:r>
    </w:p>
    <w:p>
      <w:pPr>
        <w:pStyle w:val="ListParagraph"/>
        <w:numPr>
          <w:ilvl w:val="0"/>
          <w:numId w:val="2"/>
        </w:numPr>
        <w:spacing w:after="40" w:before="40"/>
      </w:pPr>
      <w:r>
        <w:rPr>
          <w:rFonts w:ascii="Arial" w:cs="Arial" w:eastAsia="Arial" w:hAnsi="Arial"/>
          <w:color w:val="1A2340"/>
          <w:sz w:val="22"/>
          <w:szCs w:val="22"/>
        </w:rPr>
        <w:t xml:space="preserve">Difficulty: Campaign difficulty shall escalate progressively over the year to reflect increasingly sophisticated real-world threats.</w:t>
      </w:r>
    </w:p>
    <w:p>
      <w:pPr>
        <w:pStyle w:val="ListParagraph"/>
        <w:numPr>
          <w:ilvl w:val="0"/>
          <w:numId w:val="2"/>
        </w:numPr>
        <w:spacing w:after="40" w:before="40"/>
      </w:pPr>
      <w:r>
        <w:rPr>
          <w:rFonts w:ascii="Arial" w:cs="Arial" w:eastAsia="Arial" w:hAnsi="Arial"/>
          <w:color w:val="1A2340"/>
          <w:sz w:val="22"/>
          <w:szCs w:val="22"/>
        </w:rPr>
        <w:t xml:space="preserve">Metrics: Click rates and reporting rates shall be tracked per campaign and reported to the CISO/vCISO.</w:t>
      </w:r>
    </w:p>
    <w:p>
      <w:pPr>
        <w:pStyle w:val="ListParagraph"/>
        <w:numPr>
          <w:ilvl w:val="0"/>
          <w:numId w:val="2"/>
        </w:numPr>
        <w:spacing w:after="40" w:before="40"/>
      </w:pPr>
      <w:r>
        <w:rPr>
          <w:rFonts w:ascii="Arial" w:cs="Arial" w:eastAsia="Arial" w:hAnsi="Arial"/>
          <w:color w:val="1A2340"/>
          <w:sz w:val="22"/>
          <w:szCs w:val="22"/>
        </w:rPr>
        <w:t xml:space="preserve">Just-in-Time Training: Personnel who click a simulated phishing link shall receive immediate targeted training on phishing recognition.</w:t>
      </w:r>
    </w:p>
    <w:p>
      <w:pPr>
        <w:pStyle w:val="ListParagraph"/>
        <w:numPr>
          <w:ilvl w:val="0"/>
          <w:numId w:val="2"/>
        </w:numPr>
        <w:spacing w:after="40" w:before="40"/>
      </w:pPr>
      <w:r>
        <w:rPr>
          <w:rFonts w:ascii="Arial" w:cs="Arial" w:eastAsia="Arial" w:hAnsi="Arial"/>
          <w:color w:val="1A2340"/>
          <w:sz w:val="22"/>
          <w:szCs w:val="22"/>
        </w:rPr>
        <w:t xml:space="preserve">Progressive Discipline: Personnel who click 3 or more simulated phishing emails within any 12-month period shall be subject to additional mandatory training and manager notification. Repeated failure after remediation may result in escalation under HR disciplinary procedures.</w:t>
      </w:r>
    </w:p>
    <w:p>
      <w:pPr>
        <w:pStyle w:val="ListParagraph"/>
        <w:numPr>
          <w:ilvl w:val="0"/>
          <w:numId w:val="2"/>
        </w:numPr>
        <w:spacing w:after="40" w:before="40"/>
      </w:pPr>
      <w:r>
        <w:rPr>
          <w:rFonts w:ascii="Arial" w:cs="Arial" w:eastAsia="Arial" w:hAnsi="Arial"/>
          <w:color w:val="1A2340"/>
          <w:sz w:val="22"/>
          <w:szCs w:val="22"/>
        </w:rPr>
        <w:t xml:space="preserve">Annual Summary: An annual phishing simulation summary report shall be provided to the CISO/vCISO, including trend data and remediation actions taken.</w:t>
      </w:r>
    </w:p>
    <w:p>
      <w:pPr>
        <w:spacing w:after="80" w:before="80"/>
      </w:pPr>
      <w:r>
        <w:t xml:space="preserve"/>
      </w:r>
    </w:p>
    <w:p>
      <w:pPr>
        <w:spacing w:after="100" w:before="280"/>
      </w:pPr>
      <w:r>
        <w:rPr>
          <w:rFonts w:ascii="Arial" w:cs="Arial" w:eastAsia="Arial" w:hAnsi="Arial"/>
          <w:b/>
          <w:bCs/>
          <w:color w:val="152168"/>
          <w:sz w:val="24"/>
          <w:szCs w:val="24"/>
        </w:rPr>
        <w:t xml:space="preserve">6.5  Awareness Content Delivery</w:t>
      </w:r>
    </w:p>
    <w:p>
      <w:pPr>
        <w:spacing w:after="100" w:before="80"/>
      </w:pPr>
      <w:r>
        <w:rPr>
          <w:rFonts w:ascii="Arial" w:cs="Arial" w:eastAsia="Arial" w:hAnsi="Arial"/>
          <w:color w:val="1A2340"/>
          <w:sz w:val="22"/>
          <w:szCs w:val="22"/>
        </w:rPr>
        <w:t xml:space="preserve">Training and awareness content shall be delivered through approved channels and formats. Approved delivery formats include:</w:t>
      </w:r>
    </w:p>
    <w:p>
      <w:pPr>
        <w:pStyle w:val="ListParagraph"/>
        <w:numPr>
          <w:ilvl w:val="0"/>
          <w:numId w:val="2"/>
        </w:numPr>
        <w:spacing w:after="40" w:before="40"/>
      </w:pPr>
      <w:r>
        <w:rPr>
          <w:rFonts w:ascii="Arial" w:cs="Arial" w:eastAsia="Arial" w:hAnsi="Arial"/>
          <w:color w:val="1A2340"/>
          <w:sz w:val="22"/>
          <w:szCs w:val="22"/>
        </w:rPr>
        <w:t xml:space="preserve">Learning Management System (LMS) — preferred delivery method for mandatory training.</w:t>
      </w:r>
    </w:p>
    <w:p>
      <w:pPr>
        <w:pStyle w:val="ListParagraph"/>
        <w:numPr>
          <w:ilvl w:val="0"/>
          <w:numId w:val="2"/>
        </w:numPr>
        <w:spacing w:after="40" w:before="40"/>
      </w:pPr>
      <w:r>
        <w:rPr>
          <w:rFonts w:ascii="Arial" w:cs="Arial" w:eastAsia="Arial" w:hAnsi="Arial"/>
          <w:color w:val="1A2340"/>
          <w:sz w:val="22"/>
          <w:szCs w:val="22"/>
        </w:rPr>
        <w:t xml:space="preserve">Live instructor-led sessions, including lunch-and-learn events.</w:t>
      </w:r>
    </w:p>
    <w:p>
      <w:pPr>
        <w:pStyle w:val="ListParagraph"/>
        <w:numPr>
          <w:ilvl w:val="0"/>
          <w:numId w:val="2"/>
        </w:numPr>
        <w:spacing w:after="40" w:before="40"/>
      </w:pPr>
      <w:r>
        <w:rPr>
          <w:rFonts w:ascii="Arial" w:cs="Arial" w:eastAsia="Arial" w:hAnsi="Arial"/>
          <w:color w:val="1A2340"/>
          <w:sz w:val="22"/>
          <w:szCs w:val="22"/>
        </w:rPr>
        <w:t xml:space="preserve">Video-based training modules with embedded knowledge assessment quizzes.</w:t>
      </w:r>
    </w:p>
    <w:p>
      <w:pPr>
        <w:pStyle w:val="ListParagraph"/>
        <w:numPr>
          <w:ilvl w:val="0"/>
          <w:numId w:val="2"/>
        </w:numPr>
        <w:spacing w:after="40" w:before="40"/>
      </w:pPr>
      <w:r>
        <w:rPr>
          <w:rFonts w:ascii="Arial" w:cs="Arial" w:eastAsia="Arial" w:hAnsi="Arial"/>
          <w:color w:val="1A2340"/>
          <w:sz w:val="22"/>
          <w:szCs w:val="22"/>
        </w:rPr>
        <w:t xml:space="preserve">Internal security bulletins and awareness communications.</w:t>
      </w:r>
    </w:p>
    <w:p>
      <w:pPr>
        <w:spacing w:after="60" w:before="60"/>
      </w:pPr>
      <w:r>
        <w:t xml:space="preserve"/>
      </w:r>
    </w:p>
    <w:p>
      <w:pPr>
        <w:spacing w:after="100" w:before="80"/>
      </w:pPr>
      <w:r>
        <w:rPr>
          <w:rFonts w:ascii="Arial" w:cs="Arial" w:eastAsia="Arial" w:hAnsi="Arial"/>
          <w:color w:val="1A2340"/>
          <w:sz w:val="22"/>
          <w:szCs w:val="22"/>
        </w:rPr>
        <w:t xml:space="preserve">A minimum of one security bulletin or tip shall be distributed to all personnel each calendar month. Bulletin topics shall be aligned with the current threat landscape, seasonal risks, and the organization's incident history.</w:t>
      </w:r>
    </w:p>
    <w:p>
      <w:pPr>
        <w:spacing w:after="80" w:before="80"/>
      </w:pPr>
      <w:r>
        <w:t xml:space="preserve"/>
      </w:r>
    </w:p>
    <w:p>
      <w:pPr>
        <w:spacing w:after="100" w:before="280"/>
      </w:pPr>
      <w:r>
        <w:rPr>
          <w:rFonts w:ascii="Arial" w:cs="Arial" w:eastAsia="Arial" w:hAnsi="Arial"/>
          <w:b/>
          <w:bCs/>
          <w:color w:val="152168"/>
          <w:sz w:val="24"/>
          <w:szCs w:val="24"/>
        </w:rPr>
        <w:t xml:space="preserve">6.6  Training Records and Compliance</w:t>
      </w:r>
    </w:p>
    <w:p>
      <w:pPr>
        <w:spacing w:after="100" w:before="80"/>
      </w:pPr>
      <w:r>
        <w:rPr>
          <w:rFonts w:ascii="Arial" w:cs="Arial" w:eastAsia="Arial" w:hAnsi="Arial"/>
          <w:color w:val="1A2340"/>
          <w:sz w:val="22"/>
          <w:szCs w:val="22"/>
        </w:rPr>
        <w:t xml:space="preserve">The following record-keeping and compliance enforcement requirements apply:</w:t>
      </w:r>
    </w:p>
    <w:p>
      <w:pPr>
        <w:pStyle w:val="ListParagraph"/>
        <w:numPr>
          <w:ilvl w:val="0"/>
          <w:numId w:val="2"/>
        </w:numPr>
        <w:spacing w:after="40" w:before="40"/>
      </w:pPr>
      <w:r>
        <w:rPr>
          <w:rFonts w:ascii="Arial" w:cs="Arial" w:eastAsia="Arial" w:hAnsi="Arial"/>
          <w:color w:val="1A2340"/>
          <w:sz w:val="22"/>
          <w:szCs w:val="22"/>
        </w:rPr>
        <w:t xml:space="preserve">Record Retention: Training completion records shall be maintained for a minimum of 3 years.</w:t>
      </w:r>
    </w:p>
    <w:p>
      <w:pPr>
        <w:pStyle w:val="ListParagraph"/>
        <w:numPr>
          <w:ilvl w:val="0"/>
          <w:numId w:val="2"/>
        </w:numPr>
        <w:spacing w:after="40" w:before="40"/>
      </w:pPr>
      <w:r>
        <w:rPr>
          <w:rFonts w:ascii="Arial" w:cs="Arial" w:eastAsia="Arial" w:hAnsi="Arial"/>
          <w:color w:val="1A2340"/>
          <w:sz w:val="22"/>
          <w:szCs w:val="22"/>
        </w:rPr>
        <w:t xml:space="preserve">Non-Completion Notification: HR shall be notified of all non-completions at the close of the deadline period.</w:t>
      </w:r>
    </w:p>
    <w:p>
      <w:pPr>
        <w:pStyle w:val="ListParagraph"/>
        <w:numPr>
          <w:ilvl w:val="0"/>
          <w:numId w:val="2"/>
        </w:numPr>
        <w:spacing w:after="40" w:before="40"/>
      </w:pPr>
      <w:r>
        <w:rPr>
          <w:rFonts w:ascii="Arial" w:cs="Arial" w:eastAsia="Arial" w:hAnsi="Arial"/>
          <w:color w:val="1A2340"/>
          <w:sz w:val="22"/>
          <w:szCs w:val="22"/>
        </w:rPr>
        <w:t xml:space="preserve">Escalation at 14 Days Overdue: Manager escalation is triggered for personnel who remain non-compliant 14 days after the deadline.</w:t>
      </w:r>
    </w:p>
    <w:p>
      <w:pPr>
        <w:pStyle w:val="ListParagraph"/>
        <w:numPr>
          <w:ilvl w:val="0"/>
          <w:numId w:val="2"/>
        </w:numPr>
        <w:spacing w:after="40" w:before="40"/>
      </w:pPr>
      <w:r>
        <w:rPr>
          <w:rFonts w:ascii="Arial" w:cs="Arial" w:eastAsia="Arial" w:hAnsi="Arial"/>
          <w:color w:val="1A2340"/>
          <w:sz w:val="22"/>
          <w:szCs w:val="22"/>
        </w:rPr>
        <w:t xml:space="preserve">Access Restriction at 30 Days Overdue: System access restrictions may be applied to personnel who remain non-compliant 30 days after the deadline. Exceptions require written manager approval and CISO/vCISO sign-off.</w:t>
      </w:r>
    </w:p>
    <w:p>
      <w:pPr>
        <w:pStyle w:val="ListParagraph"/>
        <w:numPr>
          <w:ilvl w:val="0"/>
          <w:numId w:val="2"/>
        </w:numPr>
        <w:spacing w:after="40" w:before="40"/>
      </w:pPr>
      <w:r>
        <w:rPr>
          <w:rFonts w:ascii="Arial" w:cs="Arial" w:eastAsia="Arial" w:hAnsi="Arial"/>
          <w:color w:val="1A2340"/>
          <w:sz w:val="22"/>
          <w:szCs w:val="22"/>
        </w:rPr>
        <w:t xml:space="preserve">Compliance Rate KPI: The target completion rate is 95% of all in-scope personnel within the defined deadline.</w:t>
      </w:r>
    </w:p>
    <w:p>
      <w:pPr>
        <w:spacing w:after="80" w:before="80"/>
      </w:pPr>
      <w:r>
        <w:t xml:space="preserve"/>
      </w:r>
    </w:p>
    <w:p>
      <w:pPr>
        <w:spacing w:after="100" w:before="280"/>
      </w:pPr>
      <w:r>
        <w:rPr>
          <w:rFonts w:ascii="Arial" w:cs="Arial" w:eastAsia="Arial" w:hAnsi="Arial"/>
          <w:b/>
          <w:bCs/>
          <w:color w:val="152168"/>
          <w:sz w:val="24"/>
          <w:szCs w:val="24"/>
        </w:rPr>
        <w:t xml:space="preserve">6.7  Program Effectiveness Measurement</w:t>
      </w:r>
    </w:p>
    <w:p>
      <w:pPr>
        <w:spacing w:after="100" w:before="80"/>
      </w:pPr>
      <w:r>
        <w:rPr>
          <w:rFonts w:ascii="Arial" w:cs="Arial" w:eastAsia="Arial" w:hAnsi="Arial"/>
          <w:color w:val="1A2340"/>
          <w:sz w:val="22"/>
          <w:szCs w:val="22"/>
        </w:rPr>
        <w:t xml:space="preserve">The Security Awareness and Training Program shall be measured against the following Key Performance Indicators (KPIs):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KPI</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w:t>
            </w:r>
          </w:p>
        </w:tc>
        <w:tc>
          <w:tcPr>
            <w:tcW w:type="dxa" w:w="4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Measurement Source</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training completion rate</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95% within deadline</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LMS / HR records</w:t>
            </w:r>
          </w:p>
        </w:tc>
      </w:tr>
      <w:tr>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click rate</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5%</w:t>
            </w:r>
          </w:p>
        </w:tc>
        <w:tc>
          <w:tcPr>
            <w:tcW w:type="dxa" w:w="4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platform</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report rate</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20%</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platform</w:t>
            </w:r>
          </w:p>
        </w:tc>
      </w:tr>
      <w:tr>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Repeat phishing clicker rate (3+ in 12 months)</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2%</w:t>
            </w:r>
          </w:p>
        </w:tc>
        <w:tc>
          <w:tcPr>
            <w:tcW w:type="dxa" w:w="4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platform</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Post-training assessment average score</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80%</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LMS / training platform</w:t>
            </w:r>
          </w:p>
        </w:tc>
      </w:tr>
      <w:tr>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Incidents attributable to human error</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Year-over-year reduction</w:t>
            </w:r>
          </w:p>
        </w:tc>
        <w:tc>
          <w:tcPr>
            <w:tcW w:type="dxa" w:w="4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Incident register</w:t>
            </w:r>
          </w:p>
        </w:tc>
      </w:tr>
    </w:tbl>
    <w:p>
      <w:pPr>
        <w:spacing w:after="80" w:before="80"/>
      </w:pPr>
      <w:r>
        <w:t xml:space="preserve"/>
      </w:r>
    </w:p>
    <w:p>
      <w:pPr>
        <w:spacing w:after="100" w:before="80"/>
      </w:pPr>
      <w:r>
        <w:rPr>
          <w:rFonts w:ascii="Arial" w:cs="Arial" w:eastAsia="Arial" w:hAnsi="Arial"/>
          <w:color w:val="1A2340"/>
          <w:sz w:val="22"/>
          <w:szCs w:val="22"/>
        </w:rPr>
        <w:t xml:space="preserve">An annual program review shall be conducted by the CISO/vCISO to assess KPI performance, review training content relevance, and update the program for the following year. Staff feedback surveys shall be conducted to gather input on training quality and relevance.</w:t>
      </w:r>
    </w:p>
    <w:p>
      <w:pPr>
        <w:spacing w:after="80" w:before="80"/>
      </w:pPr>
      <w:r>
        <w:t xml:space="preserve"/>
      </w:r>
    </w:p>
    <w:p>
      <w:pPr>
        <w:spacing w:after="100" w:before="280"/>
      </w:pPr>
      <w:r>
        <w:rPr>
          <w:rFonts w:ascii="Arial" w:cs="Arial" w:eastAsia="Arial" w:hAnsi="Arial"/>
          <w:b/>
          <w:bCs/>
          <w:color w:val="152168"/>
          <w:sz w:val="24"/>
          <w:szCs w:val="24"/>
        </w:rPr>
        <w:t xml:space="preserve">6.8  Security Culture Initiatives</w:t>
      </w:r>
    </w:p>
    <w:p>
      <w:pPr>
        <w:spacing w:after="100" w:before="80"/>
      </w:pPr>
      <w:r>
        <w:rPr>
          <w:rFonts w:ascii="Arial" w:cs="Arial" w:eastAsia="Arial" w:hAnsi="Arial"/>
          <w:color w:val="1A2340"/>
          <w:sz w:val="22"/>
          <w:szCs w:val="22"/>
        </w:rPr>
        <w:t xml:space="preserve">Beyond mandatory training, [ORGANIZATION NAME] will foster a positive security culture through:</w:t>
      </w:r>
    </w:p>
    <w:p>
      <w:pPr>
        <w:pStyle w:val="ListParagraph"/>
        <w:numPr>
          <w:ilvl w:val="0"/>
          <w:numId w:val="2"/>
        </w:numPr>
        <w:spacing w:after="40" w:before="40"/>
      </w:pPr>
      <w:r>
        <w:rPr>
          <w:rFonts w:ascii="Arial" w:cs="Arial" w:eastAsia="Arial" w:hAnsi="Arial"/>
          <w:color w:val="1A2340"/>
          <w:sz w:val="22"/>
          <w:szCs w:val="22"/>
        </w:rPr>
        <w:t xml:space="preserve">Recognition for Reporting: Personnel who report phishing attempts (real or simulated) shall be recognized through an internal acknowledgement program.</w:t>
      </w:r>
    </w:p>
    <w:p>
      <w:pPr>
        <w:pStyle w:val="ListParagraph"/>
        <w:numPr>
          <w:ilvl w:val="0"/>
          <w:numId w:val="2"/>
        </w:numPr>
        <w:spacing w:after="40" w:before="40"/>
      </w:pPr>
      <w:r>
        <w:rPr>
          <w:rFonts w:ascii="Arial" w:cs="Arial" w:eastAsia="Arial" w:hAnsi="Arial"/>
          <w:color w:val="1A2340"/>
          <w:sz w:val="22"/>
          <w:szCs w:val="22"/>
        </w:rPr>
        <w:t xml:space="preserve">Security Champion Program: Volunteer Security Champions within each business unit will receive additional training and serve as department-level security contacts.</w:t>
      </w:r>
    </w:p>
    <w:p>
      <w:pPr>
        <w:pStyle w:val="ListParagraph"/>
        <w:numPr>
          <w:ilvl w:val="0"/>
          <w:numId w:val="2"/>
        </w:numPr>
        <w:spacing w:after="40" w:before="40"/>
      </w:pPr>
      <w:r>
        <w:rPr>
          <w:rFonts w:ascii="Arial" w:cs="Arial" w:eastAsia="Arial" w:hAnsi="Arial"/>
          <w:color w:val="1A2340"/>
          <w:sz w:val="22"/>
          <w:szCs w:val="22"/>
        </w:rPr>
        <w:t xml:space="preserve">Lunch-and-Learn Events: Optional informal training sessions on security topics of interest, scheduled quarterly or as needed.</w:t>
      </w:r>
    </w:p>
    <w:p>
      <w:pPr>
        <w:pStyle w:val="ListParagraph"/>
        <w:numPr>
          <w:ilvl w:val="0"/>
          <w:numId w:val="2"/>
        </w:numPr>
        <w:spacing w:after="40" w:before="40"/>
      </w:pPr>
      <w:r>
        <w:rPr>
          <w:rFonts w:ascii="Arial" w:cs="Arial" w:eastAsia="Arial" w:hAnsi="Arial"/>
          <w:color w:val="1A2340"/>
          <w:sz w:val="22"/>
          <w:szCs w:val="22"/>
        </w:rPr>
        <w:t xml:space="preserve">Security Awareness Week: Annual participation in a security awareness week or equivalent event, with themed activities and communications.</w:t>
      </w:r>
    </w:p>
    <w:p>
      <w:r>
        <w:br w:type="page"/>
      </w:r>
    </w:p>
    <w:p>
      <w:pPr>
        <w:pBdr>
          <w:bottom w:val="single" w:color="07B4D9" w:sz="6" w:space="4"/>
        </w:pBdr>
        <w:spacing w:after="120" w:before="360"/>
      </w:pPr>
      <w:r>
        <w:rPr>
          <w:rFonts w:ascii="Arial" w:cs="Arial" w:eastAsia="Arial" w:hAnsi="Arial"/>
          <w:b/>
          <w:bCs/>
          <w:color w:val="152168"/>
          <w:sz w:val="28"/>
          <w:szCs w:val="28"/>
        </w:rPr>
        <w:t xml:space="preserve">7. Compliance and Enforcement</w:t>
      </w:r>
    </w:p>
    <w:p>
      <w:pPr>
        <w:spacing w:after="100" w:before="80"/>
      </w:pPr>
      <w:r>
        <w:rPr>
          <w:rFonts w:ascii="Arial" w:cs="Arial" w:eastAsia="Arial" w:hAnsi="Arial"/>
          <w:color w:val="1A2340"/>
          <w:sz w:val="22"/>
          <w:szCs w:val="22"/>
        </w:rPr>
        <w:t xml:space="preserve">Completion of mandatory security training is a condition of employment and system access at [ORGANIZATION NAME].</w:t>
      </w:r>
    </w:p>
    <w:p>
      <w:pPr>
        <w:spacing w:after="60" w:before="40"/>
      </w:pPr>
      <w:r>
        <w:t xml:space="preserve"/>
      </w:r>
    </w:p>
    <w:p>
      <w:pPr>
        <w:spacing w:after="100" w:before="80"/>
      </w:pPr>
      <w:r>
        <w:rPr>
          <w:rFonts w:ascii="Arial" w:cs="Arial" w:eastAsia="Arial" w:hAnsi="Arial"/>
          <w:color w:val="1A2340"/>
          <w:sz w:val="22"/>
          <w:szCs w:val="22"/>
        </w:rPr>
        <w:t xml:space="preserve">Non-compliance shall be addressed as follows:</w:t>
      </w:r>
    </w:p>
    <w:p>
      <w:pPr>
        <w:pStyle w:val="ListParagraph"/>
        <w:numPr>
          <w:ilvl w:val="0"/>
          <w:numId w:val="2"/>
        </w:numPr>
        <w:spacing w:after="40" w:before="40"/>
      </w:pPr>
      <w:r>
        <w:rPr>
          <w:rFonts w:ascii="Arial" w:cs="Arial" w:eastAsia="Arial" w:hAnsi="Arial"/>
          <w:color w:val="1A2340"/>
          <w:sz w:val="22"/>
          <w:szCs w:val="22"/>
        </w:rPr>
        <w:t xml:space="preserve">Individuals who fail to complete mandatory training by the deadline will be subject to escalating notification and, ultimately, temporary restriction of system access.</w:t>
      </w:r>
    </w:p>
    <w:p>
      <w:pPr>
        <w:pStyle w:val="ListParagraph"/>
        <w:numPr>
          <w:ilvl w:val="0"/>
          <w:numId w:val="2"/>
        </w:numPr>
        <w:spacing w:after="40" w:before="40"/>
      </w:pPr>
      <w:r>
        <w:rPr>
          <w:rFonts w:ascii="Arial" w:cs="Arial" w:eastAsia="Arial" w:hAnsi="Arial"/>
          <w:color w:val="1A2340"/>
          <w:sz w:val="22"/>
          <w:szCs w:val="22"/>
        </w:rPr>
        <w:t xml:space="preserve">Persistent non-compliance (30+ days overdue without approved exception) will be treated as a disciplinary matter and managed under HR policy.</w:t>
      </w:r>
    </w:p>
    <w:p>
      <w:pPr>
        <w:pStyle w:val="ListParagraph"/>
        <w:numPr>
          <w:ilvl w:val="0"/>
          <w:numId w:val="2"/>
        </w:numPr>
        <w:spacing w:after="40" w:before="40"/>
      </w:pPr>
      <w:r>
        <w:rPr>
          <w:rFonts w:ascii="Arial" w:cs="Arial" w:eastAsia="Arial" w:hAnsi="Arial"/>
          <w:color w:val="1A2340"/>
          <w:sz w:val="22"/>
          <w:szCs w:val="22"/>
        </w:rPr>
        <w:t xml:space="preserve">Personnel with approved exceptions must complete training within the approved extended timeframe and obtain written confirmation from their manager and the CISO/vCISO.</w:t>
      </w:r>
    </w:p>
    <w:p>
      <w:pPr>
        <w:pStyle w:val="ListParagraph"/>
        <w:numPr>
          <w:ilvl w:val="0"/>
          <w:numId w:val="2"/>
        </w:numPr>
        <w:spacing w:after="40" w:before="40"/>
      </w:pPr>
      <w:r>
        <w:rPr>
          <w:rFonts w:ascii="Arial" w:cs="Arial" w:eastAsia="Arial" w:hAnsi="Arial"/>
          <w:color w:val="1A2340"/>
          <w:sz w:val="22"/>
          <w:szCs w:val="22"/>
        </w:rPr>
        <w:t xml:space="preserve">Contractors and third parties who fail to meet training requirements may have their access suspended pending completion.</w:t>
      </w:r>
    </w:p>
    <w:p>
      <w:pPr>
        <w:spacing w:after="60" w:before="60"/>
      </w:pPr>
      <w:r>
        <w:t xml:space="preserve"/>
      </w:r>
    </w:p>
    <w:p>
      <w:pPr>
        <w:spacing w:after="100" w:before="80"/>
      </w:pPr>
      <w:r>
        <w:rPr>
          <w:rFonts w:ascii="Arial" w:cs="Arial" w:eastAsia="Arial" w:hAnsi="Arial"/>
          <w:color w:val="1A2340"/>
          <w:sz w:val="22"/>
          <w:szCs w:val="22"/>
        </w:rPr>
        <w:t xml:space="preserve">Violations of this policy that contribute to a security incident may be subject to additional disciplinary action, up to and including termination of employment or contract, in accordance with applicable employment law.</w:t>
      </w:r>
    </w:p>
    <w:p>
      <w:pPr>
        <w:pBdr>
          <w:bottom w:val="single" w:color="07B4D9" w:sz="6" w:space="4"/>
        </w:pBdr>
        <w:spacing w:after="120" w:before="360"/>
      </w:pPr>
      <w:r>
        <w:rPr>
          <w:rFonts w:ascii="Arial" w:cs="Arial" w:eastAsia="Arial" w:hAnsi="Arial"/>
          <w:b/>
          <w:bCs/>
          <w:color w:val="152168"/>
          <w:sz w:val="28"/>
          <w:szCs w:val="28"/>
        </w:rPr>
        <w:t xml:space="preserve">8. Related Documents</w:t>
      </w:r>
    </w:p>
    <w:p>
      <w:pPr>
        <w:pStyle w:val="ListParagraph"/>
        <w:numPr>
          <w:ilvl w:val="0"/>
          <w:numId w:val="2"/>
        </w:numPr>
        <w:spacing w:after="40" w:before="40"/>
      </w:pPr>
      <w:r>
        <w:rPr>
          <w:rFonts w:ascii="Arial" w:cs="Arial" w:eastAsia="Arial" w:hAnsi="Arial"/>
          <w:color w:val="1A2340"/>
          <w:sz w:val="22"/>
          <w:szCs w:val="22"/>
        </w:rPr>
        <w:t xml:space="preserve">Acceptable Use Policy</w:t>
      </w:r>
    </w:p>
    <w:p>
      <w:pPr>
        <w:pStyle w:val="ListParagraph"/>
        <w:numPr>
          <w:ilvl w:val="0"/>
          <w:numId w:val="2"/>
        </w:numPr>
        <w:spacing w:after="40" w:before="40"/>
      </w:pPr>
      <w:r>
        <w:rPr>
          <w:rFonts w:ascii="Arial" w:cs="Arial" w:eastAsia="Arial" w:hAnsi="Arial"/>
          <w:color w:val="1A2340"/>
          <w:sz w:val="22"/>
          <w:szCs w:val="22"/>
        </w:rPr>
        <w:t xml:space="preserve">AI Governance Policy</w:t>
      </w:r>
    </w:p>
    <w:p>
      <w:pPr>
        <w:pStyle w:val="ListParagraph"/>
        <w:numPr>
          <w:ilvl w:val="0"/>
          <w:numId w:val="2"/>
        </w:numPr>
        <w:spacing w:after="40" w:before="40"/>
      </w:pPr>
      <w:r>
        <w:rPr>
          <w:rFonts w:ascii="Arial" w:cs="Arial" w:eastAsia="Arial" w:hAnsi="Arial"/>
          <w:color w:val="1A2340"/>
          <w:sz w:val="22"/>
          <w:szCs w:val="22"/>
        </w:rPr>
        <w:t xml:space="preserve">Incident Response Plan</w:t>
      </w:r>
    </w:p>
    <w:p>
      <w:pPr>
        <w:pStyle w:val="ListParagraph"/>
        <w:numPr>
          <w:ilvl w:val="0"/>
          <w:numId w:val="2"/>
        </w:numPr>
        <w:spacing w:after="40" w:before="40"/>
      </w:pPr>
      <w:r>
        <w:rPr>
          <w:rFonts w:ascii="Arial" w:cs="Arial" w:eastAsia="Arial" w:hAnsi="Arial"/>
          <w:color w:val="1A2340"/>
          <w:sz w:val="22"/>
          <w:szCs w:val="22"/>
        </w:rPr>
        <w:t xml:space="preserve">Information Classification Policy</w:t>
      </w:r>
    </w:p>
    <w:p>
      <w:pPr>
        <w:pStyle w:val="ListParagraph"/>
        <w:numPr>
          <w:ilvl w:val="0"/>
          <w:numId w:val="2"/>
        </w:numPr>
        <w:spacing w:after="40" w:before="40"/>
      </w:pPr>
      <w:r>
        <w:rPr>
          <w:rFonts w:ascii="Arial" w:cs="Arial" w:eastAsia="Arial" w:hAnsi="Arial"/>
          <w:color w:val="1A2340"/>
          <w:sz w:val="22"/>
          <w:szCs w:val="22"/>
        </w:rPr>
        <w:t xml:space="preserve">Remote Work Security Policy</w:t>
      </w:r>
    </w:p>
    <w:p>
      <w:pPr>
        <w:pStyle w:val="ListParagraph"/>
        <w:numPr>
          <w:ilvl w:val="0"/>
          <w:numId w:val="2"/>
        </w:numPr>
        <w:spacing w:after="40" w:before="40"/>
      </w:pPr>
      <w:r>
        <w:rPr>
          <w:rFonts w:ascii="Arial" w:cs="Arial" w:eastAsia="Arial" w:hAnsi="Arial"/>
          <w:color w:val="1A2340"/>
          <w:sz w:val="22"/>
          <w:szCs w:val="22"/>
        </w:rPr>
        <w:t xml:space="preserve">Mobile Device Security Policy</w:t>
      </w:r>
    </w:p>
    <w:p>
      <w:pPr>
        <w:pStyle w:val="ListParagraph"/>
        <w:numPr>
          <w:ilvl w:val="0"/>
          <w:numId w:val="2"/>
        </w:numPr>
        <w:spacing w:after="40" w:before="40"/>
      </w:pPr>
      <w:r>
        <w:rPr>
          <w:rFonts w:ascii="Arial" w:cs="Arial" w:eastAsia="Arial" w:hAnsi="Arial"/>
          <w:color w:val="1A2340"/>
          <w:sz w:val="22"/>
          <w:szCs w:val="22"/>
        </w:rPr>
        <w:t xml:space="preserve">Password and Authentication Policy</w:t>
      </w:r>
    </w:p>
    <w:p>
      <w:pPr>
        <w:pStyle w:val="ListParagraph"/>
        <w:numPr>
          <w:ilvl w:val="0"/>
          <w:numId w:val="2"/>
        </w:numPr>
        <w:spacing w:after="40" w:before="40"/>
      </w:pPr>
      <w:r>
        <w:rPr>
          <w:rFonts w:ascii="Arial" w:cs="Arial" w:eastAsia="Arial" w:hAnsi="Arial"/>
          <w:color w:val="1A2340"/>
          <w:sz w:val="22"/>
          <w:szCs w:val="22"/>
        </w:rPr>
        <w:t xml:space="preserve">Third-Party Risk Management Policy</w:t>
      </w:r>
    </w:p>
    <w:p>
      <w:pPr>
        <w:pBdr>
          <w:bottom w:val="single" w:color="07B4D9" w:sz="6" w:space="4"/>
        </w:pBdr>
        <w:spacing w:after="120" w:before="360"/>
      </w:pPr>
      <w:r>
        <w:rPr>
          <w:rFonts w:ascii="Arial" w:cs="Arial" w:eastAsia="Arial" w:hAnsi="Arial"/>
          <w:b/>
          <w:bCs/>
          <w:color w:val="152168"/>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Version</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Date</w:t>
            </w:r>
          </w:p>
        </w:tc>
        <w:tc>
          <w:tcPr>
            <w:tcW w:type="dxa" w:w="25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Author</w:t>
            </w:r>
          </w:p>
        </w:tc>
        <w:tc>
          <w:tcPr>
            <w:tcW w:type="dxa" w:w="36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 of Changes</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1.0</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[DATE]</w:t>
            </w:r>
          </w:p>
        </w:tc>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[AUTHOR]</w:t>
            </w:r>
          </w:p>
        </w:tc>
        <w:tc>
          <w:tcPr>
            <w:tcW w:type="dxa" w:w="3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Initial draft</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3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3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bl>
    <w:p>
      <w:pPr>
        <w:spacing w:after="80" w:before="80"/>
      </w:pPr>
      <w:r>
        <w:t xml:space="preserve"/>
      </w:r>
    </w:p>
    <w:p>
      <w:pPr>
        <w:spacing w:after="100" w:before="80"/>
      </w:pPr>
      <w:r>
        <w:rPr>
          <w:rFonts w:ascii="Arial" w:cs="Arial" w:eastAsia="Arial" w:hAnsi="Arial"/>
          <w:color w:val="1A2340"/>
          <w:sz w:val="22"/>
          <w:szCs w:val="22"/>
        </w:rPr>
        <w:t xml:space="preserve">This policy must be reviewed at least annually, or following: a significant change in organizational structure, a major security incident, changes to applicable legal or regulatory requirements, or significant changes to the threat landscape.</w:t>
      </w:r>
    </w:p>
    <w:p>
      <w:r>
        <w:br w:type="page"/>
      </w:r>
    </w:p>
    <w:p>
      <w:pPr>
        <w:pBdr>
          <w:bottom w:val="single" w:color="07B4D9" w:sz="6" w:space="4"/>
        </w:pBdr>
        <w:spacing w:after="120" w:before="360"/>
      </w:pPr>
      <w:r>
        <w:rPr>
          <w:rFonts w:ascii="Arial" w:cs="Arial" w:eastAsia="Arial" w:hAnsi="Arial"/>
          <w:b/>
          <w:bCs/>
          <w:color w:val="152168"/>
          <w:sz w:val="28"/>
          <w:szCs w:val="28"/>
        </w:rPr>
        <w:t xml:space="preserve">Appendix A: Annual Training Calendar Template</w:t>
      </w:r>
    </w:p>
    <w:p>
      <w:pPr>
        <w:spacing w:after="100" w:before="80"/>
      </w:pPr>
      <w:r>
        <w:rPr>
          <w:rFonts w:ascii="Arial" w:cs="Arial" w:eastAsia="Arial" w:hAnsi="Arial"/>
          <w:color w:val="1A2340"/>
          <w:sz w:val="22"/>
          <w:szCs w:val="22"/>
        </w:rPr>
        <w:t xml:space="preserve">Use this template to plan and communicate the annual security awareness and training schedule.</w:t>
      </w:r>
    </w:p>
    <w:p>
      <w:pPr>
        <w:spacing w:after="6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1600"/>
        <w:gridCol w:w="1400"/>
        <w:gridCol w:w="1400"/>
        <w:gridCol w:w="60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Month</w:t>
            </w:r>
          </w:p>
        </w:tc>
        <w:tc>
          <w:tcPr>
            <w:tcW w:type="dxa" w:w="2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Activity</w:t>
            </w:r>
          </w:p>
        </w:tc>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Audience</w:t>
            </w:r>
          </w:p>
        </w:tc>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w:t>
            </w:r>
          </w:p>
        </w:tc>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Owner</w:t>
            </w:r>
          </w:p>
        </w:tc>
        <w:tc>
          <w:tcPr>
            <w:tcW w:type="dxa" w:w="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Status</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January</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Security Awareness Training Launch</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LMS</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January</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 Campaign 1</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Simulation Platform</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February</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Bulletin - Password Security</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 Intranet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March</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Bulletin - Phishing Trends</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 Intranet</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April</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 Campaign 2</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Simulation Platform</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April</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Role-Based Training - Finance/AP</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Finance Team</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LMS / Live</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May</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Bulletin - Remote Work Security</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 Intranet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June</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Lunch-and-Learn - AI Tool Safety</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Live / Recorded</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July</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 Campaign 3</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Simulation Platform</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July</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Role-Based Training - IT/Sysadmins</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 Staff</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LMS / Live</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August</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Bulletin - Business Travel Security</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 Intranet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September</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Awareness Training Compliance Review</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HR + Managers</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Report</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October</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Awareness Month - Events</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Mixed</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October</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Phishing Simulation - Campaign 4</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Simulation Platform</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November</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Bulletin - Holiday Season Scams</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 Intranet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December</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Program Review + Next Year Plan</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 / HR</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Report</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CISO/vCISO</w:t>
            </w:r>
          </w:p>
        </w:tc>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r>
    </w:tbl>
    <w:p>
      <w:r>
        <w:br w:type="page"/>
      </w:r>
    </w:p>
    <w:p>
      <w:pPr>
        <w:pBdr>
          <w:bottom w:val="single" w:color="07B4D9" w:sz="6" w:space="4"/>
        </w:pBdr>
        <w:spacing w:after="120" w:before="360"/>
      </w:pPr>
      <w:r>
        <w:rPr>
          <w:rFonts w:ascii="Arial" w:cs="Arial" w:eastAsia="Arial" w:hAnsi="Arial"/>
          <w:b/>
          <w:bCs/>
          <w:color w:val="152168"/>
          <w:sz w:val="28"/>
          <w:szCs w:val="28"/>
        </w:rPr>
        <w:t xml:space="preserve">Appendix B: Phishing Simulation Program Plan Template</w:t>
      </w:r>
    </w:p>
    <w:p>
      <w:pPr>
        <w:spacing w:after="100" w:before="80"/>
      </w:pPr>
      <w:r>
        <w:rPr>
          <w:rFonts w:ascii="Arial" w:cs="Arial" w:eastAsia="Arial" w:hAnsi="Arial"/>
          <w:color w:val="1A2340"/>
          <w:sz w:val="22"/>
          <w:szCs w:val="22"/>
        </w:rPr>
        <w:t xml:space="preserve">Complete the following template to document the quarterly phishing simulation plan for the year.</w:t>
      </w:r>
    </w:p>
    <w:p>
      <w:pPr>
        <w:spacing w:after="6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1400"/>
        <w:gridCol w:w="1400"/>
        <w:gridCol w:w="1200"/>
        <w:gridCol w:w="1360"/>
      </w:tblGrid>
      <w:tr>
        <w:trPr>
          <w:tblHeader/>
        </w:trPr>
        <w:tc>
          <w:tcPr>
            <w:tcW w:type="dxa" w:w="1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Campaign</w:t>
            </w:r>
          </w:p>
        </w:tc>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 Launch</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Scenario Theme</w:t>
            </w:r>
          </w:p>
        </w:tc>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Difficulty</w:t>
            </w:r>
          </w:p>
        </w:tc>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Audience</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Click Target</w:t>
            </w:r>
          </w:p>
        </w:tc>
        <w:tc>
          <w:tcPr>
            <w:tcW w:type="dxa" w:w="1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Report Target</w:t>
            </w:r>
          </w:p>
        </w:tc>
      </w:tr>
      <w:tr>
        <w:tc>
          <w:tcPr>
            <w:tcW w:type="dxa" w:w="1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Q1</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Generic credential phish</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Beginner</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15%</w:t>
            </w:r>
          </w:p>
        </w:tc>
        <w:tc>
          <w:tcPr>
            <w:tcW w:type="dxa" w:w="1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10%</w:t>
            </w:r>
          </w:p>
        </w:tc>
      </w:tr>
      <w:tr>
        <w:tc>
          <w:tcPr>
            <w:tcW w:type="dxa" w:w="1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Q2</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Vendor impersonation</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Intermediate</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10%</w:t>
            </w:r>
          </w:p>
        </w:tc>
        <w:tc>
          <w:tcPr>
            <w:tcW w:type="dxa" w:w="1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15%</w:t>
            </w:r>
          </w:p>
        </w:tc>
      </w:tr>
      <w:tr>
        <w:tc>
          <w:tcPr>
            <w:tcW w:type="dxa" w:w="1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Q3</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IT helpdesk / MFA fatigue</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Intermediate-Advanced</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8%</w:t>
            </w:r>
          </w:p>
        </w:tc>
        <w:tc>
          <w:tcPr>
            <w:tcW w:type="dxa" w:w="1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18%</w:t>
            </w:r>
          </w:p>
        </w:tc>
      </w:tr>
      <w:tr>
        <w:tc>
          <w:tcPr>
            <w:tcW w:type="dxa" w:w="1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Q4</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Executive spear phish</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Advanced</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All personnel</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&lt; 5%</w:t>
            </w:r>
          </w:p>
        </w:tc>
        <w:tc>
          <w:tcPr>
            <w:tcW w:type="dxa" w:w="1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&gt; 20%</w:t>
            </w:r>
          </w:p>
        </w:tc>
      </w:tr>
    </w:tbl>
    <w:p>
      <w:pPr>
        <w:spacing w:after="80" w:before="80"/>
      </w:pPr>
      <w:r>
        <w:t xml:space="preserve"/>
      </w:r>
    </w:p>
    <w:p>
      <w:pPr>
        <w:spacing w:after="100" w:before="280"/>
      </w:pPr>
      <w:r>
        <w:rPr>
          <w:rFonts w:ascii="Arial" w:cs="Arial" w:eastAsia="Arial" w:hAnsi="Arial"/>
          <w:b/>
          <w:bCs/>
          <w:color w:val="152168"/>
          <w:sz w:val="24"/>
          <w:szCs w:val="24"/>
        </w:rPr>
        <w:t xml:space="preserve">Post-Campaign Actions</w:t>
      </w:r>
    </w:p>
    <w:p>
      <w:pPr>
        <w:pStyle w:val="ListParagraph"/>
        <w:numPr>
          <w:ilvl w:val="0"/>
          <w:numId w:val="2"/>
        </w:numPr>
        <w:spacing w:after="40" w:before="40"/>
      </w:pPr>
      <w:r>
        <w:rPr>
          <w:rFonts w:ascii="Arial" w:cs="Arial" w:eastAsia="Arial" w:hAnsi="Arial"/>
          <w:color w:val="1A2340"/>
          <w:sz w:val="22"/>
          <w:szCs w:val="22"/>
        </w:rPr>
        <w:t xml:space="preserve">Within 24 hours of campaign close: Deploy just-in-time training to all personnel who clicked.</w:t>
      </w:r>
    </w:p>
    <w:p>
      <w:pPr>
        <w:pStyle w:val="ListParagraph"/>
        <w:numPr>
          <w:ilvl w:val="0"/>
          <w:numId w:val="2"/>
        </w:numPr>
        <w:spacing w:after="40" w:before="40"/>
      </w:pPr>
      <w:r>
        <w:rPr>
          <w:rFonts w:ascii="Arial" w:cs="Arial" w:eastAsia="Arial" w:hAnsi="Arial"/>
          <w:color w:val="1A2340"/>
          <w:sz w:val="22"/>
          <w:szCs w:val="22"/>
        </w:rPr>
        <w:t xml:space="preserve">Within 5 business days: Compile click and report rate data; notify managers of individuals who require follow-up.</w:t>
      </w:r>
    </w:p>
    <w:p>
      <w:pPr>
        <w:pStyle w:val="ListParagraph"/>
        <w:numPr>
          <w:ilvl w:val="0"/>
          <w:numId w:val="2"/>
        </w:numPr>
        <w:spacing w:after="40" w:before="40"/>
      </w:pPr>
      <w:r>
        <w:rPr>
          <w:rFonts w:ascii="Arial" w:cs="Arial" w:eastAsia="Arial" w:hAnsi="Arial"/>
          <w:color w:val="1A2340"/>
          <w:sz w:val="22"/>
          <w:szCs w:val="22"/>
        </w:rPr>
        <w:t xml:space="preserve">Within 10 business days: Initiate progressive discipline process for repeat clickers (3+ failures in 12 months).</w:t>
      </w:r>
    </w:p>
    <w:p>
      <w:pPr>
        <w:pStyle w:val="ListParagraph"/>
        <w:numPr>
          <w:ilvl w:val="0"/>
          <w:numId w:val="2"/>
        </w:numPr>
        <w:spacing w:after="40" w:before="40"/>
      </w:pPr>
      <w:r>
        <w:rPr>
          <w:rFonts w:ascii="Arial" w:cs="Arial" w:eastAsia="Arial" w:hAnsi="Arial"/>
          <w:color w:val="1A2340"/>
          <w:sz w:val="22"/>
          <w:szCs w:val="22"/>
        </w:rPr>
        <w:t xml:space="preserve">Within 30 days: Provide campaign summary to CISO/vCISO including trend comparison vs. prior campaign.</w:t>
      </w:r>
    </w:p>
    <w:p>
      <w:r>
        <w:br w:type="page"/>
      </w:r>
    </w:p>
    <w:p>
      <w:pPr>
        <w:pBdr>
          <w:bottom w:val="single" w:color="07B4D9" w:sz="6" w:space="4"/>
        </w:pBdr>
        <w:spacing w:after="120" w:before="360"/>
      </w:pPr>
      <w:r>
        <w:rPr>
          <w:rFonts w:ascii="Arial" w:cs="Arial" w:eastAsia="Arial" w:hAnsi="Arial"/>
          <w:b/>
          <w:bCs/>
          <w:color w:val="152168"/>
          <w:sz w:val="28"/>
          <w:szCs w:val="28"/>
        </w:rPr>
        <w:t xml:space="preserve">Appendix C: Training Completion Tracking Template</w:t>
      </w:r>
    </w:p>
    <w:p>
      <w:pPr>
        <w:spacing w:after="100" w:before="80"/>
      </w:pPr>
      <w:r>
        <w:rPr>
          <w:rFonts w:ascii="Arial" w:cs="Arial" w:eastAsia="Arial" w:hAnsi="Arial"/>
          <w:color w:val="1A2340"/>
          <w:sz w:val="22"/>
          <w:szCs w:val="22"/>
        </w:rPr>
        <w:t xml:space="preserve">Maintain this in HR or the LMS system with access restricted to authorized personnel.</w:t>
      </w:r>
    </w:p>
    <w:p>
      <w:pPr>
        <w:spacing w:after="6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600"/>
        <w:gridCol w:w="1100"/>
        <w:gridCol w:w="1100"/>
        <w:gridCol w:w="800"/>
        <w:gridCol w:w="560"/>
      </w:tblGrid>
      <w:tr>
        <w:trPr>
          <w:tblHeader/>
        </w:trPr>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Employee Name</w:t>
            </w:r>
          </w:p>
        </w:tc>
        <w:tc>
          <w:tcPr>
            <w:tcW w:type="dxa" w:w="1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Department</w:t>
            </w:r>
          </w:p>
        </w:tc>
        <w:tc>
          <w:tcPr>
            <w:tcW w:type="dxa" w:w="1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Manager</w:t>
            </w:r>
          </w:p>
        </w:tc>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Training Module</w:t>
            </w:r>
          </w:p>
        </w:tc>
        <w:tc>
          <w:tcPr>
            <w:tcW w:type="dxa" w:w="1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Required By</w:t>
            </w:r>
          </w:p>
        </w:tc>
        <w:tc>
          <w:tcPr>
            <w:tcW w:type="dxa" w:w="1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Completed</w:t>
            </w:r>
          </w:p>
        </w:tc>
        <w:tc>
          <w:tcPr>
            <w:tcW w:type="dxa" w:w="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Score</w:t>
            </w:r>
          </w:p>
        </w:tc>
        <w:tc>
          <w:tcPr>
            <w:tcW w:type="dxa" w:w="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Status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[Name]</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[Dept]</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[Manager]</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Awareness</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[Date]</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Pending</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[Name]</w:t>
            </w:r>
          </w:p>
        </w:tc>
        <w:tc>
          <w:tcPr>
            <w:tcW w:type="dxa" w:w="1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[Dept]</w:t>
            </w:r>
          </w:p>
        </w:tc>
        <w:tc>
          <w:tcPr>
            <w:tcW w:type="dxa" w:w="1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[Manager]</w:t>
            </w:r>
          </w:p>
        </w:tc>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 Awareness</w:t>
            </w:r>
          </w:p>
        </w:tc>
        <w:tc>
          <w:tcPr>
            <w:tcW w:type="dxa" w:w="1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[Date]</w:t>
            </w:r>
          </w:p>
        </w:tc>
        <w:tc>
          <w:tcPr>
            <w:tcW w:type="dxa" w:w="1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Pending</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[Name]</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[Dept]</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[Manager]</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New Hire Onboarding</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[Date]</w:t>
            </w:r>
          </w:p>
        </w:tc>
        <w:tc>
          <w:tcPr>
            <w:tcW w:type="dxa" w:w="1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
            </w:r>
          </w:p>
        </w:tc>
        <w:tc>
          <w:tcPr>
            <w:tcW w:type="dxa" w:w="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2"/>
              <w:bottom w:val="single" w:color="07B4D9" w:sz="4"/>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val="false"/>
                <w:iCs w:val="false"/>
                <w:color w:val="1A2340"/>
                <w:sz w:val="20"/>
                <w:szCs w:val="20"/>
              </w:rPr>
              <w:t xml:space="preserve">Status values: Pending | In Progress | Complete | Overdue (14 days) | Restricted (30 days) | Exception Approved</w:t>
            </w:r>
          </w:p>
        </w:tc>
      </w:tr>
    </w:tbl>
    <w:p>
      <w:r>
        <w:br w:type="page"/>
      </w:r>
    </w:p>
    <w:p>
      <w:pPr>
        <w:pBdr>
          <w:bottom w:val="single" w:color="07B4D9" w:sz="6" w:space="4"/>
        </w:pBdr>
        <w:spacing w:after="120" w:before="360"/>
      </w:pPr>
      <w:r>
        <w:rPr>
          <w:rFonts w:ascii="Arial" w:cs="Arial" w:eastAsia="Arial" w:hAnsi="Arial"/>
          <w:b/>
          <w:bCs/>
          <w:color w:val="152168"/>
          <w:sz w:val="28"/>
          <w:szCs w:val="28"/>
        </w:rPr>
        <w:t xml:space="preserve">Appendix D: Security Awareness Topic Schedule (12-Month Plan)</w:t>
      </w:r>
    </w:p>
    <w:p>
      <w:pPr>
        <w:spacing w:after="100" w:before="80"/>
      </w:pPr>
      <w:r>
        <w:rPr>
          <w:rFonts w:ascii="Arial" w:cs="Arial" w:eastAsia="Arial" w:hAnsi="Arial"/>
          <w:color w:val="1A2340"/>
          <w:sz w:val="22"/>
          <w:szCs w:val="22"/>
        </w:rPr>
        <w:t xml:space="preserve">Suggested monthly security bulletin topics. Update annually to reflect current threat intelligence.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Month</w:t>
            </w:r>
          </w:p>
        </w:tc>
        <w:tc>
          <w:tcPr>
            <w:tcW w:type="dxa" w:w="27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Bulletin Topic</w:t>
            </w:r>
          </w:p>
        </w:tc>
        <w:tc>
          <w:tcPr>
            <w:tcW w:type="dxa" w:w="27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Threat Context</w:t>
            </w:r>
          </w:p>
        </w:tc>
        <w:tc>
          <w:tcPr>
            <w:tcW w:type="dxa" w:w="2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January</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New Year, New Threats - Cybersecurity Resolutions</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Post-holiday threat landscape review</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infographic</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February</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Spear Phishing and Executive Impersonation</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BEC and CEO fraud trends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video</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March</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Password Hygiene and MFA Best Practices</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Credential stuffing, account takeover trends</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quiz</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April</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Data Classification and Handling Refresher</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Data loss prevention awareness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policy reminder</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May</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Protecting Sensitive Information in Email</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data loss, misaddressed email</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June</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AI Tools: What You Can and Cannot Share</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Generative AI data exposure risks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policy link</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July</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Summer Travel and Public Wi-Fi Security</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VPN use, hotspot risks</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tips card</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August</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Recognizing and Reporting Suspicious Activity</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Insider threat indicators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reporting guide</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September</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Physical Security: Clean Desk and Screen Lock</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Physical data exposure, tailgating</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audit</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October</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Security Awareness Month - Phishing Deep Dive</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CISA/NCSAM theme for the year</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Multi-channel campaign</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November</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Holiday Season Scams and Gift Card Fraud</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Seasonal BEC, vendor fraud</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finance alert</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December</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Year-End Security Reminders: Travel, Access, Devices</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Year-end access reviews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Email bulletin + checklist</w:t>
            </w:r>
          </w:p>
        </w:tc>
      </w:tr>
    </w:tbl>
    <w:p>
      <w:r>
        <w:br w:type="page"/>
      </w:r>
    </w:p>
    <w:p>
      <w:pPr>
        <w:pBdr>
          <w:bottom w:val="single" w:color="07B4D9" w:sz="6" w:space="4"/>
        </w:pBdr>
        <w:spacing w:after="120" w:before="360"/>
      </w:pPr>
      <w:r>
        <w:rPr>
          <w:rFonts w:ascii="Arial" w:cs="Arial" w:eastAsia="Arial" w:hAnsi="Arial"/>
          <w:b/>
          <w:bCs/>
          <w:color w:val="152168"/>
          <w:sz w:val="28"/>
          <w:szCs w:val="28"/>
        </w:rPr>
        <w:t xml:space="preserve">Appendix E: NIST CSF 2.0 / ISO 27001 / NIST SP 800-50 Framework Mapping</w:t>
      </w:r>
    </w:p>
    <w:p>
      <w:pPr>
        <w:spacing w:after="100" w:before="80"/>
      </w:pPr>
      <w:r>
        <w:rPr>
          <w:rFonts w:ascii="Arial" w:cs="Arial" w:eastAsia="Arial" w:hAnsi="Arial"/>
          <w:color w:val="1A2340"/>
          <w:sz w:val="22"/>
          <w:szCs w:val="22"/>
        </w:rPr>
        <w:t xml:space="preserve">The following table maps the key requirements of this policy to relevant framework controls.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2200"/>
        <w:gridCol w:w="300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Policy Section</w:t>
            </w:r>
          </w:p>
        </w:tc>
        <w:tc>
          <w:tcPr>
            <w:tcW w:type="dxa" w:w="1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NIST CSF 2.0</w:t>
            </w:r>
          </w:p>
        </w:tc>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ISO/IEC 27001:2022</w:t>
            </w:r>
          </w:p>
        </w:tc>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NIST SP 800-50 Rev 1</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6.1 Mandatory Annual Training</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PR.AT-01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2.2, 2.3, 3.1</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6.2 New Hire Onboarding</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PR.AT-01</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2.2, 3.1</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6.3 Role-Based Training</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PR.AT-02</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2.4, 3.2</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6.4 Phishing Simulation Program</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PR.AT-01, DE.AE</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 A 8.8</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2.5, 3.3</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6.5 Awareness Content Delivery</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PR.AT-01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2.3, 3.1</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6.6 Training Records and Compliance</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GV.OC, GV.PO</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 A 5.35</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2.7, 3.6</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6.7 Program Effectiveness Measurement</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GV.RM, ID.IM</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 A 5.29</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2.8, 4.1</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6.8 Security Culture Initiatives</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GV.OC, PR.AT</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 6.3</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2.1, 3.7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2"/>
              <w:bottom w:val="single" w:color="07B4D9" w:sz="4"/>
              <w:right w:val="single" w:color="07B4D9" w:sz="4"/>
            </w:tcBorders>
            <w:shd w:fill="EBF0FA" w:val="clear"/>
            <w:tcMar>
              <w:top w:type="dxa" w:w="80"/>
              <w:left w:type="dxa" w:w="160"/>
              <w:bottom w:type="dxa" w:w="80"/>
              <w:right w:type="dxa" w:w="160"/>
            </w:tcMar>
          </w:tcPr>
          <w:p>
            <w:pPr>
              <w:spacing w:after="20" w:before="20"/>
            </w:pPr>
            <w:r>
              <w:rPr>
                <w:rFonts w:ascii="Arial" w:cs="Arial" w:eastAsia="Arial" w:hAnsi="Arial"/>
                <w:i w:val="false"/>
                <w:iCs w:val="false"/>
                <w:color w:val="1A2340"/>
                <w:sz w:val="20"/>
                <w:szCs w:val="20"/>
              </w:rPr>
              <w:t xml:space="preserve">Note: Framework control references are provided as guidance only. Organizations should validate alignment against the specific version of each framework applicable to their context.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pPr>
    <w:r>
      <w:rPr>
        <w:rFonts w:ascii="Arial" w:cs="Arial" w:eastAsia="Arial" w:hAnsi="Arial"/>
        <w:color w:val="5A6A8A"/>
        <w:sz w:val="16"/>
        <w:szCs w:val="16"/>
      </w:rPr>
      <w:t xml:space="preserve">ENT-Draft-POL-Security Awareness and Training-Comprehensive-6.26  |  Security Awareness and Training Policy</w:t>
    </w:r>
    <w:r>
      <w:rPr>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2026-06-19T04:26:33.776Z</dcterms:created>
  <dcterms:modified xsi:type="dcterms:W3CDTF">2026-06-19T04:26:33.776Z</dcterms:modified>
</cp:coreProperties>
</file>

<file path=docProps/custom.xml><?xml version="1.0" encoding="utf-8"?>
<Properties xmlns="http://schemas.openxmlformats.org/officeDocument/2006/custom-properties" xmlns:vt="http://schemas.openxmlformats.org/officeDocument/2006/docPropsVTypes"/>
</file>