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2168" w:sz="4"/>
              <w:left w:val="single" w:color="07B4D9" w:sz="24"/>
              <w:bottom w:val="single" w:color="152168" w:sz="4"/>
              <w:right w:val="nil" w:color="FFFFFF" w:sz="0"/>
            </w:tcBorders>
            <w:shd w:fill="EBF0FA" w:val="clear"/>
            <w:tcMar>
              <w:top w:type="dxa" w:w="200"/>
              <w:left w:type="dxa" w:w="300"/>
              <w:bottom w:type="dxa" w:w="200"/>
              <w:right w:type="dxa" w:w="200"/>
            </w:tcMar>
          </w:tcPr>
          <w:p>
            <w:pPr>
              <w:spacing w:after="120"/>
            </w:pPr>
            <w:r>
              <w:rPr>
                <w:rFonts w:ascii="Arial" w:cs="Arial" w:eastAsia="Arial" w:hAnsi="Arial"/>
                <w:b/>
                <w:bCs/>
                <w:color w:val="152168"/>
                <w:sz w:val="48"/>
                <w:szCs w:val="48"/>
              </w:rPr>
              <w:t xml:space="preserve">Third-Party and Vendor Risk Management Policy</w:t>
            </w:r>
          </w:p>
          <w:p>
            <w:pPr>
              <w:spacing w:after="80"/>
            </w:pPr>
            <w:r>
              <w:rPr>
                <w:rFonts w:ascii="Arial" w:cs="Arial" w:eastAsia="Arial" w:hAnsi="Arial"/>
                <w:color w:val="5A6A8A"/>
                <w:sz w:val="20"/>
                <w:szCs w:val="20"/>
              </w:rPr>
              <w:t xml:space="preserve">ENT-Draft-POL-Third-Party and Vendor Risk-Comprehensive-6.26</w:t>
            </w:r>
          </w:p>
          <w:p>
            <w:pPr>
              <w:spacing w:after="0"/>
            </w:pPr>
            <w:r>
              <w:rPr>
                <w:rFonts w:ascii="Arial" w:cs="Arial" w:eastAsia="Arial" w:hAnsi="Arial"/>
                <w:color w:val="5A6A8A"/>
                <w:sz w:val="18"/>
                <w:szCs w:val="18"/>
              </w:rPr>
              <w:t xml:space="preserve">Framework refs: NIST CSF 2.0 (GV.SC)  |  ISO/IEC 27001:2022 Annex A 5.19-5.22  |  NIST SP 800-161 Rev 1</w:t>
            </w:r>
          </w:p>
        </w:tc>
      </w:tr>
    </w:tbl>
    <w:p>
      <w:pPr>
        <w:spacing w:after="60"/>
      </w:pPr>
      <w:r>
        <w:rPr>
          <w:rFonts w:ascii="Arial" w:cs="Arial" w:eastAsia="Arial" w:hAnsi="Arial"/>
          <w:color w:val="1A234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1A2340"/>
                <w:sz w:val="20"/>
                <w:szCs w:val="20"/>
              </w:rPr>
              <w:t xml:space="preserve">Classification</w:t>
            </w:r>
          </w:p>
        </w:tc>
        <w:tc>
          <w:tcPr>
            <w:tcW w:type="dxa" w:w="4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INTERNAL - CONFIDENTIAL</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1A2340"/>
                <w:sz w:val="20"/>
                <w:szCs w:val="20"/>
              </w:rPr>
              <w:t xml:space="preserve">Version</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1A2340"/>
                <w:sz w:val="20"/>
                <w:szCs w:val="20"/>
              </w:rPr>
              <w:t xml:space="preserve">Effective Date</w:t>
            </w:r>
          </w:p>
        </w:tc>
        <w:tc>
          <w:tcPr>
            <w:tcW w:type="dxa" w:w="4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[DATE]</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1.0</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1A2340"/>
                <w:sz w:val="20"/>
                <w:szCs w:val="20"/>
              </w:rPr>
              <w:t xml:space="preserve">Policy Owner</w:t>
            </w:r>
          </w:p>
        </w:tc>
        <w:tc>
          <w:tcPr>
            <w:tcW w:type="dxa" w:w="4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CISO / vCISO</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Draft</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1A2340"/>
                <w:sz w:val="20"/>
                <w:szCs w:val="20"/>
              </w:rPr>
              <w:t xml:space="preserve">Review Cycle</w:t>
            </w:r>
          </w:p>
        </w:tc>
        <w:tc>
          <w:tcPr>
            <w:tcW w:type="dxa" w:w="4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Annual</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1A2340"/>
                <w:sz w:val="20"/>
                <w:szCs w:val="20"/>
              </w:rPr>
              <w:t xml:space="preserve">Next Review</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1A2340"/>
                <w:sz w:val="20"/>
                <w:szCs w:val="20"/>
              </w:rPr>
              <w:t xml:space="preserve">Approved By</w:t>
            </w:r>
          </w:p>
        </w:tc>
        <w:tc>
          <w:tcPr>
            <w:tcW w:type="dxa" w:w="4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[APPROVER NAME / TITLE]</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[DATE]</w:t>
            </w:r>
          </w:p>
        </w:tc>
      </w:tr>
    </w:tbl>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1. Purpose</w:t>
      </w:r>
    </w:p>
    <w:p>
      <w:pPr>
        <w:spacing w:after="120"/>
      </w:pPr>
      <w:r>
        <w:rPr>
          <w:rFonts w:ascii="Arial" w:cs="Arial" w:eastAsia="Arial" w:hAnsi="Arial"/>
          <w:color w:val="1A2340"/>
          <w:sz w:val="20"/>
          <w:szCs w:val="20"/>
        </w:rPr>
        <w:t xml:space="preserve">This policy governs the assessment, onboarding, ongoing monitoring, and offboarding of third-party vendors who access, store, process, or transmit organizational data or systems. It establishes a structured Third-Party Risk Management (TPRM) program to ensure that vendor risk is evaluated before engagement and maintained throughout the relationship.</w:t>
      </w:r>
    </w:p>
    <w:p>
      <w:pPr>
        <w:spacing w:after="120"/>
      </w:pPr>
      <w:r>
        <w:rPr>
          <w:rFonts w:ascii="Arial" w:cs="Arial" w:eastAsia="Arial" w:hAnsi="Arial"/>
          <w:color w:val="1A2340"/>
          <w:sz w:val="20"/>
          <w:szCs w:val="20"/>
        </w:rPr>
        <w:t xml:space="preserve">The objectives of this policy are to:</w:t>
      </w:r>
    </w:p>
    <w:p>
      <w:pPr>
        <w:pStyle w:val="ListParagraph"/>
        <w:numPr>
          <w:ilvl w:val="0"/>
          <w:numId w:val="2"/>
        </w:numPr>
        <w:spacing w:after="60"/>
      </w:pPr>
      <w:r>
        <w:rPr>
          <w:rFonts w:ascii="Arial" w:cs="Arial" w:eastAsia="Arial" w:hAnsi="Arial"/>
          <w:color w:val="1A2340"/>
          <w:sz w:val="20"/>
          <w:szCs w:val="20"/>
        </w:rPr>
        <w:t xml:space="preserve">Identify and classify vendor relationships by their risk to the organization.</w:t>
      </w:r>
    </w:p>
    <w:p>
      <w:pPr>
        <w:pStyle w:val="ListParagraph"/>
        <w:numPr>
          <w:ilvl w:val="0"/>
          <w:numId w:val="2"/>
        </w:numPr>
        <w:spacing w:after="60"/>
      </w:pPr>
      <w:r>
        <w:rPr>
          <w:rFonts w:ascii="Arial" w:cs="Arial" w:eastAsia="Arial" w:hAnsi="Arial"/>
          <w:color w:val="1A2340"/>
          <w:sz w:val="20"/>
          <w:szCs w:val="20"/>
        </w:rPr>
        <w:t xml:space="preserve">Ensure vendor risk is within the organization's defined risk appetite before engagement.</w:t>
      </w:r>
    </w:p>
    <w:p>
      <w:pPr>
        <w:pStyle w:val="ListParagraph"/>
        <w:numPr>
          <w:ilvl w:val="0"/>
          <w:numId w:val="2"/>
        </w:numPr>
        <w:spacing w:after="60"/>
      </w:pPr>
      <w:r>
        <w:rPr>
          <w:rFonts w:ascii="Arial" w:cs="Arial" w:eastAsia="Arial" w:hAnsi="Arial"/>
          <w:color w:val="1A2340"/>
          <w:sz w:val="20"/>
          <w:szCs w:val="20"/>
        </w:rPr>
        <w:t xml:space="preserve">Establish minimum contractual security obligations for all vendor relationships.</w:t>
      </w:r>
    </w:p>
    <w:p>
      <w:pPr>
        <w:pStyle w:val="ListParagraph"/>
        <w:numPr>
          <w:ilvl w:val="0"/>
          <w:numId w:val="2"/>
        </w:numPr>
        <w:spacing w:after="60"/>
      </w:pPr>
      <w:r>
        <w:rPr>
          <w:rFonts w:ascii="Arial" w:cs="Arial" w:eastAsia="Arial" w:hAnsi="Arial"/>
          <w:color w:val="1A2340"/>
          <w:sz w:val="20"/>
          <w:szCs w:val="20"/>
        </w:rPr>
        <w:t xml:space="preserve">Define processes for continuous vendor monitoring and periodic reassessment.</w:t>
      </w:r>
    </w:p>
    <w:p>
      <w:pPr>
        <w:pStyle w:val="ListParagraph"/>
        <w:numPr>
          <w:ilvl w:val="0"/>
          <w:numId w:val="2"/>
        </w:numPr>
        <w:spacing w:after="60"/>
      </w:pPr>
      <w:r>
        <w:rPr>
          <w:rFonts w:ascii="Arial" w:cs="Arial" w:eastAsia="Arial" w:hAnsi="Arial"/>
          <w:color w:val="1A2340"/>
          <w:sz w:val="20"/>
          <w:szCs w:val="20"/>
        </w:rPr>
        <w:t xml:space="preserve">Ensure the secure and complete offboarding of vendors when relationships end.</w:t>
      </w:r>
    </w:p>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2. Scope</w:t>
      </w:r>
    </w:p>
    <w:p>
      <w:pPr>
        <w:spacing w:after="120"/>
      </w:pPr>
      <w:r>
        <w:rPr>
          <w:rFonts w:ascii="Arial" w:cs="Arial" w:eastAsia="Arial" w:hAnsi="Arial"/>
          <w:color w:val="1A2340"/>
          <w:sz w:val="20"/>
          <w:szCs w:val="20"/>
        </w:rPr>
        <w:t xml:space="preserve">This policy applies to all third parties who access, store, process, or transmit organizational data, systems, or facilities. This includes but is not limited to:</w:t>
      </w:r>
    </w:p>
    <w:p>
      <w:pPr>
        <w:pStyle w:val="ListParagraph"/>
        <w:numPr>
          <w:ilvl w:val="0"/>
          <w:numId w:val="2"/>
        </w:numPr>
        <w:spacing w:after="60"/>
      </w:pPr>
      <w:r>
        <w:rPr>
          <w:rFonts w:ascii="Arial" w:cs="Arial" w:eastAsia="Arial" w:hAnsi="Arial"/>
          <w:color w:val="1A2340"/>
          <w:sz w:val="20"/>
          <w:szCs w:val="20"/>
        </w:rPr>
        <w:t xml:space="preserve">Software as a Service (SaaS) vendors and cloud application providers</w:t>
      </w:r>
    </w:p>
    <w:p>
      <w:pPr>
        <w:pStyle w:val="ListParagraph"/>
        <w:numPr>
          <w:ilvl w:val="0"/>
          <w:numId w:val="2"/>
        </w:numPr>
        <w:spacing w:after="60"/>
      </w:pPr>
      <w:r>
        <w:rPr>
          <w:rFonts w:ascii="Arial" w:cs="Arial" w:eastAsia="Arial" w:hAnsi="Arial"/>
          <w:color w:val="1A2340"/>
          <w:sz w:val="20"/>
          <w:szCs w:val="20"/>
        </w:rPr>
        <w:t xml:space="preserve">IT service providers and managed service providers (MSPs)</w:t>
      </w:r>
    </w:p>
    <w:p>
      <w:pPr>
        <w:pStyle w:val="ListParagraph"/>
        <w:numPr>
          <w:ilvl w:val="0"/>
          <w:numId w:val="2"/>
        </w:numPr>
        <w:spacing w:after="60"/>
      </w:pPr>
      <w:r>
        <w:rPr>
          <w:rFonts w:ascii="Arial" w:cs="Arial" w:eastAsia="Arial" w:hAnsi="Arial"/>
          <w:color w:val="1A2340"/>
          <w:sz w:val="20"/>
          <w:szCs w:val="20"/>
        </w:rPr>
        <w:t xml:space="preserve">Cloud infrastructure providers (IaaS, PaaS)</w:t>
      </w:r>
    </w:p>
    <w:p>
      <w:pPr>
        <w:pStyle w:val="ListParagraph"/>
        <w:numPr>
          <w:ilvl w:val="0"/>
          <w:numId w:val="2"/>
        </w:numPr>
        <w:spacing w:after="60"/>
      </w:pPr>
      <w:r>
        <w:rPr>
          <w:rFonts w:ascii="Arial" w:cs="Arial" w:eastAsia="Arial" w:hAnsi="Arial"/>
          <w:color w:val="1A2340"/>
          <w:sz w:val="20"/>
          <w:szCs w:val="20"/>
        </w:rPr>
        <w:t xml:space="preserve">Professional services firms with access to organizational data or systems</w:t>
      </w:r>
    </w:p>
    <w:p>
      <w:pPr>
        <w:pStyle w:val="ListParagraph"/>
        <w:numPr>
          <w:ilvl w:val="0"/>
          <w:numId w:val="2"/>
        </w:numPr>
        <w:spacing w:after="60"/>
      </w:pPr>
      <w:r>
        <w:rPr>
          <w:rFonts w:ascii="Arial" w:cs="Arial" w:eastAsia="Arial" w:hAnsi="Arial"/>
          <w:color w:val="1A2340"/>
          <w:sz w:val="20"/>
          <w:szCs w:val="20"/>
        </w:rPr>
        <w:t xml:space="preserve">Contractors and temporary staff with system access</w:t>
      </w:r>
    </w:p>
    <w:p>
      <w:pPr>
        <w:pStyle w:val="ListParagraph"/>
        <w:numPr>
          <w:ilvl w:val="0"/>
          <w:numId w:val="2"/>
        </w:numPr>
        <w:spacing w:after="60"/>
      </w:pPr>
      <w:r>
        <w:rPr>
          <w:rFonts w:ascii="Arial" w:cs="Arial" w:eastAsia="Arial" w:hAnsi="Arial"/>
          <w:color w:val="1A2340"/>
          <w:sz w:val="20"/>
          <w:szCs w:val="20"/>
        </w:rPr>
        <w:t xml:space="preserve">Subprocessors engaged by primary vendors who access personal data</w:t>
      </w:r>
    </w:p>
    <w:p>
      <w:pPr>
        <w:pStyle w:val="ListParagraph"/>
        <w:numPr>
          <w:ilvl w:val="0"/>
          <w:numId w:val="2"/>
        </w:numPr>
        <w:spacing w:after="60"/>
      </w:pPr>
      <w:r>
        <w:rPr>
          <w:rFonts w:ascii="Arial" w:cs="Arial" w:eastAsia="Arial" w:hAnsi="Arial"/>
          <w:color w:val="1A2340"/>
          <w:sz w:val="20"/>
          <w:szCs w:val="20"/>
        </w:rPr>
        <w:t xml:space="preserve">Any supplier with physical access to facilities containing organizational data or systems</w:t>
      </w:r>
    </w:p>
    <w:p>
      <w:pPr>
        <w:spacing w:after="60"/>
      </w:pPr>
      <w:r>
        <w:rPr>
          <w:rFonts w:ascii="Arial" w:cs="Arial" w:eastAsia="Arial" w:hAnsi="Arial"/>
          <w:color w:val="1A2340"/>
          <w:sz w:val="20"/>
          <w:szCs w:val="20"/>
        </w:rPr>
        <w:t xml:space="preserve"> </w:t>
      </w:r>
    </w:p>
    <w:p>
      <w:pPr>
        <w:spacing w:after="120"/>
      </w:pPr>
      <w:r>
        <w:rPr>
          <w:rFonts w:ascii="Arial" w:cs="Arial" w:eastAsia="Arial" w:hAnsi="Arial"/>
          <w:color w:val="1A2340"/>
          <w:sz w:val="20"/>
          <w:szCs w:val="20"/>
        </w:rPr>
        <w:t xml:space="preserve">This policy applies to all employees, contractors, and departments who engage or manage third-party vendor relationships. Vendors with no data access and no system or facility access are subject only to the Low-tier requirements in Section 6.1.</w:t>
      </w:r>
    </w:p>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3. Policy Statement</w:t>
      </w:r>
    </w:p>
    <w:p>
      <w:pPr>
        <w:spacing w:after="120"/>
      </w:pPr>
      <w:r>
        <w:rPr>
          <w:rFonts w:ascii="Arial" w:cs="Arial" w:eastAsia="Arial" w:hAnsi="Arial"/>
          <w:color w:val="1A2340"/>
          <w:sz w:val="20"/>
          <w:szCs w:val="20"/>
        </w:rPr>
        <w:t xml:space="preserve">The organization is committed to managing third-party risk in proportion to the potential impact a vendor relationship could have on the confidentiality, integrity, and availability of organizational data and systems. This policy is founded on five core principles:</w:t>
      </w:r>
    </w:p>
    <w:p>
      <w:pPr>
        <w:spacing w:after="60"/>
      </w:pPr>
      <w:r>
        <w:rPr>
          <w:rFonts w:ascii="Arial" w:cs="Arial" w:eastAsia="Arial" w:hAnsi="Arial"/>
          <w:color w:val="1A2340"/>
          <w:sz w:val="20"/>
          <w:szCs w:val="20"/>
        </w:rPr>
        <w:t xml:space="preserve"> </w:t>
      </w:r>
    </w:p>
    <w:p>
      <w:pPr>
        <w:pStyle w:val="Heading3"/>
        <w:spacing w:after="80" w:before="180"/>
      </w:pPr>
      <w:r>
        <w:rPr>
          <w:rFonts w:ascii="Arial" w:cs="Arial" w:eastAsia="Arial" w:hAnsi="Arial"/>
          <w:b/>
          <w:bCs/>
          <w:color w:val="4F46E5"/>
          <w:sz w:val="22"/>
          <w:szCs w:val="22"/>
        </w:rPr>
        <w:t xml:space="preserve">3.1 Risk-Before-Engagement</w:t>
      </w:r>
    </w:p>
    <w:p>
      <w:pPr>
        <w:spacing w:after="120"/>
      </w:pPr>
      <w:r>
        <w:rPr>
          <w:rFonts w:ascii="Arial" w:cs="Arial" w:eastAsia="Arial" w:hAnsi="Arial"/>
          <w:color w:val="1A2340"/>
          <w:sz w:val="20"/>
          <w:szCs w:val="20"/>
        </w:rPr>
        <w:t xml:space="preserve">No vendor shall be granted access to organizational data, systems, or facilities until an appropriate level of due diligence has been completed and the engagement has been formally approved by the designated authority. The level of due diligence is proportionate to the tier assigned to the vendor.</w:t>
      </w:r>
    </w:p>
    <w:p>
      <w:pPr>
        <w:pStyle w:val="Heading3"/>
        <w:spacing w:after="80" w:before="180"/>
      </w:pPr>
      <w:r>
        <w:rPr>
          <w:rFonts w:ascii="Arial" w:cs="Arial" w:eastAsia="Arial" w:hAnsi="Arial"/>
          <w:b/>
          <w:bCs/>
          <w:color w:val="4F46E5"/>
          <w:sz w:val="22"/>
          <w:szCs w:val="22"/>
        </w:rPr>
        <w:t xml:space="preserve">3.2 Contractual Security Obligations</w:t>
      </w:r>
    </w:p>
    <w:p>
      <w:pPr>
        <w:spacing w:after="120"/>
      </w:pPr>
      <w:r>
        <w:rPr>
          <w:rFonts w:ascii="Arial" w:cs="Arial" w:eastAsia="Arial" w:hAnsi="Arial"/>
          <w:color w:val="1A2340"/>
          <w:sz w:val="20"/>
          <w:szCs w:val="20"/>
        </w:rPr>
        <w:t xml:space="preserve">All vendor contracts shall include minimum security obligations appropriate to the vendor's tier, including data security requirements, breach notification timelines, audit rights, and data return or destruction provisions. Vendors processing personal data shall execute a Data Processing Agreement (DPA). Vendors processing health data subject to HIPAA shall execute a Business Associate Agreement (BAA).</w:t>
      </w:r>
    </w:p>
    <w:p>
      <w:pPr>
        <w:pStyle w:val="Heading3"/>
        <w:spacing w:after="80" w:before="180"/>
      </w:pPr>
      <w:r>
        <w:rPr>
          <w:rFonts w:ascii="Arial" w:cs="Arial" w:eastAsia="Arial" w:hAnsi="Arial"/>
          <w:b/>
          <w:bCs/>
          <w:color w:val="4F46E5"/>
          <w:sz w:val="22"/>
          <w:szCs w:val="22"/>
        </w:rPr>
        <w:t xml:space="preserve">3.3 Proportionate Due Diligence</w:t>
      </w:r>
    </w:p>
    <w:p>
      <w:pPr>
        <w:spacing w:after="120"/>
      </w:pPr>
      <w:r>
        <w:rPr>
          <w:rFonts w:ascii="Arial" w:cs="Arial" w:eastAsia="Arial" w:hAnsi="Arial"/>
          <w:color w:val="1A2340"/>
          <w:sz w:val="20"/>
          <w:szCs w:val="20"/>
        </w:rPr>
        <w:t xml:space="preserve">Due diligence requirements are scaled to the risk posed by the vendor relationship. Critical-tier vendors require the most rigorous assessment; Low-tier vendors require minimal documentation. This proportionate approach ensures that program overhead is justified by actual risk.</w:t>
      </w:r>
    </w:p>
    <w:p>
      <w:pPr>
        <w:pStyle w:val="Heading3"/>
        <w:spacing w:after="80" w:before="180"/>
      </w:pPr>
      <w:r>
        <w:rPr>
          <w:rFonts w:ascii="Arial" w:cs="Arial" w:eastAsia="Arial" w:hAnsi="Arial"/>
          <w:b/>
          <w:bCs/>
          <w:color w:val="4F46E5"/>
          <w:sz w:val="22"/>
          <w:szCs w:val="22"/>
        </w:rPr>
        <w:t xml:space="preserve">3.4 Continuous Oversight</w:t>
      </w:r>
    </w:p>
    <w:p>
      <w:pPr>
        <w:spacing w:after="120"/>
      </w:pPr>
      <w:r>
        <w:rPr>
          <w:rFonts w:ascii="Arial" w:cs="Arial" w:eastAsia="Arial" w:hAnsi="Arial"/>
          <w:color w:val="1A2340"/>
          <w:sz w:val="20"/>
          <w:szCs w:val="20"/>
        </w:rPr>
        <w:t xml:space="preserve">Vendor relationships do not end at onboarding. This policy requires ongoing monitoring of vendor security posture, with review frequency scaled to vendor tier. Trigger events - including vendor breaches, significant scope changes, and financial distress signals - require immediate reassessment regardless of scheduled review cycle.</w:t>
      </w:r>
    </w:p>
    <w:p>
      <w:pPr>
        <w:pStyle w:val="Heading3"/>
        <w:spacing w:after="80" w:before="180"/>
      </w:pPr>
      <w:r>
        <w:rPr>
          <w:rFonts w:ascii="Arial" w:cs="Arial" w:eastAsia="Arial" w:hAnsi="Arial"/>
          <w:b/>
          <w:bCs/>
          <w:color w:val="4F46E5"/>
          <w:sz w:val="22"/>
          <w:szCs w:val="22"/>
        </w:rPr>
        <w:t xml:space="preserve">3.5 Secure Offboarding</w:t>
      </w:r>
    </w:p>
    <w:p>
      <w:pPr>
        <w:spacing w:after="120"/>
      </w:pPr>
      <w:r>
        <w:rPr>
          <w:rFonts w:ascii="Arial" w:cs="Arial" w:eastAsia="Arial" w:hAnsi="Arial"/>
          <w:color w:val="1A2340"/>
          <w:sz w:val="20"/>
          <w:szCs w:val="20"/>
        </w:rPr>
        <w:t xml:space="preserve">When a vendor relationship ends, all vendor access to organizational systems must be revoked promptly, organizational data must be retrieved or confirmed destroyed, and the vendor must be formally removed from the vendor inventory.</w:t>
      </w:r>
    </w:p>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Term</w:t>
            </w:r>
          </w:p>
        </w:tc>
        <w:tc>
          <w:tcPr>
            <w:tcW w:type="dxa" w:w="686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Definition</w:t>
            </w:r>
          </w:p>
        </w:tc>
      </w:tr>
      <w:tr>
        <w:tc>
          <w:tcPr>
            <w:tcW w:type="dxa" w:w="2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Third Party</w:t>
            </w:r>
          </w:p>
        </w:tc>
        <w:tc>
          <w:tcPr>
            <w:tcW w:type="dxa" w:w="68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Any external organization or individual that provides goods, services, or performs functions on behalf of the organization under a contractual agreement.</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Vendor</w:t>
            </w:r>
          </w:p>
        </w:tc>
        <w:tc>
          <w:tcPr>
            <w:tcW w:type="dxa" w:w="68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 third party that provides software, hardware, services, or other products to the organization. Used interchangeably with Supplier in this policy.</w:t>
            </w:r>
          </w:p>
        </w:tc>
      </w:tr>
      <w:tr>
        <w:tc>
          <w:tcPr>
            <w:tcW w:type="dxa" w:w="2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Supplier</w:t>
            </w:r>
          </w:p>
        </w:tc>
        <w:tc>
          <w:tcPr>
            <w:tcW w:type="dxa" w:w="68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See Vendor. A third party in the supply chain providing materials, components, or services.</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Subprocessor</w:t>
            </w:r>
          </w:p>
        </w:tc>
        <w:tc>
          <w:tcPr>
            <w:tcW w:type="dxa" w:w="68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 vendor engaged by a primary vendor to assist in processing personal data on behalf of the organization. Subprocessors inherit the data protection obligations of the primary vendor.</w:t>
            </w:r>
          </w:p>
        </w:tc>
      </w:tr>
      <w:tr>
        <w:tc>
          <w:tcPr>
            <w:tcW w:type="dxa" w:w="2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Critical Vendor</w:t>
            </w:r>
          </w:p>
        </w:tc>
        <w:tc>
          <w:tcPr>
            <w:tcW w:type="dxa" w:w="68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 vendor classified at the Critical tier under Section 6.1, typically due to access to Critical data, core business process dependency, or significant operational impact if unavailable.</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High-Risk Vendor</w:t>
            </w:r>
          </w:p>
        </w:tc>
        <w:tc>
          <w:tcPr>
            <w:tcW w:type="dxa" w:w="68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 vendor classified at the Critical or High tier, or a vendor that has exhibited material security deficiencies during assessment or monitoring.</w:t>
            </w:r>
          </w:p>
        </w:tc>
      </w:tr>
      <w:tr>
        <w:tc>
          <w:tcPr>
            <w:tcW w:type="dxa" w:w="2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Vendor Risk</w:t>
            </w:r>
          </w:p>
        </w:tc>
        <w:tc>
          <w:tcPr>
            <w:tcW w:type="dxa" w:w="68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The risk to the organization's operations, data, reputation, or regulatory compliance arising from its relationship with a third party.</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Due Diligence</w:t>
            </w:r>
          </w:p>
        </w:tc>
        <w:tc>
          <w:tcPr>
            <w:tcW w:type="dxa" w:w="68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The process of investigating and evaluating a vendor's security posture, financial stability, legal standing, and compliance status prior to engagement and at defined intervals thereafter.</w:t>
            </w:r>
          </w:p>
        </w:tc>
      </w:tr>
      <w:tr>
        <w:tc>
          <w:tcPr>
            <w:tcW w:type="dxa" w:w="2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Security Assessment</w:t>
            </w:r>
          </w:p>
        </w:tc>
        <w:tc>
          <w:tcPr>
            <w:tcW w:type="dxa" w:w="68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 structured evaluation of a vendor's information security controls, policies, and practices, conducted via questionnaire, document review, interview, or audit.</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Data Processing Agreement (DPA)</w:t>
            </w:r>
          </w:p>
        </w:tc>
        <w:tc>
          <w:tcPr>
            <w:tcW w:type="dxa" w:w="68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 legally binding contract between the organization (as data controller) and a vendor (as data processor) that governs the processing of personal data, in compliance with applicable privacy laws.</w:t>
            </w:r>
          </w:p>
        </w:tc>
      </w:tr>
      <w:tr>
        <w:tc>
          <w:tcPr>
            <w:tcW w:type="dxa" w:w="2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Business Associate Agreement (BAA)</w:t>
            </w:r>
          </w:p>
        </w:tc>
        <w:tc>
          <w:tcPr>
            <w:tcW w:type="dxa" w:w="68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 contract required under HIPAA between a covered entity and a business associate that handles Protected Health Information (PHI), establishing the permissible uses and disclosures of PHI.</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Service Level Agreement (SLA)</w:t>
            </w:r>
          </w:p>
        </w:tc>
        <w:tc>
          <w:tcPr>
            <w:tcW w:type="dxa" w:w="68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 contract element that defines the expected level of service, performance standards, uptime commitments, and remedies for failure to meet those standards.</w:t>
            </w:r>
          </w:p>
        </w:tc>
      </w:tr>
      <w:tr>
        <w:tc>
          <w:tcPr>
            <w:tcW w:type="dxa" w:w="2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Right-to-Audit</w:t>
            </w:r>
          </w:p>
        </w:tc>
        <w:tc>
          <w:tcPr>
            <w:tcW w:type="dxa" w:w="68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 contractual provision granting the organization the right to audit a vendor's security controls, either directly or through a third-party assessor, upon reasonable notice.</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Vendor Tier</w:t>
            </w:r>
          </w:p>
        </w:tc>
        <w:tc>
          <w:tcPr>
            <w:tcW w:type="dxa" w:w="68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 risk-based classification (Critical, High, Moderate, Low) assigned to a vendor based on data sensitivity, access type, and operational dependency, as defined in Section 6.1.</w:t>
            </w:r>
          </w:p>
        </w:tc>
      </w:tr>
      <w:tr>
        <w:tc>
          <w:tcPr>
            <w:tcW w:type="dxa" w:w="2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Onboarding</w:t>
            </w:r>
          </w:p>
        </w:tc>
        <w:tc>
          <w:tcPr>
            <w:tcW w:type="dxa" w:w="68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The formal process of registering a new vendor, completing required due diligence, executing contracts, provisioning access, and integrating the vendor into organizational systems.</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Offboarding</w:t>
            </w:r>
          </w:p>
        </w:tc>
        <w:tc>
          <w:tcPr>
            <w:tcW w:type="dxa" w:w="68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The formal process of terminating a vendor relationship, revoking all access, retrieving or destroying organizational data, closing the contract, and removing the vendor from the inventory.</w:t>
            </w:r>
          </w:p>
        </w:tc>
      </w:tr>
    </w:tbl>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5.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Role</w:t>
            </w:r>
          </w:p>
        </w:tc>
        <w:tc>
          <w:tcPr>
            <w:tcW w:type="dxa" w:w="686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Responsibilities</w:t>
            </w:r>
          </w:p>
        </w:tc>
      </w:tr>
      <w:tr>
        <w:tc>
          <w:tcPr>
            <w:tcW w:type="dxa" w:w="2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CISO / vCISO</w:t>
            </w:r>
          </w:p>
        </w:tc>
        <w:tc>
          <w:tcPr>
            <w:tcW w:type="dxa" w:w="68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Overall owner of the TPRM program. Establishes assessment standards and risk rating criteria. Reviews and approves Critical-tier vendor engagements. Oversees program effectiveness and reports to executive leadership.</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Procurement / Legal</w:t>
            </w:r>
          </w:p>
        </w:tc>
        <w:tc>
          <w:tcPr>
            <w:tcW w:type="dxa" w:w="68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Ensures security terms are incorporated into vendor contracts. Manages DPA and BAA execution. Reviews and negotiates contractual security clauses with vendor counsel.</w:t>
            </w:r>
          </w:p>
        </w:tc>
      </w:tr>
      <w:tr>
        <w:tc>
          <w:tcPr>
            <w:tcW w:type="dxa" w:w="2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Business Owner (Requesting Department)</w:t>
            </w:r>
          </w:p>
        </w:tc>
        <w:tc>
          <w:tcPr>
            <w:tcW w:type="dxa" w:w="68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Acts as vendor sponsor. Initiates vendor engagement requests. Maintains the ongoing business relationship. Escalates vendor performance or security concerns to the CISO/vCISO.</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IT</w:t>
            </w:r>
          </w:p>
        </w:tc>
        <w:tc>
          <w:tcPr>
            <w:tcW w:type="dxa" w:w="68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Provisions and de-provisions vendor access in accordance with least privilege principles. Oversees technical integration. Maintains records of vendor access accounts and integration points.</w:t>
            </w:r>
          </w:p>
        </w:tc>
      </w:tr>
      <w:tr>
        <w:tc>
          <w:tcPr>
            <w:tcW w:type="dxa" w:w="2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Finance</w:t>
            </w:r>
          </w:p>
        </w:tc>
        <w:tc>
          <w:tcPr>
            <w:tcW w:type="dxa" w:w="68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Retains authority to place payment holds on non-compliant vendors pending remediation of critical security findings. Coordinates with Legal on contract close-out during offboarding.</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All Staff</w:t>
            </w:r>
          </w:p>
        </w:tc>
        <w:tc>
          <w:tcPr>
            <w:tcW w:type="dxa" w:w="68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Required to report any suspected vendor security incidents, data exposure, or security concerns to the CISO/vCISO or IT team promptly.</w:t>
            </w:r>
          </w:p>
        </w:tc>
      </w:tr>
    </w:tbl>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6. Policy Requirements</w:t>
      </w:r>
    </w:p>
    <w:p>
      <w:pPr>
        <w:pStyle w:val="Heading2"/>
        <w:spacing w:after="120" w:before="240"/>
      </w:pPr>
      <w:r>
        <w:rPr>
          <w:rFonts w:ascii="Arial" w:cs="Arial" w:eastAsia="Arial" w:hAnsi="Arial"/>
          <w:b/>
          <w:bCs/>
          <w:color w:val="152168"/>
          <w:sz w:val="26"/>
          <w:szCs w:val="26"/>
        </w:rPr>
        <w:t xml:space="preserve">6.1  Vendor Tiering</w:t>
      </w:r>
    </w:p>
    <w:p>
      <w:pPr>
        <w:spacing w:after="120"/>
      </w:pPr>
      <w:r>
        <w:rPr>
          <w:rFonts w:ascii="Arial" w:cs="Arial" w:eastAsia="Arial" w:hAnsi="Arial"/>
          <w:color w:val="1A2340"/>
          <w:sz w:val="20"/>
          <w:szCs w:val="20"/>
        </w:rPr>
        <w:t xml:space="preserve">All vendors must be classified into one of four tiers before engagement. Tier classification is based on the sensitivity of data the vendor can access, the type of access granted, and the degree to which the organization depends on the vendor for operational continuity.</w:t>
      </w:r>
    </w:p>
    <w:p>
      <w:pPr>
        <w:spacing w:after="60"/>
      </w:pPr>
      <w:r>
        <w:rPr>
          <w:rFonts w:ascii="Arial" w:cs="Arial" w:eastAsia="Arial" w:hAnsi="Arial"/>
          <w:color w:val="1A234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2760"/>
        <w:gridCol w:w="2900"/>
      </w:tblGrid>
      <w:tr>
        <w:trPr>
          <w:tblHeader/>
        </w:trPr>
        <w:tc>
          <w:tcPr>
            <w:tcW w:type="dxa" w:w="14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Tier</w:t>
            </w:r>
          </w:p>
        </w:tc>
        <w:tc>
          <w:tcPr>
            <w:tcW w:type="dxa" w:w="23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Criteria</w:t>
            </w:r>
          </w:p>
        </w:tc>
        <w:tc>
          <w:tcPr>
            <w:tcW w:type="dxa" w:w="276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Characteristics</w:t>
            </w:r>
          </w:p>
        </w:tc>
        <w:tc>
          <w:tcPr>
            <w:tcW w:type="dxa" w:w="29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Examples</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C0392B"/>
                <w:sz w:val="20"/>
                <w:szCs w:val="20"/>
              </w:rPr>
              <w:t xml:space="preserve">Critical</w:t>
            </w:r>
          </w:p>
        </w:tc>
        <w:tc>
          <w:tcPr>
            <w:tcW w:type="dxa" w:w="23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Access to Critical data OR core business process dependency OR significant operational impact if unavailable</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Highest due diligence; CISO/vCISO sign-off required; mandatory DPA/BAA where applicable; annual reassessment</w:t>
            </w:r>
          </w:p>
        </w:tc>
        <w:tc>
          <w:tcPr>
            <w:tcW w:type="dxa" w:w="2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Payment processor, PMS, POS, HR system with PII, cloud infrastructure provider</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4F46E5"/>
                <w:sz w:val="20"/>
                <w:szCs w:val="20"/>
              </w:rPr>
              <w:t xml:space="preserve">High</w:t>
            </w:r>
          </w:p>
        </w:tc>
        <w:tc>
          <w:tcPr>
            <w:tcW w:type="dxa" w:w="23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Access to Confidential data OR IT service access OR significant operational role</w:t>
            </w:r>
          </w:p>
        </w:tc>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Abbreviated security questionnaire; SOC 2 or attestation review; CISO/vCISO review; annual reassessment</w:t>
            </w:r>
          </w:p>
        </w:tc>
        <w:tc>
          <w:tcPr>
            <w:tcW w:type="dxa" w:w="2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MSP, accounting software, email platform, IT security tools</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b/>
                <w:bCs/>
                <w:color w:val="D97706"/>
                <w:sz w:val="20"/>
                <w:szCs w:val="20"/>
              </w:rPr>
              <w:t xml:space="preserve">Moderate</w:t>
            </w:r>
          </w:p>
        </w:tc>
        <w:tc>
          <w:tcPr>
            <w:tcW w:type="dxa" w:w="23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Access to Internal data OR limited operational role</w:t>
            </w:r>
          </w:p>
        </w:tc>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Standard intake form; privacy policy review; manager approval; bi-annual review</w:t>
            </w:r>
          </w:p>
        </w:tc>
        <w:tc>
          <w:tcPr>
            <w:tcW w:type="dxa" w:w="2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Marketing tools, productivity software without sensitive data access</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16A34A"/>
                <w:sz w:val="20"/>
                <w:szCs w:val="20"/>
              </w:rPr>
              <w:t xml:space="preserve">Low</w:t>
            </w:r>
          </w:p>
        </w:tc>
        <w:tc>
          <w:tcPr>
            <w:tcW w:type="dxa" w:w="23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No data access; one-time or commodity services</w:t>
            </w:r>
          </w:p>
        </w:tc>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Business owner approval only; tri-annual review or on material change</w:t>
            </w:r>
          </w:p>
        </w:tc>
        <w:tc>
          <w:tcPr>
            <w:tcW w:type="dxa" w:w="2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Office supplies, general contractors without system or data access</w:t>
            </w:r>
          </w:p>
        </w:tc>
      </w:tr>
    </w:tbl>
    <w:p>
      <w:pPr>
        <w:spacing w:after="60"/>
      </w:pPr>
      <w:r>
        <w:rPr>
          <w:rFonts w:ascii="Arial" w:cs="Arial" w:eastAsia="Arial" w:hAnsi="Arial"/>
          <w:color w:val="1A2340"/>
          <w:sz w:val="20"/>
          <w:szCs w:val="20"/>
        </w:rPr>
        <w:t xml:space="preserve"> </w:t>
      </w:r>
    </w:p>
    <w:p>
      <w:pPr>
        <w:pStyle w:val="Heading2"/>
        <w:spacing w:after="120" w:before="240"/>
      </w:pPr>
      <w:r>
        <w:rPr>
          <w:rFonts w:ascii="Arial" w:cs="Arial" w:eastAsia="Arial" w:hAnsi="Arial"/>
          <w:b/>
          <w:bCs/>
          <w:color w:val="152168"/>
          <w:sz w:val="26"/>
          <w:szCs w:val="26"/>
        </w:rPr>
        <w:t xml:space="preserve">6.2  Pre-Engagement Due Diligence</w:t>
      </w:r>
    </w:p>
    <w:p>
      <w:pPr>
        <w:spacing w:after="120"/>
      </w:pPr>
      <w:r>
        <w:rPr>
          <w:rFonts w:ascii="Arial" w:cs="Arial" w:eastAsia="Arial" w:hAnsi="Arial"/>
          <w:color w:val="1A2340"/>
          <w:sz w:val="20"/>
          <w:szCs w:val="20"/>
        </w:rPr>
        <w:t xml:space="preserve">Due diligence must be completed before any vendor is granted access to organizational data, systems, or facilities. No production data access shall be provisioned until due diligence is complete and a contract is executed.</w:t>
      </w:r>
    </w:p>
    <w:p>
      <w:pPr>
        <w:spacing w:after="60"/>
      </w:pPr>
      <w:r>
        <w:rPr>
          <w:rFonts w:ascii="Arial" w:cs="Arial" w:eastAsia="Arial" w:hAnsi="Arial"/>
          <w:color w:val="1A234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Tier</w:t>
            </w:r>
          </w:p>
        </w:tc>
        <w:tc>
          <w:tcPr>
            <w:tcW w:type="dxa" w:w="398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Required Due Diligence Activities</w:t>
            </w:r>
          </w:p>
        </w:tc>
        <w:tc>
          <w:tcPr>
            <w:tcW w:type="dxa" w:w="398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Approval Authority</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Critical</w:t>
            </w:r>
          </w:p>
        </w:tc>
        <w:tc>
          <w:tcPr>
            <w:tcW w:type="dxa" w:w="39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Full security questionnaire (Appendix B); SOC 2 Type II report review (current year); customer reference checks; Legal review of DPA and contractual security terms; CISO/vCISO sign-off</w:t>
            </w:r>
          </w:p>
        </w:tc>
        <w:tc>
          <w:tcPr>
            <w:tcW w:type="dxa" w:w="39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CISO / vCISO</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High</w:t>
            </w:r>
          </w:p>
        </w:tc>
        <w:tc>
          <w:tcPr>
            <w:tcW w:type="dxa" w:w="39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Abbreviated security questionnaire (Appendix B, Part 1); SOC 2 Type II or equivalent attestation review; CISO/vCISO review of findings</w:t>
            </w:r>
          </w:p>
        </w:tc>
        <w:tc>
          <w:tcPr>
            <w:tcW w:type="dxa" w:w="39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CISO / vCISO</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Moderate</w:t>
            </w:r>
          </w:p>
        </w:tc>
        <w:tc>
          <w:tcPr>
            <w:tcW w:type="dxa" w:w="39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Standard intake form; review of vendor privacy policy and terms of service; confirmation of no sensitive data access</w:t>
            </w:r>
          </w:p>
        </w:tc>
        <w:tc>
          <w:tcPr>
            <w:tcW w:type="dxa" w:w="39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Department Manager</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Low</w:t>
            </w:r>
          </w:p>
        </w:tc>
        <w:tc>
          <w:tcPr>
            <w:tcW w:type="dxa" w:w="39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Business owner confirmation that no data, system, or facility access is involved</w:t>
            </w:r>
          </w:p>
        </w:tc>
        <w:tc>
          <w:tcPr>
            <w:tcW w:type="dxa" w:w="39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Business Owner</w:t>
            </w:r>
          </w:p>
        </w:tc>
      </w:tr>
    </w:tbl>
    <w:p>
      <w:pPr>
        <w:spacing w:after="60"/>
      </w:pPr>
      <w:r>
        <w:rPr>
          <w:rFonts w:ascii="Arial" w:cs="Arial" w:eastAsia="Arial" w:hAnsi="Arial"/>
          <w:color w:val="1A2340"/>
          <w:sz w:val="20"/>
          <w:szCs w:val="20"/>
        </w:rPr>
        <w:t xml:space="preserve"> </w:t>
      </w:r>
    </w:p>
    <w:p>
      <w:pPr>
        <w:pStyle w:val="Heading2"/>
        <w:spacing w:after="120" w:before="240"/>
      </w:pPr>
      <w:r>
        <w:rPr>
          <w:rFonts w:ascii="Arial" w:cs="Arial" w:eastAsia="Arial" w:hAnsi="Arial"/>
          <w:b/>
          <w:bCs/>
          <w:color w:val="152168"/>
          <w:sz w:val="26"/>
          <w:szCs w:val="26"/>
        </w:rPr>
        <w:t xml:space="preserve">6.3  Contractual Security Requirements</w:t>
      </w:r>
    </w:p>
    <w:p>
      <w:pPr>
        <w:spacing w:after="120"/>
      </w:pPr>
      <w:r>
        <w:rPr>
          <w:rFonts w:ascii="Arial" w:cs="Arial" w:eastAsia="Arial" w:hAnsi="Arial"/>
          <w:color w:val="1A2340"/>
          <w:sz w:val="20"/>
          <w:szCs w:val="20"/>
        </w:rPr>
        <w:t xml:space="preserve">All vendors with data, system, or facility access must execute a contract that includes minimum security obligations appropriate to their tier. The following clauses are mandatory for Critical and High-tier vendors and strongly recommended for Moderate-tier vendors.</w:t>
      </w:r>
    </w:p>
    <w:p>
      <w:pPr>
        <w:spacing w:after="60"/>
      </w:pPr>
      <w:r>
        <w:rPr>
          <w:rFonts w:ascii="Arial" w:cs="Arial" w:eastAsia="Arial" w:hAnsi="Arial"/>
          <w:color w:val="1A2340"/>
          <w:sz w:val="20"/>
          <w:szCs w:val="20"/>
        </w:rPr>
        <w:t xml:space="preserve"> </w:t>
      </w:r>
    </w:p>
    <w:p>
      <w:pPr>
        <w:pStyle w:val="Heading3"/>
        <w:spacing w:after="80" w:before="180"/>
      </w:pPr>
      <w:r>
        <w:rPr>
          <w:rFonts w:ascii="Arial" w:cs="Arial" w:eastAsia="Arial" w:hAnsi="Arial"/>
          <w:b/>
          <w:bCs/>
          <w:color w:val="4F46E5"/>
          <w:sz w:val="22"/>
          <w:szCs w:val="22"/>
        </w:rPr>
        <w:t xml:space="preserve">Mandatory Contractual Clauses</w:t>
      </w:r>
    </w:p>
    <w:p>
      <w:pPr>
        <w:pStyle w:val="ListParagraph"/>
        <w:numPr>
          <w:ilvl w:val="0"/>
          <w:numId w:val="2"/>
        </w:numPr>
        <w:spacing w:after="60"/>
      </w:pPr>
      <w:r>
        <w:rPr>
          <w:rFonts w:ascii="Arial" w:cs="Arial" w:eastAsia="Arial" w:hAnsi="Arial"/>
          <w:color w:val="1A2340"/>
          <w:sz w:val="20"/>
          <w:szCs w:val="20"/>
        </w:rPr>
        <w:t xml:space="preserve">Data Security Obligations: Vendor must maintain information security controls appropriate to the sensitivity of data accessed, including encryption at rest and in transit, access controls, and incident response capability.</w:t>
      </w:r>
    </w:p>
    <w:p>
      <w:pPr>
        <w:pStyle w:val="ListParagraph"/>
        <w:numPr>
          <w:ilvl w:val="0"/>
          <w:numId w:val="2"/>
        </w:numPr>
        <w:spacing w:after="60"/>
      </w:pPr>
      <w:r>
        <w:rPr>
          <w:rFonts w:ascii="Arial" w:cs="Arial" w:eastAsia="Arial" w:hAnsi="Arial"/>
          <w:color w:val="1A2340"/>
          <w:sz w:val="20"/>
          <w:szCs w:val="20"/>
        </w:rPr>
        <w:t xml:space="preserve">Incident Notification: Vendor must notify the organization within 72 hours of discovering any security incident or data breach that involves organizational data.</w:t>
      </w:r>
    </w:p>
    <w:p>
      <w:pPr>
        <w:pStyle w:val="ListParagraph"/>
        <w:numPr>
          <w:ilvl w:val="0"/>
          <w:numId w:val="2"/>
        </w:numPr>
        <w:spacing w:after="60"/>
      </w:pPr>
      <w:r>
        <w:rPr>
          <w:rFonts w:ascii="Arial" w:cs="Arial" w:eastAsia="Arial" w:hAnsi="Arial"/>
          <w:color w:val="1A2340"/>
          <w:sz w:val="20"/>
          <w:szCs w:val="20"/>
        </w:rPr>
        <w:t xml:space="preserve">Audit Rights (Right-to-Audit): The organization retains the right to audit vendor security controls, directly or via third party, upon reasonable notice.</w:t>
      </w:r>
    </w:p>
    <w:p>
      <w:pPr>
        <w:pStyle w:val="ListParagraph"/>
        <w:numPr>
          <w:ilvl w:val="0"/>
          <w:numId w:val="2"/>
        </w:numPr>
        <w:spacing w:after="60"/>
      </w:pPr>
      <w:r>
        <w:rPr>
          <w:rFonts w:ascii="Arial" w:cs="Arial" w:eastAsia="Arial" w:hAnsi="Arial"/>
          <w:color w:val="1A2340"/>
          <w:sz w:val="20"/>
          <w:szCs w:val="20"/>
        </w:rPr>
        <w:t xml:space="preserve">Data Return and Destruction: On contract termination, vendor must return all organizational data within 30 days and provide written confirmation of destruction within 60 days.</w:t>
      </w:r>
    </w:p>
    <w:p>
      <w:pPr>
        <w:pStyle w:val="ListParagraph"/>
        <w:numPr>
          <w:ilvl w:val="0"/>
          <w:numId w:val="2"/>
        </w:numPr>
        <w:spacing w:after="60"/>
      </w:pPr>
      <w:r>
        <w:rPr>
          <w:rFonts w:ascii="Arial" w:cs="Arial" w:eastAsia="Arial" w:hAnsi="Arial"/>
          <w:color w:val="1A2340"/>
          <w:sz w:val="20"/>
          <w:szCs w:val="20"/>
        </w:rPr>
        <w:t xml:space="preserve">Subprocessor Disclosure: Vendor must disclose all subprocessors with access to organizational data and obtain organizational approval before adding new subprocessors.</w:t>
      </w:r>
    </w:p>
    <w:p>
      <w:pPr>
        <w:pStyle w:val="ListParagraph"/>
        <w:numPr>
          <w:ilvl w:val="0"/>
          <w:numId w:val="2"/>
        </w:numPr>
        <w:spacing w:after="60"/>
      </w:pPr>
      <w:r>
        <w:rPr>
          <w:rFonts w:ascii="Arial" w:cs="Arial" w:eastAsia="Arial" w:hAnsi="Arial"/>
          <w:color w:val="1A2340"/>
          <w:sz w:val="20"/>
          <w:szCs w:val="20"/>
        </w:rPr>
        <w:t xml:space="preserve">Prohibition on Unauthorized Data Use: Vendor may not use, sell, disclose, or process organizational data for any purpose other than the contracted services.</w:t>
      </w:r>
    </w:p>
    <w:p>
      <w:pPr>
        <w:spacing w:after="60"/>
      </w:pPr>
      <w:r>
        <w:rPr>
          <w:rFonts w:ascii="Arial" w:cs="Arial" w:eastAsia="Arial" w:hAnsi="Arial"/>
          <w:color w:val="1A2340"/>
          <w:sz w:val="20"/>
          <w:szCs w:val="20"/>
        </w:rPr>
        <w:t xml:space="preserve"> </w:t>
      </w:r>
    </w:p>
    <w:p>
      <w:pPr>
        <w:pStyle w:val="Heading3"/>
        <w:spacing w:after="80" w:before="180"/>
      </w:pPr>
      <w:r>
        <w:rPr>
          <w:rFonts w:ascii="Arial" w:cs="Arial" w:eastAsia="Arial" w:hAnsi="Arial"/>
          <w:b/>
          <w:bCs/>
          <w:color w:val="4F46E5"/>
          <w:sz w:val="22"/>
          <w:szCs w:val="22"/>
        </w:rPr>
        <w:t xml:space="preserve">Data Processing and Health Data Agreements</w:t>
      </w:r>
    </w:p>
    <w:p>
      <w:pPr>
        <w:pStyle w:val="ListParagraph"/>
        <w:numPr>
          <w:ilvl w:val="0"/>
          <w:numId w:val="2"/>
        </w:numPr>
        <w:spacing w:after="60"/>
      </w:pPr>
      <w:r>
        <w:rPr>
          <w:rFonts w:ascii="Arial" w:cs="Arial" w:eastAsia="Arial" w:hAnsi="Arial"/>
          <w:color w:val="1A2340"/>
          <w:sz w:val="20"/>
          <w:szCs w:val="20"/>
        </w:rPr>
        <w:t xml:space="preserve">DPA Required: A Data Processing Agreement must be executed with any vendor that processes personal data on behalf of the organization, regardless of jurisdiction.</w:t>
      </w:r>
    </w:p>
    <w:p>
      <w:pPr>
        <w:pStyle w:val="ListParagraph"/>
        <w:numPr>
          <w:ilvl w:val="0"/>
          <w:numId w:val="2"/>
        </w:numPr>
        <w:spacing w:after="60"/>
      </w:pPr>
      <w:r>
        <w:rPr>
          <w:rFonts w:ascii="Arial" w:cs="Arial" w:eastAsia="Arial" w:hAnsi="Arial"/>
          <w:color w:val="1A2340"/>
          <w:sz w:val="20"/>
          <w:szCs w:val="20"/>
        </w:rPr>
        <w:t xml:space="preserve">BAA Required: A Business Associate Agreement must be executed with any vendor that handles Protected Health Information (PHI) subject to HIPAA.</w:t>
      </w:r>
    </w:p>
    <w:p>
      <w:pPr>
        <w:spacing w:after="60"/>
      </w:pPr>
      <w:r>
        <w:rPr>
          <w:rFonts w:ascii="Arial" w:cs="Arial" w:eastAsia="Arial" w:hAnsi="Arial"/>
          <w:color w:val="1A2340"/>
          <w:sz w:val="20"/>
          <w:szCs w:val="20"/>
        </w:rPr>
        <w:t xml:space="preserve"> </w:t>
      </w:r>
    </w:p>
    <w:p>
      <w:pPr>
        <w:pStyle w:val="Heading2"/>
        <w:spacing w:after="120" w:before="240"/>
      </w:pPr>
      <w:r>
        <w:rPr>
          <w:rFonts w:ascii="Arial" w:cs="Arial" w:eastAsia="Arial" w:hAnsi="Arial"/>
          <w:b/>
          <w:bCs/>
          <w:color w:val="152168"/>
          <w:sz w:val="26"/>
          <w:szCs w:val="26"/>
        </w:rPr>
        <w:t xml:space="preserve">6.4  Onboarding</w:t>
      </w:r>
    </w:p>
    <w:p>
      <w:pPr>
        <w:spacing w:after="120"/>
      </w:pPr>
      <w:r>
        <w:rPr>
          <w:rFonts w:ascii="Arial" w:cs="Arial" w:eastAsia="Arial" w:hAnsi="Arial"/>
          <w:color w:val="1A2340"/>
          <w:sz w:val="20"/>
          <w:szCs w:val="20"/>
        </w:rPr>
        <w:t xml:space="preserve">The following steps are required to formally onboard a new vendor:</w:t>
      </w:r>
    </w:p>
    <w:p>
      <w:pPr>
        <w:pStyle w:val="ListParagraph"/>
        <w:numPr>
          <w:ilvl w:val="0"/>
          <w:numId w:val="3"/>
        </w:numPr>
        <w:spacing w:after="80"/>
      </w:pPr>
      <w:r>
        <w:rPr>
          <w:rFonts w:ascii="Arial" w:cs="Arial" w:eastAsia="Arial" w:hAnsi="Arial"/>
          <w:color w:val="1A2340"/>
          <w:sz w:val="20"/>
          <w:szCs w:val="20"/>
        </w:rPr>
        <w:t xml:space="preserve">Register the vendor in the organizational vendor inventory (Appendix D) with tier, contact information, data accessed, and business owner.</w:t>
      </w:r>
    </w:p>
    <w:p>
      <w:pPr>
        <w:pStyle w:val="ListParagraph"/>
        <w:numPr>
          <w:ilvl w:val="0"/>
          <w:numId w:val="3"/>
        </w:numPr>
        <w:spacing w:after="80"/>
      </w:pPr>
      <w:r>
        <w:rPr>
          <w:rFonts w:ascii="Arial" w:cs="Arial" w:eastAsia="Arial" w:hAnsi="Arial"/>
          <w:color w:val="1A2340"/>
          <w:sz w:val="20"/>
          <w:szCs w:val="20"/>
        </w:rPr>
        <w:t xml:space="preserve">Ensure all required due diligence activities are complete and documented per Section 6.2.</w:t>
      </w:r>
    </w:p>
    <w:p>
      <w:pPr>
        <w:pStyle w:val="ListParagraph"/>
        <w:numPr>
          <w:ilvl w:val="0"/>
          <w:numId w:val="3"/>
        </w:numPr>
        <w:spacing w:after="80"/>
      </w:pPr>
      <w:r>
        <w:rPr>
          <w:rFonts w:ascii="Arial" w:cs="Arial" w:eastAsia="Arial" w:hAnsi="Arial"/>
          <w:color w:val="1A2340"/>
          <w:sz w:val="20"/>
          <w:szCs w:val="20"/>
        </w:rPr>
        <w:t xml:space="preserve">Confirm that the contract, DPA (if applicable), and BAA (if applicable) are fully executed.</w:t>
      </w:r>
    </w:p>
    <w:p>
      <w:pPr>
        <w:pStyle w:val="ListParagraph"/>
        <w:numPr>
          <w:ilvl w:val="0"/>
          <w:numId w:val="3"/>
        </w:numPr>
        <w:spacing w:after="80"/>
      </w:pPr>
      <w:r>
        <w:rPr>
          <w:rFonts w:ascii="Arial" w:cs="Arial" w:eastAsia="Arial" w:hAnsi="Arial"/>
          <w:color w:val="1A2340"/>
          <w:sz w:val="20"/>
          <w:szCs w:val="20"/>
        </w:rPr>
        <w:t xml:space="preserve">IT provisions vendor access in accordance with the principle of least privilege, limited to systems and data required for the contracted services.</w:t>
      </w:r>
    </w:p>
    <w:p>
      <w:pPr>
        <w:pStyle w:val="ListParagraph"/>
        <w:numPr>
          <w:ilvl w:val="0"/>
          <w:numId w:val="3"/>
        </w:numPr>
        <w:spacing w:after="80"/>
      </w:pPr>
      <w:r>
        <w:rPr>
          <w:rFonts w:ascii="Arial" w:cs="Arial" w:eastAsia="Arial" w:hAnsi="Arial"/>
          <w:color w:val="1A2340"/>
          <w:sz w:val="20"/>
          <w:szCs w:val="20"/>
        </w:rPr>
        <w:t xml:space="preserve">Conduct integration testing in a non-production environment where feasible before production access is granted.</w:t>
      </w:r>
    </w:p>
    <w:p>
      <w:pPr>
        <w:pStyle w:val="ListParagraph"/>
        <w:numPr>
          <w:ilvl w:val="0"/>
          <w:numId w:val="3"/>
        </w:numPr>
        <w:spacing w:after="80"/>
      </w:pPr>
      <w:r>
        <w:rPr>
          <w:rFonts w:ascii="Arial" w:cs="Arial" w:eastAsia="Arial" w:hAnsi="Arial"/>
          <w:color w:val="1A2340"/>
          <w:sz w:val="20"/>
          <w:szCs w:val="20"/>
        </w:rPr>
        <w:t xml:space="preserve">No vendor is granted access to production data or systems until Steps 1 through 4 are complete.</w:t>
      </w:r>
    </w:p>
    <w:p>
      <w:pPr>
        <w:spacing w:after="60"/>
      </w:pPr>
      <w:r>
        <w:rPr>
          <w:rFonts w:ascii="Arial" w:cs="Arial" w:eastAsia="Arial" w:hAnsi="Arial"/>
          <w:color w:val="1A2340"/>
          <w:sz w:val="20"/>
          <w:szCs w:val="20"/>
        </w:rPr>
        <w:t xml:space="preserve"> </w:t>
      </w:r>
    </w:p>
    <w:p>
      <w:pPr>
        <w:pStyle w:val="Heading2"/>
        <w:spacing w:after="120" w:before="240"/>
      </w:pPr>
      <w:r>
        <w:rPr>
          <w:rFonts w:ascii="Arial" w:cs="Arial" w:eastAsia="Arial" w:hAnsi="Arial"/>
          <w:b/>
          <w:bCs/>
          <w:color w:val="152168"/>
          <w:sz w:val="26"/>
          <w:szCs w:val="26"/>
        </w:rPr>
        <w:t xml:space="preserve">6.5  Ongoing Monitoring</w:t>
      </w:r>
    </w:p>
    <w:p>
      <w:pPr>
        <w:spacing w:after="120"/>
      </w:pPr>
      <w:r>
        <w:rPr>
          <w:rFonts w:ascii="Arial" w:cs="Arial" w:eastAsia="Arial" w:hAnsi="Arial"/>
          <w:color w:val="1A2340"/>
          <w:sz w:val="20"/>
          <w:szCs w:val="20"/>
        </w:rPr>
        <w:t xml:space="preserve">Vendor monitoring is ongoing and scaled to tier. In addition to scheduled reviews, trigger events require an immediate reassessment regardless of the vendor's position in the review cycle.</w:t>
      </w:r>
    </w:p>
    <w:p>
      <w:pPr>
        <w:spacing w:after="60"/>
      </w:pPr>
      <w:r>
        <w:rPr>
          <w:rFonts w:ascii="Arial" w:cs="Arial" w:eastAsia="Arial" w:hAnsi="Arial"/>
          <w:color w:val="1A234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60"/>
        <w:gridCol w:w="2900"/>
      </w:tblGrid>
      <w:tr>
        <w:trPr>
          <w:tblHeader/>
        </w:trPr>
        <w:tc>
          <w:tcPr>
            <w:tcW w:type="dxa" w:w="14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Tier</w:t>
            </w:r>
          </w:p>
        </w:tc>
        <w:tc>
          <w:tcPr>
            <w:tcW w:type="dxa" w:w="506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Scheduled Monitoring Activities</w:t>
            </w:r>
          </w:p>
        </w:tc>
        <w:tc>
          <w:tcPr>
            <w:tcW w:type="dxa" w:w="29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Review Frequency</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Critical</w:t>
            </w:r>
          </w:p>
        </w:tc>
        <w:tc>
          <w:tcPr>
            <w:tcW w:type="dxa" w:w="5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Annual full security reassessment; continuous monitoring (security news, SOC alerts, breach notifications); quarterly business review with Business Owner</w:t>
            </w:r>
          </w:p>
        </w:tc>
        <w:tc>
          <w:tcPr>
            <w:tcW w:type="dxa" w:w="2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Annual full reassessment; continuous monitoring</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High</w:t>
            </w:r>
          </w:p>
        </w:tc>
        <w:tc>
          <w:tcPr>
            <w:tcW w:type="dxa" w:w="5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Annual security review; annual SOC 2 Type II report review</w:t>
            </w:r>
          </w:p>
        </w:tc>
        <w:tc>
          <w:tcPr>
            <w:tcW w:type="dxa" w:w="2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Annual</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Moderate</w:t>
            </w:r>
          </w:p>
        </w:tc>
        <w:tc>
          <w:tcPr>
            <w:tcW w:type="dxa" w:w="5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Bi-annual check-in; confirm no scope expansion to sensitive data</w:t>
            </w:r>
          </w:p>
        </w:tc>
        <w:tc>
          <w:tcPr>
            <w:tcW w:type="dxa" w:w="2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Bi-annual</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Low</w:t>
            </w:r>
          </w:p>
        </w:tc>
        <w:tc>
          <w:tcPr>
            <w:tcW w:type="dxa" w:w="5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Review on material change (e.g., scope expansion, data access added)</w:t>
            </w:r>
          </w:p>
        </w:tc>
        <w:tc>
          <w:tcPr>
            <w:tcW w:type="dxa" w:w="2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Tri-annual or on material change</w:t>
            </w:r>
          </w:p>
        </w:tc>
      </w:tr>
    </w:tbl>
    <w:p>
      <w:pPr>
        <w:spacing w:after="60"/>
      </w:pPr>
      <w:r>
        <w:rPr>
          <w:rFonts w:ascii="Arial" w:cs="Arial" w:eastAsia="Arial" w:hAnsi="Arial"/>
          <w:color w:val="1A2340"/>
          <w:sz w:val="20"/>
          <w:szCs w:val="20"/>
        </w:rPr>
        <w:t xml:space="preserve"> </w:t>
      </w:r>
    </w:p>
    <w:p>
      <w:pPr>
        <w:pStyle w:val="Heading3"/>
        <w:spacing w:after="80" w:before="180"/>
      </w:pPr>
      <w:r>
        <w:rPr>
          <w:rFonts w:ascii="Arial" w:cs="Arial" w:eastAsia="Arial" w:hAnsi="Arial"/>
          <w:b/>
          <w:bCs/>
          <w:color w:val="4F46E5"/>
          <w:sz w:val="22"/>
          <w:szCs w:val="22"/>
        </w:rPr>
        <w:t xml:space="preserve">Trigger-Based Reassessment Events</w:t>
      </w:r>
    </w:p>
    <w:p>
      <w:pPr>
        <w:spacing w:after="120"/>
      </w:pPr>
      <w:r>
        <w:rPr>
          <w:rFonts w:ascii="Arial" w:cs="Arial" w:eastAsia="Arial" w:hAnsi="Arial"/>
          <w:color w:val="1A2340"/>
          <w:sz w:val="20"/>
          <w:szCs w:val="20"/>
        </w:rPr>
        <w:t xml:space="preserve">Any of the following events require an immediate reassessment regardless of scheduled cycle:</w:t>
      </w:r>
    </w:p>
    <w:p>
      <w:pPr>
        <w:pStyle w:val="ListParagraph"/>
        <w:numPr>
          <w:ilvl w:val="0"/>
          <w:numId w:val="2"/>
        </w:numPr>
        <w:spacing w:after="60"/>
      </w:pPr>
      <w:r>
        <w:rPr>
          <w:rFonts w:ascii="Arial" w:cs="Arial" w:eastAsia="Arial" w:hAnsi="Arial"/>
          <w:color w:val="1A2340"/>
          <w:sz w:val="20"/>
          <w:szCs w:val="20"/>
        </w:rPr>
        <w:t xml:space="preserve">Confirmed or suspected vendor data breach involving organizational data</w:t>
      </w:r>
    </w:p>
    <w:p>
      <w:pPr>
        <w:pStyle w:val="ListParagraph"/>
        <w:numPr>
          <w:ilvl w:val="0"/>
          <w:numId w:val="2"/>
        </w:numPr>
        <w:spacing w:after="60"/>
      </w:pPr>
      <w:r>
        <w:rPr>
          <w:rFonts w:ascii="Arial" w:cs="Arial" w:eastAsia="Arial" w:hAnsi="Arial"/>
          <w:color w:val="1A2340"/>
          <w:sz w:val="20"/>
          <w:szCs w:val="20"/>
        </w:rPr>
        <w:t xml:space="preserve">Significant change in vendor scope, services, or data access</w:t>
      </w:r>
    </w:p>
    <w:p>
      <w:pPr>
        <w:pStyle w:val="ListParagraph"/>
        <w:numPr>
          <w:ilvl w:val="0"/>
          <w:numId w:val="2"/>
        </w:numPr>
        <w:spacing w:after="60"/>
      </w:pPr>
      <w:r>
        <w:rPr>
          <w:rFonts w:ascii="Arial" w:cs="Arial" w:eastAsia="Arial" w:hAnsi="Arial"/>
          <w:color w:val="1A2340"/>
          <w:sz w:val="20"/>
          <w:szCs w:val="20"/>
        </w:rPr>
        <w:t xml:space="preserve">Vendor involvement in a regulatory investigation or enforcement action</w:t>
      </w:r>
    </w:p>
    <w:p>
      <w:pPr>
        <w:pStyle w:val="ListParagraph"/>
        <w:numPr>
          <w:ilvl w:val="0"/>
          <w:numId w:val="2"/>
        </w:numPr>
        <w:spacing w:after="60"/>
      </w:pPr>
      <w:r>
        <w:rPr>
          <w:rFonts w:ascii="Arial" w:cs="Arial" w:eastAsia="Arial" w:hAnsi="Arial"/>
          <w:color w:val="1A2340"/>
          <w:sz w:val="20"/>
          <w:szCs w:val="20"/>
        </w:rPr>
        <w:t xml:space="preserve">Indicators of vendor financial distress (e.g., insolvency filings, credit downgrades, acquisition activity)</w:t>
      </w:r>
    </w:p>
    <w:p>
      <w:pPr>
        <w:pStyle w:val="ListParagraph"/>
        <w:numPr>
          <w:ilvl w:val="0"/>
          <w:numId w:val="2"/>
        </w:numPr>
        <w:spacing w:after="60"/>
      </w:pPr>
      <w:r>
        <w:rPr>
          <w:rFonts w:ascii="Arial" w:cs="Arial" w:eastAsia="Arial" w:hAnsi="Arial"/>
          <w:color w:val="1A2340"/>
          <w:sz w:val="20"/>
          <w:szCs w:val="20"/>
        </w:rPr>
        <w:t xml:space="preserve">Material change in the vendor's ownership, jurisdiction, or key security personnel</w:t>
      </w:r>
    </w:p>
    <w:p>
      <w:pPr>
        <w:spacing w:after="60"/>
      </w:pPr>
      <w:r>
        <w:rPr>
          <w:rFonts w:ascii="Arial" w:cs="Arial" w:eastAsia="Arial" w:hAnsi="Arial"/>
          <w:color w:val="1A2340"/>
          <w:sz w:val="20"/>
          <w:szCs w:val="20"/>
        </w:rPr>
        <w:t xml:space="preserve"> </w:t>
      </w:r>
    </w:p>
    <w:p>
      <w:pPr>
        <w:pStyle w:val="Heading2"/>
        <w:spacing w:after="120" w:before="240"/>
      </w:pPr>
      <w:r>
        <w:rPr>
          <w:rFonts w:ascii="Arial" w:cs="Arial" w:eastAsia="Arial" w:hAnsi="Arial"/>
          <w:b/>
          <w:bCs/>
          <w:color w:val="152168"/>
          <w:sz w:val="26"/>
          <w:szCs w:val="26"/>
        </w:rPr>
        <w:t xml:space="preserve">6.6  Vendor Performance and Non-Compliance</w:t>
      </w:r>
    </w:p>
    <w:p>
      <w:pPr>
        <w:spacing w:after="120"/>
      </w:pPr>
      <w:r>
        <w:rPr>
          <w:rFonts w:ascii="Arial" w:cs="Arial" w:eastAsia="Arial" w:hAnsi="Arial"/>
          <w:color w:val="1A2340"/>
          <w:sz w:val="20"/>
          <w:szCs w:val="20"/>
        </w:rPr>
        <w:t xml:space="preserve">When a vendor fails to meet contractual security obligations or exhibits material security deficiencies, the following escalation process applies:</w:t>
      </w:r>
    </w:p>
    <w:p>
      <w:pPr>
        <w:pStyle w:val="ListParagraph"/>
        <w:numPr>
          <w:ilvl w:val="0"/>
          <w:numId w:val="3"/>
        </w:numPr>
        <w:spacing w:after="80"/>
      </w:pPr>
      <w:r>
        <w:rPr>
          <w:rFonts w:ascii="Arial" w:cs="Arial" w:eastAsia="Arial" w:hAnsi="Arial"/>
          <w:color w:val="1A2340"/>
          <w:sz w:val="20"/>
          <w:szCs w:val="20"/>
        </w:rPr>
        <w:t xml:space="preserve">The CISO/vCISO documents the deficiency and notifies the vendor in writing, citing the specific contractual obligation.</w:t>
      </w:r>
    </w:p>
    <w:p>
      <w:pPr>
        <w:pStyle w:val="ListParagraph"/>
        <w:numPr>
          <w:ilvl w:val="0"/>
          <w:numId w:val="3"/>
        </w:numPr>
        <w:spacing w:after="80"/>
      </w:pPr>
      <w:r>
        <w:rPr>
          <w:rFonts w:ascii="Arial" w:cs="Arial" w:eastAsia="Arial" w:hAnsi="Arial"/>
          <w:color w:val="1A2340"/>
          <w:sz w:val="20"/>
          <w:szCs w:val="20"/>
        </w:rPr>
        <w:t xml:space="preserve">The vendor is given a remediation timeline: no more than 30 days for Critical findings, 60 days for High findings, and 90 days for Moderate findings.</w:t>
      </w:r>
    </w:p>
    <w:p>
      <w:pPr>
        <w:pStyle w:val="ListParagraph"/>
        <w:numPr>
          <w:ilvl w:val="0"/>
          <w:numId w:val="3"/>
        </w:numPr>
        <w:spacing w:after="80"/>
      </w:pPr>
      <w:r>
        <w:rPr>
          <w:rFonts w:ascii="Arial" w:cs="Arial" w:eastAsia="Arial" w:hAnsi="Arial"/>
          <w:color w:val="1A2340"/>
          <w:sz w:val="20"/>
          <w:szCs w:val="20"/>
        </w:rPr>
        <w:t xml:space="preserve">Finance may place a payment hold if a Critical finding remains unremediated at the 30-day mark.</w:t>
      </w:r>
    </w:p>
    <w:p>
      <w:pPr>
        <w:pStyle w:val="ListParagraph"/>
        <w:numPr>
          <w:ilvl w:val="0"/>
          <w:numId w:val="3"/>
        </w:numPr>
        <w:spacing w:after="80"/>
      </w:pPr>
      <w:r>
        <w:rPr>
          <w:rFonts w:ascii="Arial" w:cs="Arial" w:eastAsia="Arial" w:hAnsi="Arial"/>
          <w:color w:val="1A2340"/>
          <w:sz w:val="20"/>
          <w:szCs w:val="20"/>
        </w:rPr>
        <w:t xml:space="preserve">If the vendor fails to remediate within the allotted timeline, the CISO/vCISO recommends contract termination to executive leadership.</w:t>
      </w:r>
    </w:p>
    <w:p>
      <w:pPr>
        <w:spacing w:after="120"/>
      </w:pPr>
      <w:r>
        <w:rPr>
          <w:rFonts w:ascii="Arial" w:cs="Arial" w:eastAsia="Arial" w:hAnsi="Arial"/>
          <w:color w:val="1A2340"/>
          <w:sz w:val="20"/>
          <w:szCs w:val="20"/>
        </w:rPr>
        <w:t xml:space="preserve">Contract termination triggers include: unremediated Critical findings after 30 days, repeated High findings across consecutive review cycles, confirmed data breach with evidence of negligence, or vendor refusal to cooperate with audit rights.</w:t>
      </w:r>
    </w:p>
    <w:p>
      <w:pPr>
        <w:spacing w:after="60"/>
      </w:pPr>
      <w:r>
        <w:rPr>
          <w:rFonts w:ascii="Arial" w:cs="Arial" w:eastAsia="Arial" w:hAnsi="Arial"/>
          <w:color w:val="1A2340"/>
          <w:sz w:val="20"/>
          <w:szCs w:val="20"/>
        </w:rPr>
        <w:t xml:space="preserve"> </w:t>
      </w:r>
    </w:p>
    <w:p>
      <w:pPr>
        <w:pStyle w:val="Heading2"/>
        <w:spacing w:after="120" w:before="240"/>
      </w:pPr>
      <w:r>
        <w:rPr>
          <w:rFonts w:ascii="Arial" w:cs="Arial" w:eastAsia="Arial" w:hAnsi="Arial"/>
          <w:b/>
          <w:bCs/>
          <w:color w:val="152168"/>
          <w:sz w:val="26"/>
          <w:szCs w:val="26"/>
        </w:rPr>
        <w:t xml:space="preserve">6.7  Offboarding</w:t>
      </w:r>
    </w:p>
    <w:p>
      <w:pPr>
        <w:spacing w:after="120"/>
      </w:pPr>
      <w:r>
        <w:rPr>
          <w:rFonts w:ascii="Arial" w:cs="Arial" w:eastAsia="Arial" w:hAnsi="Arial"/>
          <w:color w:val="1A2340"/>
          <w:sz w:val="20"/>
          <w:szCs w:val="20"/>
        </w:rPr>
        <w:t xml:space="preserve">When a vendor relationship ends, the following steps must be completed. See Appendix E for the full Vendor Offboarding Checklist.</w:t>
      </w:r>
    </w:p>
    <w:p>
      <w:pPr>
        <w:pStyle w:val="ListParagraph"/>
        <w:numPr>
          <w:ilvl w:val="0"/>
          <w:numId w:val="2"/>
        </w:numPr>
        <w:spacing w:after="60"/>
      </w:pPr>
      <w:r>
        <w:rPr>
          <w:rFonts w:ascii="Arial" w:cs="Arial" w:eastAsia="Arial" w:hAnsi="Arial"/>
          <w:color w:val="1A2340"/>
          <w:sz w:val="20"/>
          <w:szCs w:val="20"/>
        </w:rPr>
        <w:t xml:space="preserve">Access Revocation: IT revokes all vendor accounts, API keys, VPN credentials, and physical access within 24 hours of notice of termination.</w:t>
      </w:r>
    </w:p>
    <w:p>
      <w:pPr>
        <w:pStyle w:val="ListParagraph"/>
        <w:numPr>
          <w:ilvl w:val="0"/>
          <w:numId w:val="2"/>
        </w:numPr>
        <w:spacing w:after="60"/>
      </w:pPr>
      <w:r>
        <w:rPr>
          <w:rFonts w:ascii="Arial" w:cs="Arial" w:eastAsia="Arial" w:hAnsi="Arial"/>
          <w:color w:val="1A2340"/>
          <w:sz w:val="20"/>
          <w:szCs w:val="20"/>
        </w:rPr>
        <w:t xml:space="preserve">Data Retrieval: The organization requests the return of all organizational data in a usable format within 30 days.</w:t>
      </w:r>
    </w:p>
    <w:p>
      <w:pPr>
        <w:pStyle w:val="ListParagraph"/>
        <w:numPr>
          <w:ilvl w:val="0"/>
          <w:numId w:val="2"/>
        </w:numPr>
        <w:spacing w:after="60"/>
      </w:pPr>
      <w:r>
        <w:rPr>
          <w:rFonts w:ascii="Arial" w:cs="Arial" w:eastAsia="Arial" w:hAnsi="Arial"/>
          <w:color w:val="1A2340"/>
          <w:sz w:val="20"/>
          <w:szCs w:val="20"/>
        </w:rPr>
        <w:t xml:space="preserve">Data Destruction Confirmation: Vendor provides written confirmation that all copies of organizational data have been destroyed within 60 days of contract end.</w:t>
      </w:r>
    </w:p>
    <w:p>
      <w:pPr>
        <w:pStyle w:val="ListParagraph"/>
        <w:numPr>
          <w:ilvl w:val="0"/>
          <w:numId w:val="2"/>
        </w:numPr>
        <w:spacing w:after="60"/>
      </w:pPr>
      <w:r>
        <w:rPr>
          <w:rFonts w:ascii="Arial" w:cs="Arial" w:eastAsia="Arial" w:hAnsi="Arial"/>
          <w:color w:val="1A2340"/>
          <w:sz w:val="20"/>
          <w:szCs w:val="20"/>
        </w:rPr>
        <w:t xml:space="preserve">Contract Close-Out: Legal confirms that all contractual obligations have been met and that the contract is formally closed.</w:t>
      </w:r>
    </w:p>
    <w:p>
      <w:pPr>
        <w:pStyle w:val="ListParagraph"/>
        <w:numPr>
          <w:ilvl w:val="0"/>
          <w:numId w:val="2"/>
        </w:numPr>
        <w:spacing w:after="60"/>
      </w:pPr>
      <w:r>
        <w:rPr>
          <w:rFonts w:ascii="Arial" w:cs="Arial" w:eastAsia="Arial" w:hAnsi="Arial"/>
          <w:color w:val="1A2340"/>
          <w:sz w:val="20"/>
          <w:szCs w:val="20"/>
        </w:rPr>
        <w:t xml:space="preserve">Vendor Inventory Update: The vendor is marked as Offboarded in the vendor inventory, with offboarding date and confirmation references recorded.</w:t>
      </w:r>
    </w:p>
    <w:p>
      <w:pPr>
        <w:pStyle w:val="ListParagraph"/>
        <w:numPr>
          <w:ilvl w:val="0"/>
          <w:numId w:val="2"/>
        </w:numPr>
        <w:spacing w:after="60"/>
      </w:pPr>
      <w:r>
        <w:rPr>
          <w:rFonts w:ascii="Arial" w:cs="Arial" w:eastAsia="Arial" w:hAnsi="Arial"/>
          <w:color w:val="1A2340"/>
          <w:sz w:val="20"/>
          <w:szCs w:val="20"/>
        </w:rPr>
        <w:t xml:space="preserve">Final Payment Clearance: Finance confirms no outstanding disputes before final payment is released.</w:t>
      </w:r>
    </w:p>
    <w:p>
      <w:pPr>
        <w:spacing w:after="60"/>
      </w:pPr>
      <w:r>
        <w:rPr>
          <w:rFonts w:ascii="Arial" w:cs="Arial" w:eastAsia="Arial" w:hAnsi="Arial"/>
          <w:color w:val="1A2340"/>
          <w:sz w:val="20"/>
          <w:szCs w:val="20"/>
        </w:rPr>
        <w:t xml:space="preserve"> </w:t>
      </w:r>
    </w:p>
    <w:p>
      <w:pPr>
        <w:pStyle w:val="Heading2"/>
        <w:spacing w:after="120" w:before="240"/>
      </w:pPr>
      <w:r>
        <w:rPr>
          <w:rFonts w:ascii="Arial" w:cs="Arial" w:eastAsia="Arial" w:hAnsi="Arial"/>
          <w:b/>
          <w:bCs/>
          <w:color w:val="152168"/>
          <w:sz w:val="26"/>
          <w:szCs w:val="26"/>
        </w:rPr>
        <w:t xml:space="preserve">6.8  Critical Vendor Resilience</w:t>
      </w:r>
    </w:p>
    <w:p>
      <w:pPr>
        <w:spacing w:after="120"/>
      </w:pPr>
      <w:r>
        <w:rPr>
          <w:rFonts w:ascii="Arial" w:cs="Arial" w:eastAsia="Arial" w:hAnsi="Arial"/>
          <w:color w:val="1A2340"/>
          <w:sz w:val="20"/>
          <w:szCs w:val="20"/>
        </w:rPr>
        <w:t xml:space="preserve">The organization must actively manage concentration risk. For all Critical-tier vendors, the following provisions apply:</w:t>
      </w:r>
    </w:p>
    <w:p>
      <w:pPr>
        <w:pStyle w:val="ListParagraph"/>
        <w:numPr>
          <w:ilvl w:val="0"/>
          <w:numId w:val="2"/>
        </w:numPr>
        <w:spacing w:after="60"/>
      </w:pPr>
      <w:r>
        <w:rPr>
          <w:rFonts w:ascii="Arial" w:cs="Arial" w:eastAsia="Arial" w:hAnsi="Arial"/>
          <w:color w:val="1A2340"/>
          <w:sz w:val="20"/>
          <w:szCs w:val="20"/>
        </w:rPr>
        <w:t xml:space="preserve">Concentration Risk: No single vendor should be the sole source for more than one critical business function without documented executive approval and a mitigation plan.</w:t>
      </w:r>
    </w:p>
    <w:p>
      <w:pPr>
        <w:pStyle w:val="ListParagraph"/>
        <w:numPr>
          <w:ilvl w:val="0"/>
          <w:numId w:val="2"/>
        </w:numPr>
        <w:spacing w:after="60"/>
      </w:pPr>
      <w:r>
        <w:rPr>
          <w:rFonts w:ascii="Arial" w:cs="Arial" w:eastAsia="Arial" w:hAnsi="Arial"/>
          <w:color w:val="1A2340"/>
          <w:sz w:val="20"/>
          <w:szCs w:val="20"/>
        </w:rPr>
        <w:t xml:space="preserve">Business Continuity Provisions: Contracts with Critical-tier vendors must include SLAs with uptime commitments and provisions for data portability and continuity of service during vendor incidents.</w:t>
      </w:r>
    </w:p>
    <w:p>
      <w:pPr>
        <w:pStyle w:val="ListParagraph"/>
        <w:numPr>
          <w:ilvl w:val="0"/>
          <w:numId w:val="2"/>
        </w:numPr>
        <w:spacing w:after="60"/>
      </w:pPr>
      <w:r>
        <w:rPr>
          <w:rFonts w:ascii="Arial" w:cs="Arial" w:eastAsia="Arial" w:hAnsi="Arial"/>
          <w:color w:val="1A2340"/>
          <w:sz w:val="20"/>
          <w:szCs w:val="20"/>
        </w:rPr>
        <w:t xml:space="preserve">Alternate Vendor Identification: The Business Owner must identify at least one alternate vendor capable of fulfilling the function within 90 days of a Critical-tier vendor becoming unavailable.</w:t>
      </w:r>
    </w:p>
    <w:p>
      <w:pPr>
        <w:pStyle w:val="ListParagraph"/>
        <w:numPr>
          <w:ilvl w:val="0"/>
          <w:numId w:val="2"/>
        </w:numPr>
        <w:spacing w:after="60"/>
      </w:pPr>
      <w:r>
        <w:rPr>
          <w:rFonts w:ascii="Arial" w:cs="Arial" w:eastAsia="Arial" w:hAnsi="Arial"/>
          <w:color w:val="1A2340"/>
          <w:sz w:val="20"/>
          <w:szCs w:val="20"/>
        </w:rPr>
        <w:t xml:space="preserve">Exit Provisions: Contracts must include exit provisions allowing the organization to terminate without penalty in the event of a material security breach by the vendor, insolvency, or acquisition by a competitor.</w:t>
      </w:r>
    </w:p>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7. Compliance and Enforcement</w:t>
      </w:r>
    </w:p>
    <w:p>
      <w:pPr>
        <w:spacing w:after="120"/>
      </w:pPr>
      <w:r>
        <w:rPr>
          <w:rFonts w:ascii="Arial" w:cs="Arial" w:eastAsia="Arial" w:hAnsi="Arial"/>
          <w:color w:val="1A2340"/>
          <w:sz w:val="20"/>
          <w:szCs w:val="20"/>
        </w:rPr>
        <w:t xml:space="preserve">All employees, contractors, and departments are required to comply with this policy when engaging or managing third-party vendors.</w:t>
      </w:r>
    </w:p>
    <w:p>
      <w:pPr>
        <w:pStyle w:val="ListParagraph"/>
        <w:numPr>
          <w:ilvl w:val="0"/>
          <w:numId w:val="2"/>
        </w:numPr>
        <w:spacing w:after="60"/>
      </w:pPr>
      <w:r>
        <w:rPr>
          <w:rFonts w:ascii="Arial" w:cs="Arial" w:eastAsia="Arial" w:hAnsi="Arial"/>
          <w:color w:val="1A2340"/>
          <w:sz w:val="20"/>
          <w:szCs w:val="20"/>
        </w:rPr>
        <w:t xml:space="preserve">Failure to obtain required approvals before engaging a vendor constitutes a policy violation.</w:t>
      </w:r>
    </w:p>
    <w:p>
      <w:pPr>
        <w:pStyle w:val="ListParagraph"/>
        <w:numPr>
          <w:ilvl w:val="0"/>
          <w:numId w:val="2"/>
        </w:numPr>
        <w:spacing w:after="60"/>
      </w:pPr>
      <w:r>
        <w:rPr>
          <w:rFonts w:ascii="Arial" w:cs="Arial" w:eastAsia="Arial" w:hAnsi="Arial"/>
          <w:color w:val="1A2340"/>
          <w:sz w:val="20"/>
          <w:szCs w:val="20"/>
        </w:rPr>
        <w:t xml:space="preserve">Engaging a vendor without completing required due diligence may result in disciplinary action, up to and including termination of employment.</w:t>
      </w:r>
    </w:p>
    <w:p>
      <w:pPr>
        <w:pStyle w:val="ListParagraph"/>
        <w:numPr>
          <w:ilvl w:val="0"/>
          <w:numId w:val="2"/>
        </w:numPr>
        <w:spacing w:after="60"/>
      </w:pPr>
      <w:r>
        <w:rPr>
          <w:rFonts w:ascii="Arial" w:cs="Arial" w:eastAsia="Arial" w:hAnsi="Arial"/>
          <w:color w:val="1A2340"/>
          <w:sz w:val="20"/>
          <w:szCs w:val="20"/>
        </w:rPr>
        <w:t xml:space="preserve">Violations that result in unauthorized disclosure of organizational data will be treated as a security incident under the organization's Incident Response Policy.</w:t>
      </w:r>
    </w:p>
    <w:p>
      <w:pPr>
        <w:pStyle w:val="ListParagraph"/>
        <w:numPr>
          <w:ilvl w:val="0"/>
          <w:numId w:val="2"/>
        </w:numPr>
        <w:spacing w:after="60"/>
      </w:pPr>
      <w:r>
        <w:rPr>
          <w:rFonts w:ascii="Arial" w:cs="Arial" w:eastAsia="Arial" w:hAnsi="Arial"/>
          <w:color w:val="1A2340"/>
          <w:sz w:val="20"/>
          <w:szCs w:val="20"/>
        </w:rPr>
        <w:t xml:space="preserve">The CISO/vCISO or delegate will conduct an annual audit of the vendor inventory to ensure compliance with tiering, review schedules, and contractual requirements.</w:t>
      </w:r>
    </w:p>
    <w:p>
      <w:pPr>
        <w:pStyle w:val="ListParagraph"/>
        <w:numPr>
          <w:ilvl w:val="0"/>
          <w:numId w:val="2"/>
        </w:numPr>
        <w:spacing w:after="60"/>
      </w:pPr>
      <w:r>
        <w:rPr>
          <w:rFonts w:ascii="Arial" w:cs="Arial" w:eastAsia="Arial" w:hAnsi="Arial"/>
          <w:color w:val="1A2340"/>
          <w:sz w:val="20"/>
          <w:szCs w:val="20"/>
        </w:rPr>
        <w:t xml:space="preserve">Exceptions to this policy require written approval from the CISO/vCISO and must be documented in the vendor inventory with a risk acceptance rationale.</w:t>
      </w:r>
    </w:p>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8. Related Documents</w:t>
      </w:r>
    </w:p>
    <w:p>
      <w:pPr>
        <w:pStyle w:val="ListParagraph"/>
        <w:numPr>
          <w:ilvl w:val="0"/>
          <w:numId w:val="2"/>
        </w:numPr>
        <w:spacing w:after="60"/>
      </w:pPr>
      <w:r>
        <w:rPr>
          <w:rFonts w:ascii="Arial" w:cs="Arial" w:eastAsia="Arial" w:hAnsi="Arial"/>
          <w:color w:val="1A2340"/>
          <w:sz w:val="20"/>
          <w:szCs w:val="20"/>
        </w:rPr>
        <w:t xml:space="preserve">Information Security Policy</w:t>
      </w:r>
    </w:p>
    <w:p>
      <w:pPr>
        <w:pStyle w:val="ListParagraph"/>
        <w:numPr>
          <w:ilvl w:val="0"/>
          <w:numId w:val="2"/>
        </w:numPr>
        <w:spacing w:after="60"/>
      </w:pPr>
      <w:r>
        <w:rPr>
          <w:rFonts w:ascii="Arial" w:cs="Arial" w:eastAsia="Arial" w:hAnsi="Arial"/>
          <w:color w:val="1A2340"/>
          <w:sz w:val="20"/>
          <w:szCs w:val="20"/>
        </w:rPr>
        <w:t xml:space="preserve">Data Classification Policy</w:t>
      </w:r>
    </w:p>
    <w:p>
      <w:pPr>
        <w:pStyle w:val="ListParagraph"/>
        <w:numPr>
          <w:ilvl w:val="0"/>
          <w:numId w:val="2"/>
        </w:numPr>
        <w:spacing w:after="60"/>
      </w:pPr>
      <w:r>
        <w:rPr>
          <w:rFonts w:ascii="Arial" w:cs="Arial" w:eastAsia="Arial" w:hAnsi="Arial"/>
          <w:color w:val="1A2340"/>
          <w:sz w:val="20"/>
          <w:szCs w:val="20"/>
        </w:rPr>
        <w:t xml:space="preserve">Incident Response Policy</w:t>
      </w:r>
    </w:p>
    <w:p>
      <w:pPr>
        <w:pStyle w:val="ListParagraph"/>
        <w:numPr>
          <w:ilvl w:val="0"/>
          <w:numId w:val="2"/>
        </w:numPr>
        <w:spacing w:after="60"/>
      </w:pPr>
      <w:r>
        <w:rPr>
          <w:rFonts w:ascii="Arial" w:cs="Arial" w:eastAsia="Arial" w:hAnsi="Arial"/>
          <w:color w:val="1A2340"/>
          <w:sz w:val="20"/>
          <w:szCs w:val="20"/>
        </w:rPr>
        <w:t xml:space="preserve">Access Control Policy</w:t>
      </w:r>
    </w:p>
    <w:p>
      <w:pPr>
        <w:pStyle w:val="ListParagraph"/>
        <w:numPr>
          <w:ilvl w:val="0"/>
          <w:numId w:val="2"/>
        </w:numPr>
        <w:spacing w:after="60"/>
      </w:pPr>
      <w:r>
        <w:rPr>
          <w:rFonts w:ascii="Arial" w:cs="Arial" w:eastAsia="Arial" w:hAnsi="Arial"/>
          <w:color w:val="1A2340"/>
          <w:sz w:val="20"/>
          <w:szCs w:val="20"/>
        </w:rPr>
        <w:t xml:space="preserve">Business Continuity and Disaster Recovery Plan</w:t>
      </w:r>
    </w:p>
    <w:p>
      <w:pPr>
        <w:pStyle w:val="ListParagraph"/>
        <w:numPr>
          <w:ilvl w:val="0"/>
          <w:numId w:val="2"/>
        </w:numPr>
        <w:spacing w:after="60"/>
      </w:pPr>
      <w:r>
        <w:rPr>
          <w:rFonts w:ascii="Arial" w:cs="Arial" w:eastAsia="Arial" w:hAnsi="Arial"/>
          <w:color w:val="1A2340"/>
          <w:sz w:val="20"/>
          <w:szCs w:val="20"/>
        </w:rPr>
        <w:t xml:space="preserve">Privacy Policy / Data Protection Policy</w:t>
      </w:r>
    </w:p>
    <w:p>
      <w:pPr>
        <w:pStyle w:val="ListParagraph"/>
        <w:numPr>
          <w:ilvl w:val="0"/>
          <w:numId w:val="2"/>
        </w:numPr>
        <w:spacing w:after="60"/>
      </w:pPr>
      <w:r>
        <w:rPr>
          <w:rFonts w:ascii="Arial" w:cs="Arial" w:eastAsia="Arial" w:hAnsi="Arial"/>
          <w:color w:val="1A2340"/>
          <w:sz w:val="20"/>
          <w:szCs w:val="20"/>
        </w:rPr>
        <w:t xml:space="preserve">Vendor Contract Template (Legal)</w:t>
      </w:r>
    </w:p>
    <w:p>
      <w:pPr>
        <w:pStyle w:val="ListParagraph"/>
        <w:numPr>
          <w:ilvl w:val="0"/>
          <w:numId w:val="2"/>
        </w:numPr>
        <w:spacing w:after="60"/>
      </w:pPr>
      <w:r>
        <w:rPr>
          <w:rFonts w:ascii="Arial" w:cs="Arial" w:eastAsia="Arial" w:hAnsi="Arial"/>
          <w:color w:val="1A2340"/>
          <w:sz w:val="20"/>
          <w:szCs w:val="20"/>
        </w:rPr>
        <w:t xml:space="preserve">Data Processing Agreement Template (Legal)</w:t>
      </w:r>
    </w:p>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9.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960"/>
        <w:gridCol w:w="2400"/>
      </w:tblGrid>
      <w:tr>
        <w:trPr>
          <w:tblHeader/>
        </w:trPr>
        <w:tc>
          <w:tcPr>
            <w:tcW w:type="dxa" w:w="12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Version</w:t>
            </w:r>
          </w:p>
        </w:tc>
        <w:tc>
          <w:tcPr>
            <w:tcW w:type="dxa" w:w="18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Date</w:t>
            </w:r>
          </w:p>
        </w:tc>
        <w:tc>
          <w:tcPr>
            <w:tcW w:type="dxa" w:w="396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Changes</w:t>
            </w:r>
          </w:p>
        </w:tc>
        <w:tc>
          <w:tcPr>
            <w:tcW w:type="dxa" w:w="24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Author</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1.0</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[DATE]</w:t>
            </w:r>
          </w:p>
        </w:tc>
        <w:tc>
          <w:tcPr>
            <w:tcW w:type="dxa" w:w="3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Initial issue</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[AUTHOR]</w:t>
            </w:r>
          </w:p>
        </w:tc>
      </w:tr>
    </w:tbl>
    <w:p>
      <w:pPr>
        <w:spacing w:after="60"/>
      </w:pPr>
      <w:r>
        <w:rPr>
          <w:rFonts w:ascii="Arial" w:cs="Arial" w:eastAsia="Arial" w:hAnsi="Arial"/>
          <w:color w:val="1A2340"/>
          <w:sz w:val="20"/>
          <w:szCs w:val="20"/>
        </w:rPr>
        <w:t xml:space="preserve"> </w:t>
      </w:r>
    </w:p>
    <w:p>
      <w:r>
        <w:br w:type="page"/>
      </w:r>
    </w:p>
    <w:p>
      <w:pPr>
        <w:pStyle w:val="Heading1"/>
        <w:pBdr>
          <w:bottom w:val="single" w:color="07B4D9" w:sz="8"/>
        </w:pBdr>
        <w:spacing w:after="160" w:before="320"/>
      </w:pPr>
      <w:r>
        <w:rPr>
          <w:rFonts w:ascii="Arial" w:cs="Arial" w:eastAsia="Arial" w:hAnsi="Arial"/>
          <w:b/>
          <w:bCs/>
          <w:color w:val="152168"/>
          <w:sz w:val="32"/>
          <w:szCs w:val="32"/>
        </w:rPr>
        <w:t xml:space="preserve">Appendix A: Vendor Tiering Decision Tree</w:t>
      </w:r>
    </w:p>
    <w:p>
      <w:pPr>
        <w:spacing w:after="120"/>
      </w:pPr>
      <w:r>
        <w:rPr>
          <w:rFonts w:ascii="Arial" w:cs="Arial" w:eastAsia="Arial" w:hAnsi="Arial"/>
          <w:color w:val="1A2340"/>
          <w:sz w:val="20"/>
          <w:szCs w:val="20"/>
        </w:rPr>
        <w:t xml:space="preserve">Use the following decision tree to determine the appropriate tier for a new vendor. Answer each question in order and follow the path to the assigned tier.</w:t>
      </w:r>
    </w:p>
    <w:p>
      <w:pPr>
        <w:spacing w:after="60"/>
      </w:pPr>
      <w:r>
        <w:rPr>
          <w:rFonts w:ascii="Arial" w:cs="Arial" w:eastAsia="Arial" w:hAnsi="Arial"/>
          <w:color w:val="1A234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Question</w:t>
            </w:r>
          </w:p>
        </w:tc>
        <w:tc>
          <w:tcPr>
            <w:tcW w:type="dxa" w:w="468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Outcome</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Q1: Does the vendor access, store, process, or transmit Critical data (e.g., payment card data, PHI, credentials, core transactional data)?</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Yes: Critical     No: Go to Q2</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Q2: Is the organization operationally dependent on this vendor for a core business process (e.g., PMS, POS, payroll)?</w:t>
            </w:r>
          </w:p>
        </w:tc>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Yes: Critical     No: Go to Q3</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Q3: Would loss of this vendor cause significant operational disruption within 24 hours?</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Yes: Critical     No: Go to Q4</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Q4: Does the vendor access Confidential data (e.g., financial records, employee data, non-public business information)?</w:t>
            </w:r>
          </w:p>
        </w:tc>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Yes: High     No: Go to Q5</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Q5: Is the vendor an IT service provider, MSP, or does it have administrative access to organizational systems?</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Yes: High     No: Go to Q6</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Q6: Does the vendor access any Internal data or play a significant operational role without critical dependency?</w:t>
            </w:r>
          </w:p>
        </w:tc>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Yes: Moderate     No: Low</w:t>
            </w:r>
          </w:p>
        </w:tc>
      </w:tr>
    </w:tbl>
    <w:p>
      <w:pPr>
        <w:spacing w:after="60"/>
      </w:pPr>
      <w:r>
        <w:rPr>
          <w:rFonts w:ascii="Arial" w:cs="Arial" w:eastAsia="Arial" w:hAnsi="Arial"/>
          <w:color w:val="1A2340"/>
          <w:sz w:val="20"/>
          <w:szCs w:val="20"/>
        </w:rPr>
        <w:t xml:space="preserve"> </w:t>
      </w:r>
    </w:p>
    <w:p>
      <w:r>
        <w:br w:type="page"/>
      </w:r>
    </w:p>
    <w:p>
      <w:pPr>
        <w:pStyle w:val="Heading1"/>
        <w:pBdr>
          <w:bottom w:val="single" w:color="07B4D9" w:sz="8"/>
        </w:pBdr>
        <w:spacing w:after="160" w:before="320"/>
      </w:pPr>
      <w:r>
        <w:rPr>
          <w:rFonts w:ascii="Arial" w:cs="Arial" w:eastAsia="Arial" w:hAnsi="Arial"/>
          <w:b/>
          <w:bCs/>
          <w:color w:val="152168"/>
          <w:sz w:val="32"/>
          <w:szCs w:val="32"/>
        </w:rPr>
        <w:t xml:space="preserve">Appendix B: Security Assessment Questionnaire Template</w:t>
      </w:r>
    </w:p>
    <w:p>
      <w:pPr>
        <w:spacing w:after="120"/>
      </w:pPr>
      <w:r>
        <w:rPr>
          <w:rFonts w:ascii="Arial" w:cs="Arial" w:eastAsia="Arial" w:hAnsi="Arial"/>
          <w:color w:val="1A2340"/>
          <w:sz w:val="20"/>
          <w:szCs w:val="20"/>
        </w:rPr>
        <w:t xml:space="preserve">This abbreviated questionnaire is used for Critical and High-tier vendor pre-engagement assessments. Questions 1-12 are required for all Critical and High-tier vendors. Questions 13-25 are required for Critical-tier vendors and are strongly recommended for High-tier vendors.</w:t>
      </w:r>
    </w:p>
    <w:p>
      <w:pPr>
        <w:spacing w:after="60"/>
      </w:pPr>
      <w:r>
        <w:rPr>
          <w:rFonts w:ascii="Arial" w:cs="Arial" w:eastAsia="Arial" w:hAnsi="Arial"/>
          <w:color w:val="1A234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060"/>
      </w:tblGrid>
      <w:tr>
        <w:trPr>
          <w:tblHeader/>
        </w:trPr>
        <w:tc>
          <w:tcPr>
            <w:tcW w:type="dxa" w:w="5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18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Category</w:t>
            </w:r>
          </w:p>
        </w:tc>
        <w:tc>
          <w:tcPr>
            <w:tcW w:type="dxa" w:w="706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Question</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1</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General</w:t>
            </w:r>
          </w:p>
        </w:tc>
        <w:tc>
          <w:tcPr>
            <w:tcW w:type="dxa" w:w="7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Provide your organization's legal name, primary jurisdiction of incorporation, and main business address.</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2</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General</w:t>
            </w:r>
          </w:p>
        </w:tc>
        <w:tc>
          <w:tcPr>
            <w:tcW w:type="dxa" w:w="7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Does your organization maintain a formal information security policy? If yes, when was it last reviewed?</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3</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General</w:t>
            </w:r>
          </w:p>
        </w:tc>
        <w:tc>
          <w:tcPr>
            <w:tcW w:type="dxa" w:w="7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Does your organization have a designated information security officer or equivalent role?</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4</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General</w:t>
            </w:r>
          </w:p>
        </w:tc>
        <w:tc>
          <w:tcPr>
            <w:tcW w:type="dxa" w:w="7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Has your organization undergone a SOC 2 Type II audit? If yes, provide the most recent report or summary.</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5</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General</w:t>
            </w:r>
          </w:p>
        </w:tc>
        <w:tc>
          <w:tcPr>
            <w:tcW w:type="dxa" w:w="7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Has your organization experienced a data breach in the past 24 months? If yes, describe the incident and remediation steps taken.</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6</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Access Control</w:t>
            </w:r>
          </w:p>
        </w:tc>
        <w:tc>
          <w:tcPr>
            <w:tcW w:type="dxa" w:w="7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How is access to systems containing our data controlled? Describe your identity and access management (IAM) approach.</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7</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Access Control</w:t>
            </w:r>
          </w:p>
        </w:tc>
        <w:tc>
          <w:tcPr>
            <w:tcW w:type="dxa" w:w="7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Is multi-factor authentication (MFA) required for all administrative and remote access to systems containing our data?</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8</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Access Control</w:t>
            </w:r>
          </w:p>
        </w:tc>
        <w:tc>
          <w:tcPr>
            <w:tcW w:type="dxa" w:w="7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How are privileged accounts managed? Are just-in-time (JIT) access controls used?</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9</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Data Security</w:t>
            </w:r>
          </w:p>
        </w:tc>
        <w:tc>
          <w:tcPr>
            <w:tcW w:type="dxa" w:w="7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Is data classified? Describe your data classification scheme.</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10</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Data Security</w:t>
            </w:r>
          </w:p>
        </w:tc>
        <w:tc>
          <w:tcPr>
            <w:tcW w:type="dxa" w:w="7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Is our data encrypted at rest? What encryption standard is used?</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11</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Data Security</w:t>
            </w:r>
          </w:p>
        </w:tc>
        <w:tc>
          <w:tcPr>
            <w:tcW w:type="dxa" w:w="7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Is our data encrypted in transit? Is TLS 1.2 or higher enforced for all data transmissions?</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12</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Data Security</w:t>
            </w:r>
          </w:p>
        </w:tc>
        <w:tc>
          <w:tcPr>
            <w:tcW w:type="dxa" w:w="7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How are encryption keys managed? Are hardware security modules (HSMs) used?</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13</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Incident Response</w:t>
            </w:r>
          </w:p>
        </w:tc>
        <w:tc>
          <w:tcPr>
            <w:tcW w:type="dxa" w:w="7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Does your organization maintain a formal incident response plan?</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14</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Incident Response</w:t>
            </w:r>
          </w:p>
        </w:tc>
        <w:tc>
          <w:tcPr>
            <w:tcW w:type="dxa" w:w="7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What is your process for notifying customers of a data breach or security incident? Can you commit to 72-hour notification?</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15</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Incident Response</w:t>
            </w:r>
          </w:p>
        </w:tc>
        <w:tc>
          <w:tcPr>
            <w:tcW w:type="dxa" w:w="7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Has your incident response plan been tested in the past 12 months? Describe the test.</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16</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Vulnerability Mgmt</w:t>
            </w:r>
          </w:p>
        </w:tc>
        <w:tc>
          <w:tcPr>
            <w:tcW w:type="dxa" w:w="7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What is your process for identifying and remediating security vulnerabilities in systems containing our data?</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17</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Vulnerability Mgmt</w:t>
            </w:r>
          </w:p>
        </w:tc>
        <w:tc>
          <w:tcPr>
            <w:tcW w:type="dxa" w:w="7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How frequently are systems patched? What is your SLA for critical security patches?</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18</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Vulnerability Mgmt</w:t>
            </w:r>
          </w:p>
        </w:tc>
        <w:tc>
          <w:tcPr>
            <w:tcW w:type="dxa" w:w="7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Do you conduct regular penetration testing? If yes, by whom and how frequently?</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19</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Third Party</w:t>
            </w:r>
          </w:p>
        </w:tc>
        <w:tc>
          <w:tcPr>
            <w:tcW w:type="dxa" w:w="7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Do you use subprocessors to fulfill services covered by our engagement? If yes, list them.</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20</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Third Party</w:t>
            </w:r>
          </w:p>
        </w:tc>
        <w:tc>
          <w:tcPr>
            <w:tcW w:type="dxa" w:w="7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How do you assess and manage the security of your own subprocessors?</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21</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Business Continuity</w:t>
            </w:r>
          </w:p>
        </w:tc>
        <w:tc>
          <w:tcPr>
            <w:tcW w:type="dxa" w:w="7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Do you maintain a business continuity plan (BCP) and disaster recovery plan (DRP) relevant to services provided to us?</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22</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Business Continuity</w:t>
            </w:r>
          </w:p>
        </w:tc>
        <w:tc>
          <w:tcPr>
            <w:tcW w:type="dxa" w:w="7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What is your recovery time objective (RTO) and recovery point objective (RPO) for the systems supporting our services?</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23</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Compliance</w:t>
            </w:r>
          </w:p>
        </w:tc>
        <w:tc>
          <w:tcPr>
            <w:tcW w:type="dxa" w:w="7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What privacy and data protection regulations apply to your processing of our data (e.g., GDPR, CCPA, PIPEDA, HIPAA)?</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24</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Compliance</w:t>
            </w:r>
          </w:p>
        </w:tc>
        <w:tc>
          <w:tcPr>
            <w:tcW w:type="dxa" w:w="70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Are you willing to execute a Data Processing Agreement (DPA) and, where applicable, a Business Associate Agreement (BAA)?</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25</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Offboarding</w:t>
            </w:r>
          </w:p>
        </w:tc>
        <w:tc>
          <w:tcPr>
            <w:tcW w:type="dxa" w:w="7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What is your process for securely returning or destroying our data at contract termination? Can you provide written confirmation of destruction?</w:t>
            </w:r>
          </w:p>
        </w:tc>
      </w:tr>
    </w:tbl>
    <w:p>
      <w:pPr>
        <w:spacing w:after="60"/>
      </w:pPr>
      <w:r>
        <w:rPr>
          <w:rFonts w:ascii="Arial" w:cs="Arial" w:eastAsia="Arial" w:hAnsi="Arial"/>
          <w:color w:val="1A2340"/>
          <w:sz w:val="20"/>
          <w:szCs w:val="20"/>
        </w:rPr>
        <w:t xml:space="preserve"> </w:t>
      </w:r>
    </w:p>
    <w:p>
      <w:r>
        <w:br w:type="page"/>
      </w:r>
    </w:p>
    <w:p>
      <w:pPr>
        <w:pStyle w:val="Heading1"/>
        <w:pBdr>
          <w:bottom w:val="single" w:color="07B4D9" w:sz="8"/>
        </w:pBdr>
        <w:spacing w:after="160" w:before="320"/>
      </w:pPr>
      <w:r>
        <w:rPr>
          <w:rFonts w:ascii="Arial" w:cs="Arial" w:eastAsia="Arial" w:hAnsi="Arial"/>
          <w:b/>
          <w:bCs/>
          <w:color w:val="152168"/>
          <w:sz w:val="32"/>
          <w:szCs w:val="32"/>
        </w:rPr>
        <w:t xml:space="preserve">Appendix C: Minimum Contractual Security Clauses</w:t>
      </w:r>
    </w:p>
    <w:p>
      <w:pPr>
        <w:spacing w:after="120"/>
      </w:pPr>
      <w:r>
        <w:rPr>
          <w:rFonts w:ascii="Arial" w:cs="Arial" w:eastAsia="Arial" w:hAnsi="Arial"/>
          <w:color w:val="1A2340"/>
          <w:sz w:val="20"/>
          <w:szCs w:val="20"/>
        </w:rPr>
        <w:t xml:space="preserve">The following clauses represent the minimum security obligations that must appear in contracts with Critical and High-tier vendors. These clauses should be reviewed and adapted by Legal Counsel. DPA and BAA templates are maintained separately by Legal.</w:t>
      </w:r>
    </w:p>
    <w:p>
      <w:pPr>
        <w:spacing w:after="60"/>
      </w:pPr>
      <w:r>
        <w:rPr>
          <w:rFonts w:ascii="Arial" w:cs="Arial" w:eastAsia="Arial" w:hAnsi="Arial"/>
          <w:color w:val="1A234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6880"/>
      </w:tblGrid>
      <w:tr>
        <w:trPr>
          <w:tblHeader/>
        </w:trPr>
        <w:tc>
          <w:tcPr>
            <w:tcW w:type="dxa" w:w="48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20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Clause Title</w:t>
            </w:r>
          </w:p>
        </w:tc>
        <w:tc>
          <w:tcPr>
            <w:tcW w:type="dxa" w:w="688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Minimum Requirement</w:t>
            </w:r>
          </w:p>
        </w:tc>
      </w:tr>
      <w:tr>
        <w:tc>
          <w:tcPr>
            <w:tcW w:type="dxa" w:w="4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1</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Data Security</w:t>
            </w:r>
          </w:p>
        </w:tc>
        <w:tc>
          <w:tcPr>
            <w:tcW w:type="dxa" w:w="68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Vendor shall maintain administrative, physical, and technical safeguards for the protection of organizational data no less rigorous than those required by applicable law and consistent with industry standards (e.g., ISO 27001, SOC 2 criteria).</w:t>
            </w:r>
          </w:p>
        </w:tc>
      </w:tr>
      <w:tr>
        <w:tc>
          <w:tcPr>
            <w:tcW w:type="dxa" w:w="4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2</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Encryption</w:t>
            </w:r>
          </w:p>
        </w:tc>
        <w:tc>
          <w:tcPr>
            <w:tcW w:type="dxa" w:w="68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Organizational data must be encrypted at rest using AES-256 or equivalent and in transit using TLS 1.2 or higher.</w:t>
            </w:r>
          </w:p>
        </w:tc>
      </w:tr>
      <w:tr>
        <w:tc>
          <w:tcPr>
            <w:tcW w:type="dxa" w:w="4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3</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Access Control</w:t>
            </w:r>
          </w:p>
        </w:tc>
        <w:tc>
          <w:tcPr>
            <w:tcW w:type="dxa" w:w="68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Access to organizational data must be limited to personnel who require access to perform contracted services. Vendor must implement multi-factor authentication for all remote and administrative access.</w:t>
            </w:r>
          </w:p>
        </w:tc>
      </w:tr>
      <w:tr>
        <w:tc>
          <w:tcPr>
            <w:tcW w:type="dxa" w:w="4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4</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Breach Notification</w:t>
            </w:r>
          </w:p>
        </w:tc>
        <w:tc>
          <w:tcPr>
            <w:tcW w:type="dxa" w:w="68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Vendor shall notify the organization within 72 hours of discovering any security incident or data breach that involves or may involve organizational data.</w:t>
            </w:r>
          </w:p>
        </w:tc>
      </w:tr>
      <w:tr>
        <w:tc>
          <w:tcPr>
            <w:tcW w:type="dxa" w:w="4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5</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Audit Rights</w:t>
            </w:r>
          </w:p>
        </w:tc>
        <w:tc>
          <w:tcPr>
            <w:tcW w:type="dxa" w:w="68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The organization, or its designated third-party assessor, may audit Vendor's security controls upon 30 days' written notice, not more than once per calendar year, unless a security incident has occurred.</w:t>
            </w:r>
          </w:p>
        </w:tc>
      </w:tr>
      <w:tr>
        <w:tc>
          <w:tcPr>
            <w:tcW w:type="dxa" w:w="4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6</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Subprocessors</w:t>
            </w:r>
          </w:p>
        </w:tc>
        <w:tc>
          <w:tcPr>
            <w:tcW w:type="dxa" w:w="68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Vendor shall not engage subprocessors to process organizational data without prior written consent from the organization. Vendor shall maintain an up-to-date list of all subprocessors.</w:t>
            </w:r>
          </w:p>
        </w:tc>
      </w:tr>
      <w:tr>
        <w:tc>
          <w:tcPr>
            <w:tcW w:type="dxa" w:w="4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7</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Data Return</w:t>
            </w:r>
          </w:p>
        </w:tc>
        <w:tc>
          <w:tcPr>
            <w:tcW w:type="dxa" w:w="68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Upon contract termination, Vendor shall return all organizational data in a portable format within 30 days and provide written confirmation of destruction of all copies within 60 days.</w:t>
            </w:r>
          </w:p>
        </w:tc>
      </w:tr>
      <w:tr>
        <w:tc>
          <w:tcPr>
            <w:tcW w:type="dxa" w:w="4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8</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No Unauthorized Use</w:t>
            </w:r>
          </w:p>
        </w:tc>
        <w:tc>
          <w:tcPr>
            <w:tcW w:type="dxa" w:w="68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Vendor shall not use, sell, disclose, or process organizational data for any purpose other than the contracted services.</w:t>
            </w:r>
          </w:p>
        </w:tc>
      </w:tr>
      <w:tr>
        <w:tc>
          <w:tcPr>
            <w:tcW w:type="dxa" w:w="4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9</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Regulatory Compliance</w:t>
            </w:r>
          </w:p>
        </w:tc>
        <w:tc>
          <w:tcPr>
            <w:tcW w:type="dxa" w:w="68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Vendor shall comply with all applicable data protection and privacy laws relevant to its processing of organizational data.</w:t>
            </w:r>
          </w:p>
        </w:tc>
      </w:tr>
      <w:tr>
        <w:tc>
          <w:tcPr>
            <w:tcW w:type="dxa" w:w="4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10</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Incident Response</w:t>
            </w:r>
          </w:p>
        </w:tc>
        <w:tc>
          <w:tcPr>
            <w:tcW w:type="dxa" w:w="68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Vendor shall maintain a documented incident response plan covering incidents affecting organizational data and shall cooperate with the organization during investigation and remediation.</w:t>
            </w:r>
          </w:p>
        </w:tc>
      </w:tr>
    </w:tbl>
    <w:p>
      <w:pPr>
        <w:spacing w:after="60"/>
      </w:pPr>
      <w:r>
        <w:rPr>
          <w:rFonts w:ascii="Arial" w:cs="Arial" w:eastAsia="Arial" w:hAnsi="Arial"/>
          <w:color w:val="1A2340"/>
          <w:sz w:val="20"/>
          <w:szCs w:val="20"/>
        </w:rPr>
        <w:t xml:space="preserve"> </w:t>
      </w:r>
    </w:p>
    <w:p>
      <w:r>
        <w:br w:type="page"/>
      </w:r>
    </w:p>
    <w:p>
      <w:pPr>
        <w:pStyle w:val="Heading1"/>
        <w:pBdr>
          <w:bottom w:val="single" w:color="07B4D9" w:sz="8"/>
        </w:pBdr>
        <w:spacing w:after="160" w:before="320"/>
      </w:pPr>
      <w:r>
        <w:rPr>
          <w:rFonts w:ascii="Arial" w:cs="Arial" w:eastAsia="Arial" w:hAnsi="Arial"/>
          <w:b/>
          <w:bCs/>
          <w:color w:val="152168"/>
          <w:sz w:val="32"/>
          <w:szCs w:val="32"/>
        </w:rPr>
        <w:t xml:space="preserve">Appendix D: Vendor Inventory Template</w:t>
      </w:r>
    </w:p>
    <w:p>
      <w:pPr>
        <w:spacing w:after="120"/>
      </w:pPr>
      <w:r>
        <w:rPr>
          <w:rFonts w:ascii="Arial" w:cs="Arial" w:eastAsia="Arial" w:hAnsi="Arial"/>
          <w:color w:val="1A2340"/>
          <w:sz w:val="20"/>
          <w:szCs w:val="20"/>
        </w:rPr>
        <w:t xml:space="preserve">Maintain this inventory in a secure, access-controlled system. Update on each onboarding, offboarding, or material change.</w:t>
      </w:r>
    </w:p>
    <w:p>
      <w:pPr>
        <w:spacing w:after="60"/>
      </w:pPr>
      <w:r>
        <w:rPr>
          <w:rFonts w:ascii="Arial" w:cs="Arial" w:eastAsia="Arial" w:hAnsi="Arial"/>
          <w:color w:val="1A234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960"/>
        <w:gridCol w:w="1560"/>
        <w:gridCol w:w="1560"/>
        <w:gridCol w:w="1560"/>
        <w:gridCol w:w="960"/>
      </w:tblGrid>
      <w:tr>
        <w:trPr>
          <w:tblHeader/>
        </w:trPr>
        <w:tc>
          <w:tcPr>
            <w:tcW w:type="dxa" w:w="156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Vendor Name</w:t>
            </w:r>
          </w:p>
        </w:tc>
        <w:tc>
          <w:tcPr>
            <w:tcW w:type="dxa" w:w="12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Product / Service</w:t>
            </w:r>
          </w:p>
        </w:tc>
        <w:tc>
          <w:tcPr>
            <w:tcW w:type="dxa" w:w="96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Tier</w:t>
            </w:r>
          </w:p>
        </w:tc>
        <w:tc>
          <w:tcPr>
            <w:tcW w:type="dxa" w:w="156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Data Accessed</w:t>
            </w:r>
          </w:p>
        </w:tc>
        <w:tc>
          <w:tcPr>
            <w:tcW w:type="dxa" w:w="156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Business Owner</w:t>
            </w:r>
          </w:p>
        </w:tc>
        <w:tc>
          <w:tcPr>
            <w:tcW w:type="dxa" w:w="156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Contract Expiry</w:t>
            </w:r>
          </w:p>
        </w:tc>
        <w:tc>
          <w:tcPr>
            <w:tcW w:type="dxa" w:w="96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Status</w:t>
            </w:r>
          </w:p>
        </w:tc>
      </w:tr>
      <w:tr>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[Vendor]</w:t>
            </w:r>
          </w:p>
        </w:tc>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[Service]</w:t>
            </w:r>
          </w:p>
        </w:tc>
        <w:tc>
          <w:tcPr>
            <w:tcW w:type="dxa" w:w="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[C/H/M/L]</w:t>
            </w:r>
          </w:p>
        </w:tc>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[Classification]</w:t>
            </w:r>
          </w:p>
        </w:tc>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[Owner]</w:t>
            </w:r>
          </w:p>
        </w:tc>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[Date]</w:t>
            </w:r>
          </w:p>
        </w:tc>
        <w:tc>
          <w:tcPr>
            <w:tcW w:type="dxa" w:w="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[Active / Offboarded]</w:t>
            </w:r>
          </w:p>
        </w:tc>
      </w:tr>
    </w:tbl>
    <w:p>
      <w:pPr>
        <w:spacing w:after="60"/>
      </w:pPr>
      <w:r>
        <w:rPr>
          <w:rFonts w:ascii="Arial" w:cs="Arial" w:eastAsia="Arial" w:hAnsi="Arial"/>
          <w:color w:val="1A2340"/>
          <w:sz w:val="20"/>
          <w:szCs w:val="20"/>
        </w:rPr>
        <w:t xml:space="preserve"> </w:t>
      </w:r>
    </w:p>
    <w:p>
      <w:pPr>
        <w:spacing w:after="120"/>
      </w:pPr>
      <w:r>
        <w:rPr>
          <w:rFonts w:ascii="Arial" w:cs="Arial" w:eastAsia="Arial" w:hAnsi="Arial"/>
          <w:color w:val="1A2340"/>
          <w:sz w:val="20"/>
          <w:szCs w:val="20"/>
        </w:rPr>
        <w:t xml:space="preserve">Additional fields to maintain in the full inventory: Vendor security contact, SOC 2 report expiry date, DPA executed (Y/N), BAA executed (Y/N), last assessment date, next review date, subprocessors listed (Y/N), notes.</w:t>
      </w:r>
    </w:p>
    <w:p>
      <w:pPr>
        <w:spacing w:after="60"/>
      </w:pPr>
      <w:r>
        <w:rPr>
          <w:rFonts w:ascii="Arial" w:cs="Arial" w:eastAsia="Arial" w:hAnsi="Arial"/>
          <w:color w:val="1A2340"/>
          <w:sz w:val="20"/>
          <w:szCs w:val="20"/>
        </w:rPr>
        <w:t xml:space="preserve"> </w:t>
      </w:r>
    </w:p>
    <w:p>
      <w:r>
        <w:br w:type="page"/>
      </w:r>
    </w:p>
    <w:p>
      <w:pPr>
        <w:pStyle w:val="Heading1"/>
        <w:pBdr>
          <w:bottom w:val="single" w:color="07B4D9" w:sz="8"/>
        </w:pBdr>
        <w:spacing w:after="160" w:before="320"/>
      </w:pPr>
      <w:r>
        <w:rPr>
          <w:rFonts w:ascii="Arial" w:cs="Arial" w:eastAsia="Arial" w:hAnsi="Arial"/>
          <w:b/>
          <w:bCs/>
          <w:color w:val="152168"/>
          <w:sz w:val="32"/>
          <w:szCs w:val="32"/>
        </w:rPr>
        <w:t xml:space="preserve">Appendix E: Vendor Offboarding Checklist</w:t>
      </w:r>
    </w:p>
    <w:p>
      <w:pPr>
        <w:spacing w:after="60"/>
      </w:pPr>
      <w:r>
        <w:rPr>
          <w:rFonts w:ascii="Arial" w:cs="Arial" w:eastAsia="Arial" w:hAnsi="Arial"/>
          <w:color w:val="1A234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900"/>
        <w:gridCol w:w="1400"/>
      </w:tblGrid>
      <w:tr>
        <w:trPr>
          <w:tblHeader/>
        </w:trPr>
        <w:tc>
          <w:tcPr>
            <w:tcW w:type="dxa" w:w="5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556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Task</w:t>
            </w:r>
          </w:p>
        </w:tc>
        <w:tc>
          <w:tcPr>
            <w:tcW w:type="dxa" w:w="19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Responsible</w:t>
            </w:r>
          </w:p>
        </w:tc>
        <w:tc>
          <w:tcPr>
            <w:tcW w:type="dxa" w:w="14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Done</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1</w:t>
            </w:r>
          </w:p>
        </w:tc>
        <w:tc>
          <w:tcPr>
            <w:tcW w:type="dxa" w:w="5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Revoke all vendor user accounts and administrative access</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IT</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 ]</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2</w:t>
            </w:r>
          </w:p>
        </w:tc>
        <w:tc>
          <w:tcPr>
            <w:tcW w:type="dxa" w:w="5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Revoke all API keys, tokens, and credentials associated with vendor</w:t>
            </w:r>
          </w:p>
        </w:tc>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IT</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 ]</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3</w:t>
            </w:r>
          </w:p>
        </w:tc>
        <w:tc>
          <w:tcPr>
            <w:tcW w:type="dxa" w:w="5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Revoke VPN access and remote connectivity</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IT</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 ]</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4</w:t>
            </w:r>
          </w:p>
        </w:tc>
        <w:tc>
          <w:tcPr>
            <w:tcW w:type="dxa" w:w="5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Revoke any physical access badges or facility codes</w:t>
            </w:r>
          </w:p>
        </w:tc>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IT / Facilities</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 ]</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5</w:t>
            </w:r>
          </w:p>
        </w:tc>
        <w:tc>
          <w:tcPr>
            <w:tcW w:type="dxa" w:w="5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Confirm access revocation is complete within 24 hours of notice</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CISO / vCISO</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 ]</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6</w:t>
            </w:r>
          </w:p>
        </w:tc>
        <w:tc>
          <w:tcPr>
            <w:tcW w:type="dxa" w:w="5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Request return of organizational data in portable format (within 30 days)</w:t>
            </w:r>
          </w:p>
        </w:tc>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Business Owner / Legal</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 ]</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7</w:t>
            </w:r>
          </w:p>
        </w:tc>
        <w:tc>
          <w:tcPr>
            <w:tcW w:type="dxa" w:w="5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Obtain written confirmation of data destruction (within 60 days)</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Legal</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 ]</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8</w:t>
            </w:r>
          </w:p>
        </w:tc>
        <w:tc>
          <w:tcPr>
            <w:tcW w:type="dxa" w:w="5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Confirm contract close-out with Legal</w:t>
            </w:r>
          </w:p>
        </w:tc>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Legal</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 ]</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9</w:t>
            </w:r>
          </w:p>
        </w:tc>
        <w:tc>
          <w:tcPr>
            <w:tcW w:type="dxa" w:w="5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Update vendor inventory - mark as Offboarded with date and references</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CISO / vCISO</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 ]</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10</w:t>
            </w:r>
          </w:p>
        </w:tc>
        <w:tc>
          <w:tcPr>
            <w:tcW w:type="dxa" w:w="5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Confirm final payment clearance with Finance</w:t>
            </w:r>
          </w:p>
        </w:tc>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Finance</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 ]</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11</w:t>
            </w:r>
          </w:p>
        </w:tc>
        <w:tc>
          <w:tcPr>
            <w:tcW w:type="dxa" w:w="5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Notify affected teams of vendor offboarding (IT, Finance, Operations)</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Business Owner</w:t>
            </w:r>
          </w:p>
        </w:tc>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 ]</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12</w:t>
            </w:r>
          </w:p>
        </w:tc>
        <w:tc>
          <w:tcPr>
            <w:tcW w:type="dxa" w:w="5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Archive all vendor assessment documentation</w:t>
            </w:r>
          </w:p>
        </w:tc>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CISO / vCISO</w:t>
            </w:r>
          </w:p>
        </w:tc>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 ]</w:t>
            </w:r>
          </w:p>
        </w:tc>
      </w:tr>
    </w:tbl>
    <w:p>
      <w:pPr>
        <w:spacing w:after="60"/>
      </w:pPr>
      <w:r>
        <w:rPr>
          <w:rFonts w:ascii="Arial" w:cs="Arial" w:eastAsia="Arial" w:hAnsi="Arial"/>
          <w:color w:val="1A2340"/>
          <w:sz w:val="20"/>
          <w:szCs w:val="20"/>
        </w:rPr>
        <w:t xml:space="preserve"> </w:t>
      </w:r>
    </w:p>
    <w:p>
      <w:r>
        <w:br w:type="page"/>
      </w:r>
    </w:p>
    <w:p>
      <w:pPr>
        <w:pStyle w:val="Heading1"/>
        <w:pBdr>
          <w:bottom w:val="single" w:color="07B4D9" w:sz="8"/>
        </w:pBdr>
        <w:spacing w:after="160" w:before="320"/>
      </w:pPr>
      <w:r>
        <w:rPr>
          <w:rFonts w:ascii="Arial" w:cs="Arial" w:eastAsia="Arial" w:hAnsi="Arial"/>
          <w:b/>
          <w:bCs/>
          <w:color w:val="152168"/>
          <w:sz w:val="32"/>
          <w:szCs w:val="32"/>
        </w:rPr>
        <w:t xml:space="preserve">Appendix F: Framework Mapping</w:t>
      </w:r>
    </w:p>
    <w:p>
      <w:pPr>
        <w:spacing w:after="120"/>
      </w:pPr>
      <w:r>
        <w:rPr>
          <w:rFonts w:ascii="Arial" w:cs="Arial" w:eastAsia="Arial" w:hAnsi="Arial"/>
          <w:color w:val="1A2340"/>
          <w:sz w:val="20"/>
          <w:szCs w:val="20"/>
        </w:rPr>
        <w:t xml:space="preserve">This table maps key policy sections to relevant controls and guidance from NIST CSF 2.0, ISO/IEC 27001:2022, and NIST SP 800-161 Rev 1.</w:t>
      </w:r>
    </w:p>
    <w:p>
      <w:pPr>
        <w:spacing w:after="60"/>
      </w:pPr>
      <w:r>
        <w:rPr>
          <w:rFonts w:ascii="Arial" w:cs="Arial" w:eastAsia="Arial" w:hAnsi="Arial"/>
          <w:color w:val="1A234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20"/>
        <w:gridCol w:w="2520"/>
        <w:gridCol w:w="2320"/>
      </w:tblGrid>
      <w:tr>
        <w:trPr>
          <w:tblHeader/>
        </w:trPr>
        <w:tc>
          <w:tcPr>
            <w:tcW w:type="dxa" w:w="20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Policy Section</w:t>
            </w:r>
          </w:p>
        </w:tc>
        <w:tc>
          <w:tcPr>
            <w:tcW w:type="dxa" w:w="252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NIST CSF 2.0 (GV.SC)</w:t>
            </w:r>
          </w:p>
        </w:tc>
        <w:tc>
          <w:tcPr>
            <w:tcW w:type="dxa" w:w="252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ISO/IEC 27001:2022 (Annex A 5.19-5.22)</w:t>
            </w:r>
          </w:p>
        </w:tc>
        <w:tc>
          <w:tcPr>
            <w:tcW w:type="dxa" w:w="232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NIST SP 800-161 Rev 1</w:t>
            </w:r>
          </w:p>
        </w:tc>
      </w:tr>
      <w:tr>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3. Policy Statement</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GV.SC-01: Org cybersecurity supply chain risk management strategy</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5.19: Information security in supplier relationships</w:t>
            </w:r>
          </w:p>
        </w:tc>
        <w:tc>
          <w:tcPr>
            <w:tcW w:type="dxa" w:w="23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2.1: Supply chain risk strategy</w:t>
            </w:r>
          </w:p>
        </w:tc>
      </w:tr>
      <w:tr>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6.1 Vendor Tiering</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GV.SC-06: Supply chain cybersecurity practices integrated into enterprise risk management</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5.19, 5.20: Addressing security in supplier agreements</w:t>
            </w:r>
          </w:p>
        </w:tc>
        <w:tc>
          <w:tcPr>
            <w:tcW w:type="dxa" w:w="23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2.2: Identifying and categorizing C-SCRM roles</w:t>
            </w:r>
          </w:p>
        </w:tc>
      </w:tr>
      <w:tr>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6.2 Due Diligence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GV.SC-03: Cybersecurity requirements for suppliers established; GV.SC-04: Suppliers are known</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5.20: Addressing information security within supplier agreements</w:t>
            </w:r>
          </w:p>
        </w:tc>
        <w:tc>
          <w:tcPr>
            <w:tcW w:type="dxa" w:w="23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3.1: Establishing C-SCRM requirements for suppliers</w:t>
            </w:r>
          </w:p>
        </w:tc>
      </w:tr>
      <w:tr>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6.3 Contractual Req.</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GV.SC-05: Suppliers are selected, prioritized, and assessed</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5.21: Managing ICT supply chain risk; 5.22: Monitoring and change management</w:t>
            </w:r>
          </w:p>
        </w:tc>
        <w:tc>
          <w:tcPr>
            <w:tcW w:type="dxa" w:w="23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3.2: Including C-SCRM requirements in acquisition</w:t>
            </w:r>
          </w:p>
        </w:tc>
      </w:tr>
      <w:tr>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6.4 Onboarding</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PR.AA-01: Identities and credentials issued and managed; PR.AA-05: Access permissions managed</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5.19, 5.20: Supplier onboarding practices</w:t>
            </w:r>
          </w:p>
        </w:tc>
        <w:tc>
          <w:tcPr>
            <w:tcW w:type="dxa" w:w="23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3.3: C-SCRM plan implementation</w:t>
            </w:r>
          </w:p>
        </w:tc>
      </w:tr>
      <w:tr>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6.5 Monitoring</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ID.RA-09: Threat intel on supplier vulnerabilities; DE.CM-09: Computing assets monitored</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5.22: Monitoring and review of supplier services</w:t>
            </w:r>
          </w:p>
        </w:tc>
        <w:tc>
          <w:tcPr>
            <w:tcW w:type="dxa" w:w="23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4.1: Establishing and implementing ongoing monitoring</w:t>
            </w:r>
          </w:p>
        </w:tc>
      </w:tr>
      <w:tr>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6.6 Non-Compliance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RS.MA-04: Incidents escalated; RC.RP-01: Execution of response/recovery plan</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5.22: Change management for supplier services</w:t>
            </w:r>
          </w:p>
        </w:tc>
        <w:tc>
          <w:tcPr>
            <w:tcW w:type="dxa" w:w="23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4.2: Supplier performance and non-compliance</w:t>
            </w:r>
          </w:p>
        </w:tc>
      </w:tr>
      <w:tr>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6.7 Offboarding</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PR.AA-05: Access permissions managed - removal on separation</w:t>
            </w:r>
          </w:p>
        </w:tc>
        <w:tc>
          <w:tcPr>
            <w:tcW w:type="dxa" w:w="25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5.19: Termination provisions in supplier relationships</w:t>
            </w:r>
          </w:p>
        </w:tc>
        <w:tc>
          <w:tcPr>
            <w:tcW w:type="dxa" w:w="23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3.4: Supplier offboarding</w:t>
            </w:r>
          </w:p>
        </w:tc>
      </w:tr>
      <w:tr>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6.8 Resilience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GV.SC-07: Resilience requirements to prevent supplier disruptions; RC.CO-04: Restore capabilities updated</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5.30: ICT readiness for business continuity</w:t>
            </w:r>
          </w:p>
        </w:tc>
        <w:tc>
          <w:tcPr>
            <w:tcW w:type="dxa" w:w="23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pPr>
            <w:r>
              <w:rPr>
                <w:rFonts w:ascii="Arial" w:cs="Arial" w:eastAsia="Arial" w:hAnsi="Arial"/>
                <w:color w:val="1A2340"/>
                <w:sz w:val="20"/>
                <w:szCs w:val="20"/>
              </w:rPr>
              <w:t xml:space="preserve">4.3: Identifying critical components and alternative sources</w:t>
            </w:r>
          </w:p>
        </w:tc>
      </w:tr>
    </w:tbl>
    <w:p>
      <w:pPr>
        <w:spacing w:after="60"/>
      </w:pPr>
      <w:r>
        <w:rPr>
          <w:rFonts w:ascii="Arial" w:cs="Arial" w:eastAsia="Arial" w:hAnsi="Arial"/>
          <w:color w:val="1A2340"/>
          <w:sz w:val="20"/>
          <w:szCs w:val="20"/>
        </w:rP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pBdr>
      <w:spacing w:after="0"/>
    </w:pPr>
    <w:r>
      <w:rPr>
        <w:rFonts w:ascii="Arial" w:cs="Arial" w:eastAsia="Arial" w:hAnsi="Arial"/>
        <w:color w:val="5A6A8A"/>
        <w:sz w:val="16"/>
        <w:szCs w:val="16"/>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F" w:sz="4"/>
      </w:pBdr>
      <w:tabs>
        <w:tab w:val="right" w:pos="9026"/>
      </w:tabs>
      <w:spacing w:after="0"/>
    </w:pPr>
    <w:r>
      <w:rPr>
        <w:rFonts w:ascii="Arial" w:cs="Arial" w:eastAsia="Arial" w:hAnsi="Arial"/>
        <w:color w:val="5A6A8A"/>
        <w:sz w:val="18"/>
        <w:szCs w:val="18"/>
      </w:rPr>
      <w:t xml:space="preserve">ENT-Draft-POL-Third-Party and Vendor Risk-Comprehensive-6.26  |  Third-Party and Vendor Risk Management Policy</w:t>
    </w:r>
    <w:r>
      <w:rPr>
        <w:rFonts w:ascii="Arial" w:cs="Arial" w:eastAsia="Arial" w:hAnsi="Arial"/>
        <w:color w:val="5A6A8A"/>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5216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5216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2026-06-19T04:27:43.920Z</dcterms:created>
  <dcterms:modified xsi:type="dcterms:W3CDTF">2026-06-19T04:27:43.920Z</dcterms:modified>
</cp:coreProperties>
</file>

<file path=docProps/custom.xml><?xml version="1.0" encoding="utf-8"?>
<Properties xmlns="http://schemas.openxmlformats.org/officeDocument/2006/custom-properties" xmlns:vt="http://schemas.openxmlformats.org/officeDocument/2006/docPropsVTypes"/>
</file>