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4"/>
              <w:left w:val="single" w:color="07B4D9" w:sz="24"/>
              <w:bottom w:val="single" w:color="152168" w:sz="4"/>
              <w:right w:val="nil" w:color="FFFFFF" w:sz="0"/>
            </w:tcBorders>
            <w:shd w:fill="EBF0FA" w:val="clear"/>
            <w:tcMar>
              <w:top w:type="dxa" w:w="200"/>
              <w:left w:type="dxa" w:w="300"/>
              <w:bottom w:type="dxa" w:w="200"/>
              <w:right w:type="dxa" w:w="200"/>
            </w:tcMar>
          </w:tcPr>
          <w:p>
            <w:pPr>
              <w:spacing w:after="120"/>
            </w:pPr>
            <w:r>
              <w:rPr>
                <w:rFonts w:ascii="Arial" w:cs="Arial" w:eastAsia="Arial" w:hAnsi="Arial"/>
                <w:b/>
                <w:bCs/>
                <w:color w:val="152168"/>
                <w:sz w:val="48"/>
                <w:szCs w:val="48"/>
              </w:rPr>
              <w:t xml:space="preserve">Third-Party and Vendor Risk Management Policy</w:t>
            </w:r>
          </w:p>
          <w:p>
            <w:pPr>
              <w:spacing w:after="80"/>
            </w:pPr>
            <w:r>
              <w:rPr>
                <w:rFonts w:ascii="Arial" w:cs="Arial" w:eastAsia="Arial" w:hAnsi="Arial"/>
                <w:color w:val="5A6A8A"/>
                <w:sz w:val="20"/>
                <w:szCs w:val="20"/>
              </w:rPr>
              <w:t xml:space="preserve">Plain-Language Edition  |  ENT-Draft-POL-Third-Party and Vendor Risk-SMB-6.26</w:t>
            </w:r>
          </w:p>
          <w:p>
            <w:pPr>
              <w:spacing w:after="0"/>
            </w:pPr>
            <w:r>
              <w:rPr>
                <w:rFonts w:ascii="Arial" w:cs="Arial" w:eastAsia="Arial" w:hAnsi="Arial"/>
                <w:color w:val="5A6A8A"/>
                <w:sz w:val="20"/>
                <w:szCs w:val="20"/>
              </w:rPr>
              <w:t xml:space="preserve">For all staff and department heads. No jargon, just what you need to know.</w:t>
            </w:r>
          </w:p>
        </w:tc>
      </w:tr>
    </w:tbl>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2600"/>
      </w:tblGrid>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Effective Date</w:t>
            </w:r>
          </w:p>
        </w:tc>
        <w:tc>
          <w:tcPr>
            <w:tcW w:type="dxa" w:w="42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[DATE]</w:t>
            </w:r>
          </w:p>
        </w:tc>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Version</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Policy Owner</w:t>
            </w:r>
          </w:p>
        </w:tc>
        <w:tc>
          <w:tcPr>
            <w:tcW w:type="dxa" w:w="42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[IT Lead / Policy Owner]</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1.0</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Review Cycle</w:t>
            </w:r>
          </w:p>
        </w:tc>
        <w:tc>
          <w:tcPr>
            <w:tcW w:type="dxa" w:w="42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Annual</w:t>
            </w:r>
          </w:p>
        </w:tc>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Classification</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A2340"/>
                <w:sz w:val="20"/>
                <w:szCs w:val="20"/>
              </w:rPr>
              <w:t xml:space="preserve">Approved By</w:t>
            </w:r>
          </w:p>
        </w:tc>
        <w:tc>
          <w:tcPr>
            <w:tcW w:type="dxa" w:w="42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[APPROVER NAME / TITLE]</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INTERNAL - CONFIDENTIAL</w:t>
            </w:r>
          </w:p>
        </w:tc>
      </w:tr>
    </w:tbl>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1. Why Vendor Risk Matters</w:t>
      </w:r>
    </w:p>
    <w:p>
      <w:pPr>
        <w:spacing w:after="140"/>
      </w:pPr>
      <w:r>
        <w:rPr>
          <w:rFonts w:ascii="Arial" w:cs="Arial" w:eastAsia="Arial" w:hAnsi="Arial"/>
          <w:color w:val="1A2340"/>
          <w:sz w:val="20"/>
          <w:szCs w:val="20"/>
        </w:rPr>
        <w:t xml:space="preserve">Every software tool, service provider, or contractor you give access to your business becomes a potential entry point for attackers. When you hand a vendor your data or access to your systems, their security practices become your problem too.</w:t>
      </w:r>
    </w:p>
    <w:p>
      <w:pPr>
        <w:spacing w:after="140"/>
      </w:pPr>
      <w:r>
        <w:rPr>
          <w:rFonts w:ascii="Arial" w:cs="Arial" w:eastAsia="Arial" w:hAnsi="Arial"/>
          <w:color w:val="1A2340"/>
          <w:sz w:val="20"/>
          <w:szCs w:val="20"/>
        </w:rPr>
        <w:t xml:space="preserve">This is not hypothetical. A significant proportion of data breaches involve a third party - a vendor who was compromised, who had poor security, or who mishandled data they were trusted with. For hospitality and small business clients, common examples include:</w:t>
      </w:r>
    </w:p>
    <w:p>
      <w:pPr>
        <w:pStyle w:val="ListParagraph"/>
        <w:numPr>
          <w:ilvl w:val="0"/>
          <w:numId w:val="2"/>
        </w:numPr>
        <w:spacing w:after="80"/>
      </w:pPr>
      <w:r>
        <w:rPr>
          <w:rFonts w:ascii="Arial" w:cs="Arial" w:eastAsia="Arial" w:hAnsi="Arial"/>
          <w:color w:val="1A2340"/>
          <w:sz w:val="20"/>
          <w:szCs w:val="20"/>
        </w:rPr>
        <w:t xml:space="preserve">A property management system (PMS) vendor who suffers a breach and exposes guest payment data</w:t>
      </w:r>
    </w:p>
    <w:p>
      <w:pPr>
        <w:pStyle w:val="ListParagraph"/>
        <w:numPr>
          <w:ilvl w:val="0"/>
          <w:numId w:val="2"/>
        </w:numPr>
        <w:spacing w:after="80"/>
      </w:pPr>
      <w:r>
        <w:rPr>
          <w:rFonts w:ascii="Arial" w:cs="Arial" w:eastAsia="Arial" w:hAnsi="Arial"/>
          <w:color w:val="1A2340"/>
          <w:sz w:val="20"/>
          <w:szCs w:val="20"/>
        </w:rPr>
        <w:t xml:space="preserve">A marketing tool that shares your customer email list with advertisers without your knowledge</w:t>
      </w:r>
    </w:p>
    <w:p>
      <w:pPr>
        <w:pStyle w:val="ListParagraph"/>
        <w:numPr>
          <w:ilvl w:val="0"/>
          <w:numId w:val="2"/>
        </w:numPr>
        <w:spacing w:after="80"/>
      </w:pPr>
      <w:r>
        <w:rPr>
          <w:rFonts w:ascii="Arial" w:cs="Arial" w:eastAsia="Arial" w:hAnsi="Arial"/>
          <w:color w:val="1A2340"/>
          <w:sz w:val="20"/>
          <w:szCs w:val="20"/>
        </w:rPr>
        <w:t xml:space="preserve">An IT contractor who reuses passwords and gets their account compromised, giving attackers access to your network</w:t>
      </w:r>
    </w:p>
    <w:p>
      <w:pPr>
        <w:pStyle w:val="ListParagraph"/>
        <w:numPr>
          <w:ilvl w:val="0"/>
          <w:numId w:val="2"/>
        </w:numPr>
        <w:spacing w:after="80"/>
      </w:pPr>
      <w:r>
        <w:rPr>
          <w:rFonts w:ascii="Arial" w:cs="Arial" w:eastAsia="Arial" w:hAnsi="Arial"/>
          <w:color w:val="1A2340"/>
          <w:sz w:val="20"/>
          <w:szCs w:val="20"/>
        </w:rPr>
        <w:t xml:space="preserve">A payroll provider who is hacked and your employee data is exposed</w:t>
      </w:r>
    </w:p>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This policy gives your team a simple, practical process for checking vendors before you sign up - and for keeping an eye on them over time. It does not need to be complicated. Most of the time it is a quick check and a conversation. The goal is to make sure you are not blindly handing the keys to your business to someone you have never vetted.</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2. The Rule Before Every New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8"/>
              <w:bottom w:val="single" w:color="07B4D9" w:sz="6"/>
              <w:right w:val="single" w:color="07B4D9" w:sz="6"/>
            </w:tcBorders>
            <w:shd w:fill="EBF0FA" w:val="clear"/>
            <w:tcMar>
              <w:top w:type="dxa" w:w="120"/>
              <w:left w:type="dxa" w:w="200"/>
              <w:bottom w:type="dxa" w:w="120"/>
              <w:right w:type="dxa" w:w="160"/>
            </w:tcMar>
          </w:tcPr>
          <w:p>
            <w:pPr>
              <w:spacing w:after="80"/>
            </w:pPr>
            <w:r>
              <w:rPr>
                <w:rFonts w:ascii="Arial" w:cs="Arial" w:eastAsia="Arial" w:hAnsi="Arial"/>
                <w:b/>
                <w:bCs/>
                <w:color w:val="152168"/>
                <w:sz w:val="22"/>
                <w:szCs w:val="22"/>
              </w:rPr>
              <w:t xml:space="preserve">The Golden Rule</w:t>
            </w:r>
          </w:p>
          <w:p>
            <w:pPr>
              <w:spacing w:after="0"/>
            </w:pPr>
            <w:r>
              <w:rPr>
                <w:rFonts w:ascii="Arial" w:cs="Arial" w:eastAsia="Arial" w:hAnsi="Arial"/>
                <w:color w:val="1A2340"/>
                <w:sz w:val="20"/>
                <w:szCs w:val="20"/>
              </w:rPr>
              <w:t xml:space="preserve">Before signing up for any new software, service, or tool that will touch company data - check with [IT / Policy Owner] first. This includes free trials and personal accounts used for work.</w:t>
            </w:r>
          </w:p>
        </w:tc>
      </w:tr>
    </w:tbl>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This applies any time a vendor will:</w:t>
      </w:r>
    </w:p>
    <w:p>
      <w:pPr>
        <w:pStyle w:val="ListParagraph"/>
        <w:numPr>
          <w:ilvl w:val="0"/>
          <w:numId w:val="2"/>
        </w:numPr>
        <w:spacing w:after="80"/>
      </w:pPr>
      <w:r>
        <w:rPr>
          <w:rFonts w:ascii="Arial" w:cs="Arial" w:eastAsia="Arial" w:hAnsi="Arial"/>
          <w:color w:val="1A2340"/>
          <w:sz w:val="20"/>
          <w:szCs w:val="20"/>
        </w:rPr>
        <w:t xml:space="preserve">Access, store, or process company data (guest records, employee data, financial information, etc.)</w:t>
      </w:r>
    </w:p>
    <w:p>
      <w:pPr>
        <w:pStyle w:val="ListParagraph"/>
        <w:numPr>
          <w:ilvl w:val="0"/>
          <w:numId w:val="2"/>
        </w:numPr>
        <w:spacing w:after="80"/>
      </w:pPr>
      <w:r>
        <w:rPr>
          <w:rFonts w:ascii="Arial" w:cs="Arial" w:eastAsia="Arial" w:hAnsi="Arial"/>
          <w:color w:val="1A2340"/>
          <w:sz w:val="20"/>
          <w:szCs w:val="20"/>
        </w:rPr>
        <w:t xml:space="preserve">Connect to company systems or networks (even read-only access)</w:t>
      </w:r>
    </w:p>
    <w:p>
      <w:pPr>
        <w:pStyle w:val="ListParagraph"/>
        <w:numPr>
          <w:ilvl w:val="0"/>
          <w:numId w:val="2"/>
        </w:numPr>
        <w:spacing w:after="80"/>
      </w:pPr>
      <w:r>
        <w:rPr>
          <w:rFonts w:ascii="Arial" w:cs="Arial" w:eastAsia="Arial" w:hAnsi="Arial"/>
          <w:color w:val="1A2340"/>
          <w:sz w:val="20"/>
          <w:szCs w:val="20"/>
        </w:rPr>
        <w:t xml:space="preserve">Handle payments or financial transactions on your behalf</w:t>
      </w:r>
    </w:p>
    <w:p>
      <w:pPr>
        <w:pStyle w:val="ListParagraph"/>
        <w:numPr>
          <w:ilvl w:val="0"/>
          <w:numId w:val="2"/>
        </w:numPr>
        <w:spacing w:after="80"/>
      </w:pPr>
      <w:r>
        <w:rPr>
          <w:rFonts w:ascii="Arial" w:cs="Arial" w:eastAsia="Arial" w:hAnsi="Arial"/>
          <w:color w:val="1A2340"/>
          <w:sz w:val="20"/>
          <w:szCs w:val="20"/>
        </w:rPr>
        <w:t xml:space="preserve">Provide IT services, support, or maintenance</w:t>
      </w:r>
    </w:p>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It does not apply to commodity purchases with no data or system access (e.g., ordering office supplies online). If you are not sure, ask.</w:t>
      </w:r>
    </w:p>
    <w:p>
      <w:pPr>
        <w:spacing w:after="140"/>
      </w:pPr>
      <w:r>
        <w:rPr>
          <w:rFonts w:ascii="Arial" w:cs="Arial" w:eastAsia="Arial" w:hAnsi="Arial"/>
          <w:color w:val="1A2340"/>
          <w:sz w:val="20"/>
          <w:szCs w:val="20"/>
        </w:rPr>
        <w:t xml:space="preserve">The reason for this rule is simple: once a vendor has your data, it is very hard to get it back. It is much easier to ask the right questions before you sign up than to deal with a breach or data loss after the fact.</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3. How We Classify Vendors</w:t>
      </w:r>
    </w:p>
    <w:p>
      <w:pPr>
        <w:spacing w:after="140"/>
      </w:pPr>
      <w:r>
        <w:rPr>
          <w:rFonts w:ascii="Arial" w:cs="Arial" w:eastAsia="Arial" w:hAnsi="Arial"/>
          <w:color w:val="1A2340"/>
          <w:sz w:val="20"/>
          <w:szCs w:val="20"/>
        </w:rPr>
        <w:t xml:space="preserve">Not every vendor carries the same risk. We group vendors into four tiers based on how much access they have to our data and how critical they are to the business. More access and more criticality means more checking before we sign.</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80"/>
        <w:gridCol w:w="4580"/>
      </w:tblGrid>
      <w:tr>
        <w:trPr>
          <w:tblHeader/>
        </w:trPr>
        <w:tc>
          <w:tcPr>
            <w:tcW w:type="dxa" w:w="1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33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c>
          <w:tcPr>
            <w:tcW w:type="dxa" w:w="458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Hospitality / SMB Examples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C0392B"/>
                <w:sz w:val="20"/>
                <w:szCs w:val="20"/>
              </w:rPr>
              <w:t xml:space="preserve">Critical</w:t>
            </w:r>
          </w:p>
        </w:tc>
        <w:tc>
          <w:tcPr>
            <w:tcW w:type="dxa" w:w="33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Has access to your most sensitive data or your business could not operate without them</w:t>
            </w:r>
          </w:p>
        </w:tc>
        <w:tc>
          <w:tcPr>
            <w:tcW w:type="dxa" w:w="45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Property Management System (PMS), payment processor, Point of Sale (POS), HR and payroll system, cloud servers / hosting</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4F46E5"/>
                <w:sz w:val="20"/>
                <w:szCs w:val="20"/>
              </w:rPr>
              <w:t xml:space="preserve">High</w:t>
            </w:r>
          </w:p>
        </w:tc>
        <w:tc>
          <w:tcPr>
            <w:tcW w:type="dxa" w:w="33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Has access to confidential business data or provides IT services</w:t>
            </w:r>
          </w:p>
        </w:tc>
        <w:tc>
          <w:tcPr>
            <w:tcW w:type="dxa" w:w="45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IT managed service provider (MSP), accounting software, business email platform, cybersecurity tools, legal / HR platforms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b/>
                <w:bCs/>
                <w:color w:val="D97706"/>
                <w:sz w:val="20"/>
                <w:szCs w:val="20"/>
              </w:rPr>
              <w:t xml:space="preserve">Moderate</w:t>
            </w:r>
          </w:p>
        </w:tc>
        <w:tc>
          <w:tcPr>
            <w:tcW w:type="dxa" w:w="33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Has access to internal data but not your most sensitive information</w:t>
            </w:r>
          </w:p>
        </w:tc>
        <w:tc>
          <w:tcPr>
            <w:tcW w:type="dxa" w:w="45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Marketing platforms, scheduling tools, review management software, general productivity apps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b/>
                <w:bCs/>
                <w:color w:val="16A34A"/>
                <w:sz w:val="20"/>
                <w:szCs w:val="20"/>
              </w:rPr>
              <w:t xml:space="preserve">Low</w:t>
            </w:r>
          </w:p>
        </w:tc>
        <w:tc>
          <w:tcPr>
            <w:tcW w:type="dxa" w:w="33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No access to data or systems at all</w:t>
            </w:r>
          </w:p>
        </w:tc>
        <w:tc>
          <w:tcPr>
            <w:tcW w:type="dxa" w:w="45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Office supplies, general contractors with no system or building access</w:t>
            </w:r>
          </w:p>
        </w:tc>
      </w:tr>
    </w:tbl>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When in doubt, assign the higher tier. It is always better to do a little more checking and find out a vendor is safe than to skip it and find out later they were not.</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4. What We Check Before Signing Up</w:t>
      </w:r>
    </w:p>
    <w:p>
      <w:pPr>
        <w:spacing w:after="140"/>
      </w:pPr>
      <w:r>
        <w:rPr>
          <w:rFonts w:ascii="Arial" w:cs="Arial" w:eastAsia="Arial" w:hAnsi="Arial"/>
          <w:color w:val="1A2340"/>
          <w:sz w:val="20"/>
          <w:szCs w:val="20"/>
        </w:rPr>
        <w:t xml:space="preserve">The amount of checking we do is proportional to the tier. Here is what that looks like in practice:</w:t>
      </w:r>
    </w:p>
    <w:p>
      <w:pPr>
        <w:spacing w:after="60"/>
      </w:pPr>
      <w:r>
        <w:rPr>
          <w:rFonts w:ascii="Arial" w:cs="Arial" w:eastAsia="Arial" w:hAnsi="Arial"/>
          <w:color w:val="1A2340"/>
          <w:sz w:val="20"/>
          <w:szCs w:val="20"/>
        </w:rPr>
        <w:t xml:space="preserve"> </w:t>
      </w:r>
    </w:p>
    <w:p>
      <w:pPr>
        <w:pStyle w:val="Heading2"/>
        <w:spacing w:after="100" w:before="220"/>
      </w:pPr>
      <w:r>
        <w:rPr>
          <w:rFonts w:ascii="Arial" w:cs="Arial" w:eastAsia="Arial" w:hAnsi="Arial"/>
          <w:b/>
          <w:bCs/>
          <w:color w:val="152168"/>
          <w:sz w:val="24"/>
          <w:szCs w:val="24"/>
        </w:rPr>
        <w:t xml:space="preserve">Critical Vendors - Full Check Required</w:t>
      </w:r>
    </w:p>
    <w:p>
      <w:pPr>
        <w:spacing w:after="140"/>
      </w:pPr>
      <w:r>
        <w:rPr>
          <w:rFonts w:ascii="Arial" w:cs="Arial" w:eastAsia="Arial" w:hAnsi="Arial"/>
          <w:color w:val="1A2340"/>
          <w:sz w:val="20"/>
          <w:szCs w:val="20"/>
        </w:rPr>
        <w:t xml:space="preserve">Before signing any contract with a Critical vendor, we need to:</w:t>
      </w:r>
    </w:p>
    <w:p>
      <w:pPr>
        <w:pStyle w:val="ListParagraph"/>
        <w:numPr>
          <w:ilvl w:val="0"/>
          <w:numId w:val="2"/>
        </w:numPr>
        <w:spacing w:after="80"/>
      </w:pPr>
      <w:r>
        <w:rPr>
          <w:rFonts w:ascii="Arial" w:cs="Arial" w:eastAsia="Arial" w:hAnsi="Arial"/>
          <w:color w:val="1A2340"/>
          <w:sz w:val="20"/>
          <w:szCs w:val="20"/>
        </w:rPr>
        <w:t xml:space="preserve">Ask them to complete a security questionnaire (a list of questions about how they protect data)</w:t>
      </w:r>
    </w:p>
    <w:p>
      <w:pPr>
        <w:pStyle w:val="ListParagraph"/>
        <w:numPr>
          <w:ilvl w:val="0"/>
          <w:numId w:val="2"/>
        </w:numPr>
        <w:spacing w:after="80"/>
      </w:pPr>
      <w:r>
        <w:rPr>
          <w:rFonts w:ascii="Arial" w:cs="Arial" w:eastAsia="Arial" w:hAnsi="Arial"/>
          <w:color w:val="1A2340"/>
          <w:sz w:val="20"/>
          <w:szCs w:val="20"/>
        </w:rPr>
        <w:t xml:space="preserve">Request and review their SOC 2 Type II report - this is an independent audit that confirms their security controls actually work. If they do not have one, ask why and flag it.</w:t>
      </w:r>
    </w:p>
    <w:p>
      <w:pPr>
        <w:pStyle w:val="ListParagraph"/>
        <w:numPr>
          <w:ilvl w:val="0"/>
          <w:numId w:val="2"/>
        </w:numPr>
        <w:spacing w:after="80"/>
      </w:pPr>
      <w:r>
        <w:rPr>
          <w:rFonts w:ascii="Arial" w:cs="Arial" w:eastAsia="Arial" w:hAnsi="Arial"/>
          <w:color w:val="1A2340"/>
          <w:sz w:val="20"/>
          <w:szCs w:val="20"/>
        </w:rPr>
        <w:t xml:space="preserve">Check references from other customers if possible</w:t>
      </w:r>
    </w:p>
    <w:p>
      <w:pPr>
        <w:pStyle w:val="ListParagraph"/>
        <w:numPr>
          <w:ilvl w:val="0"/>
          <w:numId w:val="2"/>
        </w:numPr>
        <w:spacing w:after="80"/>
      </w:pPr>
      <w:r>
        <w:rPr>
          <w:rFonts w:ascii="Arial" w:cs="Arial" w:eastAsia="Arial" w:hAnsi="Arial"/>
          <w:color w:val="1A2340"/>
          <w:sz w:val="20"/>
          <w:szCs w:val="20"/>
        </w:rPr>
        <w:t xml:space="preserve">Have Legal review the contract, including the data protection clauses</w:t>
      </w:r>
    </w:p>
    <w:p>
      <w:pPr>
        <w:pStyle w:val="ListParagraph"/>
        <w:numPr>
          <w:ilvl w:val="0"/>
          <w:numId w:val="2"/>
        </w:numPr>
        <w:spacing w:after="80"/>
      </w:pPr>
      <w:r>
        <w:rPr>
          <w:rFonts w:ascii="Arial" w:cs="Arial" w:eastAsia="Arial" w:hAnsi="Arial"/>
          <w:color w:val="1A2340"/>
          <w:sz w:val="20"/>
          <w:szCs w:val="20"/>
        </w:rPr>
        <w:t xml:space="preserve">Get sign-off from the IT lead or policy owner before going ahead</w:t>
      </w:r>
    </w:p>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Where to find SOC 2 reports: most reputable software vendors publish these on their website under Trust, Security, or Compliance. If you can't find it, ask your vendor contact directly.</w:t>
      </w:r>
    </w:p>
    <w:p>
      <w:pPr>
        <w:spacing w:after="60"/>
      </w:pPr>
      <w:r>
        <w:rPr>
          <w:rFonts w:ascii="Arial" w:cs="Arial" w:eastAsia="Arial" w:hAnsi="Arial"/>
          <w:color w:val="1A2340"/>
          <w:sz w:val="20"/>
          <w:szCs w:val="20"/>
        </w:rPr>
        <w:t xml:space="preserve"> </w:t>
      </w:r>
    </w:p>
    <w:p>
      <w:pPr>
        <w:pStyle w:val="Heading2"/>
        <w:spacing w:after="100" w:before="220"/>
      </w:pPr>
      <w:r>
        <w:rPr>
          <w:rFonts w:ascii="Arial" w:cs="Arial" w:eastAsia="Arial" w:hAnsi="Arial"/>
          <w:b/>
          <w:bCs/>
          <w:color w:val="152168"/>
          <w:sz w:val="24"/>
          <w:szCs w:val="24"/>
        </w:rPr>
        <w:t xml:space="preserve">High Vendors - Abbreviated Check</w:t>
      </w:r>
    </w:p>
    <w:p>
      <w:pPr>
        <w:spacing w:after="140"/>
      </w:pPr>
      <w:r>
        <w:rPr>
          <w:rFonts w:ascii="Arial" w:cs="Arial" w:eastAsia="Arial" w:hAnsi="Arial"/>
          <w:color w:val="1A2340"/>
          <w:sz w:val="20"/>
          <w:szCs w:val="20"/>
        </w:rPr>
        <w:t xml:space="preserve">For High-tier vendors, we:</w:t>
      </w:r>
    </w:p>
    <w:p>
      <w:pPr>
        <w:pStyle w:val="ListParagraph"/>
        <w:numPr>
          <w:ilvl w:val="0"/>
          <w:numId w:val="2"/>
        </w:numPr>
        <w:spacing w:after="80"/>
      </w:pPr>
      <w:r>
        <w:rPr>
          <w:rFonts w:ascii="Arial" w:cs="Arial" w:eastAsia="Arial" w:hAnsi="Arial"/>
          <w:color w:val="1A2340"/>
          <w:sz w:val="20"/>
          <w:szCs w:val="20"/>
        </w:rPr>
        <w:t xml:space="preserve">Ask a shorter set of security questions</w:t>
      </w:r>
    </w:p>
    <w:p>
      <w:pPr>
        <w:pStyle w:val="ListParagraph"/>
        <w:numPr>
          <w:ilvl w:val="0"/>
          <w:numId w:val="2"/>
        </w:numPr>
        <w:spacing w:after="80"/>
      </w:pPr>
      <w:r>
        <w:rPr>
          <w:rFonts w:ascii="Arial" w:cs="Arial" w:eastAsia="Arial" w:hAnsi="Arial"/>
          <w:color w:val="1A2340"/>
          <w:sz w:val="20"/>
          <w:szCs w:val="20"/>
        </w:rPr>
        <w:t xml:space="preserve">Look for a SOC 2 report or a published security page with certifications (ISO 27001, SOC 2, Cyber Essentials, etc.)</w:t>
      </w:r>
    </w:p>
    <w:p>
      <w:pPr>
        <w:pStyle w:val="ListParagraph"/>
        <w:numPr>
          <w:ilvl w:val="0"/>
          <w:numId w:val="2"/>
        </w:numPr>
        <w:spacing w:after="80"/>
      </w:pPr>
      <w:r>
        <w:rPr>
          <w:rFonts w:ascii="Arial" w:cs="Arial" w:eastAsia="Arial" w:hAnsi="Arial"/>
          <w:color w:val="1A2340"/>
          <w:sz w:val="20"/>
          <w:szCs w:val="20"/>
        </w:rPr>
        <w:t xml:space="preserve">Get IT lead or policy owner review before going ahead</w:t>
      </w:r>
    </w:p>
    <w:p>
      <w:pPr>
        <w:spacing w:after="60"/>
      </w:pPr>
      <w:r>
        <w:rPr>
          <w:rFonts w:ascii="Arial" w:cs="Arial" w:eastAsia="Arial" w:hAnsi="Arial"/>
          <w:color w:val="1A2340"/>
          <w:sz w:val="20"/>
          <w:szCs w:val="20"/>
        </w:rPr>
        <w:t xml:space="preserve"> </w:t>
      </w:r>
    </w:p>
    <w:p>
      <w:pPr>
        <w:pStyle w:val="Heading2"/>
        <w:spacing w:after="100" w:before="220"/>
      </w:pPr>
      <w:r>
        <w:rPr>
          <w:rFonts w:ascii="Arial" w:cs="Arial" w:eastAsia="Arial" w:hAnsi="Arial"/>
          <w:b/>
          <w:bCs/>
          <w:color w:val="152168"/>
          <w:sz w:val="24"/>
          <w:szCs w:val="24"/>
        </w:rPr>
        <w:t xml:space="preserve">Moderate Vendors - Basic Check</w:t>
      </w:r>
    </w:p>
    <w:p>
      <w:pPr>
        <w:spacing w:after="140"/>
      </w:pPr>
      <w:r>
        <w:rPr>
          <w:rFonts w:ascii="Arial" w:cs="Arial" w:eastAsia="Arial" w:hAnsi="Arial"/>
          <w:color w:val="1A2340"/>
          <w:sz w:val="20"/>
          <w:szCs w:val="20"/>
        </w:rPr>
        <w:t xml:space="preserve">For Moderate-tier vendors, we:</w:t>
      </w:r>
    </w:p>
    <w:p>
      <w:pPr>
        <w:pStyle w:val="ListParagraph"/>
        <w:numPr>
          <w:ilvl w:val="0"/>
          <w:numId w:val="2"/>
        </w:numPr>
        <w:spacing w:after="80"/>
      </w:pPr>
      <w:r>
        <w:rPr>
          <w:rFonts w:ascii="Arial" w:cs="Arial" w:eastAsia="Arial" w:hAnsi="Arial"/>
          <w:color w:val="1A2340"/>
          <w:sz w:val="20"/>
          <w:szCs w:val="20"/>
        </w:rPr>
        <w:t xml:space="preserve">Fill out a short intake form (vendor name, what they do, what data they touch)</w:t>
      </w:r>
    </w:p>
    <w:p>
      <w:pPr>
        <w:pStyle w:val="ListParagraph"/>
        <w:numPr>
          <w:ilvl w:val="0"/>
          <w:numId w:val="2"/>
        </w:numPr>
        <w:spacing w:after="80"/>
      </w:pPr>
      <w:r>
        <w:rPr>
          <w:rFonts w:ascii="Arial" w:cs="Arial" w:eastAsia="Arial" w:hAnsi="Arial"/>
          <w:color w:val="1A2340"/>
          <w:sz w:val="20"/>
          <w:szCs w:val="20"/>
        </w:rPr>
        <w:t xml:space="preserve">Read their privacy policy to confirm they will not sell or misuse your data</w:t>
      </w:r>
    </w:p>
    <w:p>
      <w:pPr>
        <w:pStyle w:val="ListParagraph"/>
        <w:numPr>
          <w:ilvl w:val="0"/>
          <w:numId w:val="2"/>
        </w:numPr>
        <w:spacing w:after="80"/>
      </w:pPr>
      <w:r>
        <w:rPr>
          <w:rFonts w:ascii="Arial" w:cs="Arial" w:eastAsia="Arial" w:hAnsi="Arial"/>
          <w:color w:val="1A2340"/>
          <w:sz w:val="20"/>
          <w:szCs w:val="20"/>
        </w:rPr>
        <w:t xml:space="preserve">Get manager approval before signing up</w:t>
      </w:r>
    </w:p>
    <w:p>
      <w:pPr>
        <w:spacing w:after="60"/>
      </w:pPr>
      <w:r>
        <w:rPr>
          <w:rFonts w:ascii="Arial" w:cs="Arial" w:eastAsia="Arial" w:hAnsi="Arial"/>
          <w:color w:val="1A2340"/>
          <w:sz w:val="20"/>
          <w:szCs w:val="20"/>
        </w:rPr>
        <w:t xml:space="preserve"> </w:t>
      </w:r>
    </w:p>
    <w:p>
      <w:pPr>
        <w:pStyle w:val="Heading2"/>
        <w:spacing w:after="100" w:before="220"/>
      </w:pPr>
      <w:r>
        <w:rPr>
          <w:rFonts w:ascii="Arial" w:cs="Arial" w:eastAsia="Arial" w:hAnsi="Arial"/>
          <w:b/>
          <w:bCs/>
          <w:color w:val="152168"/>
          <w:sz w:val="24"/>
          <w:szCs w:val="24"/>
        </w:rPr>
        <w:t xml:space="preserve">Low Vendors - Approval Only</w:t>
      </w:r>
    </w:p>
    <w:p>
      <w:pPr>
        <w:spacing w:after="140"/>
      </w:pPr>
      <w:r>
        <w:rPr>
          <w:rFonts w:ascii="Arial" w:cs="Arial" w:eastAsia="Arial" w:hAnsi="Arial"/>
          <w:color w:val="1A2340"/>
          <w:sz w:val="20"/>
          <w:szCs w:val="20"/>
        </w:rPr>
        <w:t xml:space="preserve">For Low-tier vendors with no data or system access, business owner approval is sufficient. No formal security check is required.</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8"/>
              <w:bottom w:val="single" w:color="07B4D9" w:sz="6"/>
              <w:right w:val="single" w:color="07B4D9" w:sz="6"/>
            </w:tcBorders>
            <w:shd w:fill="EBF0FA" w:val="clear"/>
            <w:tcMar>
              <w:top w:type="dxa" w:w="120"/>
              <w:left w:type="dxa" w:w="200"/>
              <w:bottom w:type="dxa" w:w="120"/>
              <w:right w:type="dxa" w:w="160"/>
            </w:tcMar>
          </w:tcPr>
          <w:p>
            <w:pPr>
              <w:spacing w:after="80"/>
            </w:pPr>
            <w:r>
              <w:rPr>
                <w:rFonts w:ascii="Arial" w:cs="Arial" w:eastAsia="Arial" w:hAnsi="Arial"/>
                <w:b/>
                <w:bCs/>
                <w:color w:val="152168"/>
                <w:sz w:val="22"/>
                <w:szCs w:val="22"/>
              </w:rPr>
              <w:t xml:space="preserve">What to look for when reading a privacy policy</w:t>
            </w:r>
          </w:p>
          <w:p>
            <w:pPr>
              <w:spacing w:after="0"/>
            </w:pPr>
            <w:r>
              <w:rPr>
                <w:rFonts w:ascii="Arial" w:cs="Arial" w:eastAsia="Arial" w:hAnsi="Arial"/>
                <w:color w:val="1A2340"/>
                <w:sz w:val="20"/>
                <w:szCs w:val="20"/>
              </w:rPr>
              <w:t xml:space="preserve">Does the vendor say they will not sell your data? Do they say how long they keep it? Do they tell you what happens to your data if you cancel? If you cannot find clear answers, that is a red flag. Ask the vendor directly.</w:t>
            </w:r>
          </w:p>
        </w:tc>
      </w:tr>
    </w:tbl>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5. What Must Be in the Contract</w:t>
      </w:r>
    </w:p>
    <w:p>
      <w:pPr>
        <w:spacing w:after="140"/>
      </w:pPr>
      <w:r>
        <w:rPr>
          <w:rFonts w:ascii="Arial" w:cs="Arial" w:eastAsia="Arial" w:hAnsi="Arial"/>
          <w:color w:val="1A2340"/>
          <w:sz w:val="20"/>
          <w:szCs w:val="20"/>
        </w:rPr>
        <w:t xml:space="preserve">For Critical and High-tier vendors, the contract needs to include specific security protections. Do not sign anything with a Critical or High vendor until Legal has confirmed these are in place. The key things to look for:</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We Need</w:t>
            </w:r>
          </w:p>
        </w:tc>
        <w:tc>
          <w:tcPr>
            <w:tcW w:type="dxa" w:w="63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Matters</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Breach notification within 72 hours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If they get hacked and our data is involved, we need to know fast so we can respond and notify affected people if required.</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Our data back when we leave</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When the contract ends, they must return all our data in a usable format within 30 days. After that, they must destroy any copies and confirm it in writing.</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No selling or sharing our data</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They can only use our data to deliver the service. They cannot sell it, use it for advertising, or share it with others without our permission.</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Right to audit</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We have the right to check their security controls - either directly or through a third-party auditor - once per year.</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Encryption required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Our data must be encrypted when stored and when sent across the internet.</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List of their own subcontractors</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If they use other companies to help deliver the service, we need to know who they are. They cannot add new subcontractors without telling us.</w:t>
            </w:r>
          </w:p>
        </w:tc>
      </w:tr>
    </w:tbl>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If you are signing with a vendor that will handle personal data (guest names, email addresses, payment information, health data), a Data Processing Agreement (DPA) is also required. Ask Legal to confirm this is in place before signing.</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6. Who Looks After Our Vendors</w:t>
      </w:r>
    </w:p>
    <w:p>
      <w:pPr>
        <w:spacing w:after="140"/>
      </w:pPr>
      <w:r>
        <w:rPr>
          <w:rFonts w:ascii="Arial" w:cs="Arial" w:eastAsia="Arial" w:hAnsi="Arial"/>
          <w:color w:val="1A2340"/>
          <w:sz w:val="20"/>
          <w:szCs w:val="20"/>
        </w:rPr>
        <w:t xml:space="preserve">The person who brought a vendor into the business is the Vendor Owner. This is usually the department head or team member who requested the tool or service.</w:t>
      </w:r>
    </w:p>
    <w:p>
      <w:pPr>
        <w:spacing w:after="140"/>
      </w:pPr>
      <w:r>
        <w:rPr>
          <w:rFonts w:ascii="Arial" w:cs="Arial" w:eastAsia="Arial" w:hAnsi="Arial"/>
          <w:color w:val="1A2340"/>
          <w:sz w:val="20"/>
          <w:szCs w:val="20"/>
        </w:rPr>
        <w:t xml:space="preserve">Being a Vendor Owner means:</w:t>
      </w:r>
    </w:p>
    <w:p>
      <w:pPr>
        <w:pStyle w:val="ListParagraph"/>
        <w:numPr>
          <w:ilvl w:val="0"/>
          <w:numId w:val="2"/>
        </w:numPr>
        <w:spacing w:after="80"/>
      </w:pPr>
      <w:r>
        <w:rPr>
          <w:rFonts w:ascii="Arial" w:cs="Arial" w:eastAsia="Arial" w:hAnsi="Arial"/>
          <w:color w:val="1A2340"/>
          <w:sz w:val="20"/>
          <w:szCs w:val="20"/>
        </w:rPr>
        <w:t xml:space="preserve">You are the main point of contact for that vendor</w:t>
      </w:r>
    </w:p>
    <w:p>
      <w:pPr>
        <w:pStyle w:val="ListParagraph"/>
        <w:numPr>
          <w:ilvl w:val="0"/>
          <w:numId w:val="2"/>
        </w:numPr>
        <w:spacing w:after="80"/>
      </w:pPr>
      <w:r>
        <w:rPr>
          <w:rFonts w:ascii="Arial" w:cs="Arial" w:eastAsia="Arial" w:hAnsi="Arial"/>
          <w:color w:val="1A2340"/>
          <w:sz w:val="20"/>
          <w:szCs w:val="20"/>
        </w:rPr>
        <w:t xml:space="preserve">You are responsible for flagging any security concerns or changes</w:t>
      </w:r>
    </w:p>
    <w:p>
      <w:pPr>
        <w:pStyle w:val="ListParagraph"/>
        <w:numPr>
          <w:ilvl w:val="0"/>
          <w:numId w:val="2"/>
        </w:numPr>
        <w:spacing w:after="80"/>
      </w:pPr>
      <w:r>
        <w:rPr>
          <w:rFonts w:ascii="Arial" w:cs="Arial" w:eastAsia="Arial" w:hAnsi="Arial"/>
          <w:color w:val="1A2340"/>
          <w:sz w:val="20"/>
          <w:szCs w:val="20"/>
        </w:rPr>
        <w:t xml:space="preserve">You will be asked to confirm the vendor is still needed at each annual review</w:t>
      </w:r>
    </w:p>
    <w:p>
      <w:pPr>
        <w:pStyle w:val="ListParagraph"/>
        <w:numPr>
          <w:ilvl w:val="0"/>
          <w:numId w:val="2"/>
        </w:numPr>
        <w:spacing w:after="80"/>
      </w:pPr>
      <w:r>
        <w:rPr>
          <w:rFonts w:ascii="Arial" w:cs="Arial" w:eastAsia="Arial" w:hAnsi="Arial"/>
          <w:color w:val="1A2340"/>
          <w:sz w:val="20"/>
          <w:szCs w:val="20"/>
        </w:rPr>
        <w:t xml:space="preserve">If the vendor has a security incident that affects us, you help coordinate the response</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6"/>
              <w:left w:val="single" w:color="07B4D9" w:sz="18"/>
              <w:bottom w:val="single" w:color="07B4D9" w:sz="6"/>
              <w:right w:val="single" w:color="07B4D9" w:sz="6"/>
            </w:tcBorders>
            <w:shd w:fill="EBF0FA" w:val="clear"/>
            <w:tcMar>
              <w:top w:type="dxa" w:w="120"/>
              <w:left w:type="dxa" w:w="200"/>
              <w:bottom w:type="dxa" w:w="120"/>
              <w:right w:type="dxa" w:w="160"/>
            </w:tcMar>
          </w:tcPr>
          <w:p>
            <w:pPr>
              <w:spacing w:after="80"/>
            </w:pPr>
            <w:r>
              <w:rPr>
                <w:rFonts w:ascii="Arial" w:cs="Arial" w:eastAsia="Arial" w:hAnsi="Arial"/>
                <w:b/>
                <w:bCs/>
                <w:color w:val="152168"/>
                <w:sz w:val="22"/>
                <w:szCs w:val="22"/>
              </w:rPr>
              <w:t xml:space="preserve">If you own a vendor, you own the risk</w:t>
            </w:r>
          </w:p>
          <w:p>
            <w:pPr>
              <w:spacing w:after="0"/>
            </w:pPr>
            <w:r>
              <w:rPr>
                <w:rFonts w:ascii="Arial" w:cs="Arial" w:eastAsia="Arial" w:hAnsi="Arial"/>
                <w:color w:val="1A2340"/>
                <w:sz w:val="20"/>
                <w:szCs w:val="20"/>
              </w:rPr>
              <w:t xml:space="preserve">This does not mean you are personally liable if something goes wrong. It means you are the right person to keep an eye on that relationship and escalate concerns quickly. If you are unsure whether something is a concern, it is always better to ask [IT / Policy Owner] than to wait.</w:t>
            </w:r>
          </w:p>
        </w:tc>
      </w:tr>
    </w:tbl>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7. Checking In on Vendors Over Time</w:t>
      </w:r>
    </w:p>
    <w:p>
      <w:pPr>
        <w:spacing w:after="140"/>
      </w:pPr>
      <w:r>
        <w:rPr>
          <w:rFonts w:ascii="Arial" w:cs="Arial" w:eastAsia="Arial" w:hAnsi="Arial"/>
          <w:color w:val="1A2340"/>
          <w:sz w:val="20"/>
          <w:szCs w:val="20"/>
        </w:rPr>
        <w:t xml:space="preserve">Signing a vendor once is not enough. We check in on our vendors regularly to make sure they are still meeting our standards. Here is what that looks like:</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60"/>
        <w:gridCol w:w="3500"/>
      </w:tblGrid>
      <w:tr>
        <w:trPr>
          <w:tblHeader/>
        </w:trPr>
        <w:tc>
          <w:tcPr>
            <w:tcW w:type="dxa" w:w="1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44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Often</w:t>
            </w:r>
          </w:p>
        </w:tc>
        <w:tc>
          <w:tcPr>
            <w:tcW w:type="dxa" w:w="35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We Check</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Critical</w:t>
            </w:r>
          </w:p>
        </w:tc>
        <w:tc>
          <w:tcPr>
            <w:tcW w:type="dxa" w:w="4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Every year (full review) plus ongoing alerts</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Updated SOC 2 report; any changes to services or data access; news of security incidents; business health</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High</w:t>
            </w:r>
          </w:p>
        </w:tc>
        <w:tc>
          <w:tcPr>
            <w:tcW w:type="dxa" w:w="4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Every year</w:t>
            </w:r>
          </w:p>
        </w:tc>
        <w:tc>
          <w:tcPr>
            <w:tcW w:type="dxa" w:w="3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Updated SOC 2 or security attestation; any changes to services or data access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Moderate</w:t>
            </w:r>
          </w:p>
        </w:tc>
        <w:tc>
          <w:tcPr>
            <w:tcW w:type="dxa" w:w="44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Every two years</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Confirm service scope has not changed; no known security issues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Low</w:t>
            </w:r>
          </w:p>
        </w:tc>
        <w:tc>
          <w:tcPr>
            <w:tcW w:type="dxa" w:w="44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Every three years or if something changes</w:t>
            </w:r>
          </w:p>
        </w:tc>
        <w:tc>
          <w:tcPr>
            <w:tcW w:type="dxa" w:w="3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Confirm still no data or system access</w:t>
            </w:r>
          </w:p>
        </w:tc>
      </w:tr>
    </w:tbl>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We also do an immediate review outside of the scheduled cycle if:</w:t>
      </w:r>
    </w:p>
    <w:p>
      <w:pPr>
        <w:pStyle w:val="ListParagraph"/>
        <w:numPr>
          <w:ilvl w:val="0"/>
          <w:numId w:val="2"/>
        </w:numPr>
        <w:spacing w:after="80"/>
      </w:pPr>
      <w:r>
        <w:rPr>
          <w:rFonts w:ascii="Arial" w:cs="Arial" w:eastAsia="Arial" w:hAnsi="Arial"/>
          <w:color w:val="1A2340"/>
          <w:sz w:val="20"/>
          <w:szCs w:val="20"/>
        </w:rPr>
        <w:t xml:space="preserve">We hear that the vendor has had a data breach or security incident</w:t>
      </w:r>
    </w:p>
    <w:p>
      <w:pPr>
        <w:pStyle w:val="ListParagraph"/>
        <w:numPr>
          <w:ilvl w:val="0"/>
          <w:numId w:val="2"/>
        </w:numPr>
        <w:spacing w:after="80"/>
      </w:pPr>
      <w:r>
        <w:rPr>
          <w:rFonts w:ascii="Arial" w:cs="Arial" w:eastAsia="Arial" w:hAnsi="Arial"/>
          <w:color w:val="1A2340"/>
          <w:sz w:val="20"/>
          <w:szCs w:val="20"/>
        </w:rPr>
        <w:t xml:space="preserve">The vendor asks to access more data or systems than they originally had</w:t>
      </w:r>
    </w:p>
    <w:p>
      <w:pPr>
        <w:pStyle w:val="ListParagraph"/>
        <w:numPr>
          <w:ilvl w:val="0"/>
          <w:numId w:val="2"/>
        </w:numPr>
        <w:spacing w:after="80"/>
      </w:pPr>
      <w:r>
        <w:rPr>
          <w:rFonts w:ascii="Arial" w:cs="Arial" w:eastAsia="Arial" w:hAnsi="Arial"/>
          <w:color w:val="1A2340"/>
          <w:sz w:val="20"/>
          <w:szCs w:val="20"/>
        </w:rPr>
        <w:t xml:space="preserve">There are news reports or public disclosures about serious security problems with the vendor</w:t>
      </w:r>
    </w:p>
    <w:p>
      <w:pPr>
        <w:pStyle w:val="ListParagraph"/>
        <w:numPr>
          <w:ilvl w:val="0"/>
          <w:numId w:val="2"/>
        </w:numPr>
        <w:spacing w:after="80"/>
      </w:pPr>
      <w:r>
        <w:rPr>
          <w:rFonts w:ascii="Arial" w:cs="Arial" w:eastAsia="Arial" w:hAnsi="Arial"/>
          <w:color w:val="1A2340"/>
          <w:sz w:val="20"/>
          <w:szCs w:val="20"/>
        </w:rPr>
        <w:t xml:space="preserve">The vendor is acquired by another company or undergoes major leadership changes</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8. What Happens When We Stop Using a Vendor</w:t>
      </w:r>
    </w:p>
    <w:p>
      <w:pPr>
        <w:spacing w:after="140"/>
      </w:pPr>
      <w:r>
        <w:rPr>
          <w:rFonts w:ascii="Arial" w:cs="Arial" w:eastAsia="Arial" w:hAnsi="Arial"/>
          <w:color w:val="1A2340"/>
          <w:sz w:val="20"/>
          <w:szCs w:val="20"/>
        </w:rPr>
        <w:t xml:space="preserve">When we end a relationship with a vendor, there are a few important steps we must follow. This is especially important for Critical and High-tier vendors who have had access to our data.</w:t>
      </w:r>
    </w:p>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Why this matters: if we forget to remove a vendor's access, they can continue to see our data - or their credentials can be used by attackers to get in. If we forget to ask for our data back, it sits in their systems indefinitely.</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rPr>
          <w:tblHeader/>
        </w:trPr>
        <w:tc>
          <w:tcPr>
            <w:tcW w:type="dxa" w:w="5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55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33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1</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IT removes all vendor accounts, passwords, API access, and any remote connections - within 24 hours of giving notice</w:t>
            </w:r>
          </w:p>
        </w:tc>
        <w:tc>
          <w:tcPr>
            <w:tcW w:type="dxa" w:w="3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IT</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2</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We request the return of all our data in a format we can use - within 30 days</w:t>
            </w:r>
          </w:p>
        </w:tc>
        <w:tc>
          <w:tcPr>
            <w:tcW w:type="dxa" w:w="3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Vendor Owner / Legal</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3</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Vendor confirms in writing that all copies of our data have been deleted - within 60 days</w:t>
            </w:r>
          </w:p>
        </w:tc>
        <w:tc>
          <w:tcPr>
            <w:tcW w:type="dxa" w:w="3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Legal</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4</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Legal confirms the contract is properly closed and all obligations are met</w:t>
            </w:r>
          </w:p>
        </w:tc>
        <w:tc>
          <w:tcPr>
            <w:tcW w:type="dxa" w:w="3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Legal</w:t>
            </w:r>
          </w:p>
        </w:tc>
      </w:tr>
      <w:tr>
        <w:tc>
          <w:tcPr>
            <w:tcW w:type="dxa" w:w="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5</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We update our vendor list to show the vendor as inactive, with the date and confirmation</w:t>
            </w:r>
          </w:p>
        </w:tc>
        <w:tc>
          <w:tcPr>
            <w:tcW w:type="dxa" w:w="33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IT / Policy Owner</w:t>
            </w:r>
          </w:p>
        </w:tc>
      </w:tr>
      <w:tr>
        <w:tc>
          <w:tcPr>
            <w:tcW w:type="dxa" w:w="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6</w:t>
            </w:r>
          </w:p>
        </w:tc>
        <w:tc>
          <w:tcPr>
            <w:tcW w:type="dxa" w:w="5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Finance confirms any outstanding invoices are resolved before final payment</w:t>
            </w:r>
          </w:p>
        </w:tc>
        <w:tc>
          <w:tcPr>
            <w:tcW w:type="dxa" w:w="33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0"/>
            </w:pPr>
            <w:r>
              <w:rPr>
                <w:rFonts w:ascii="Arial" w:cs="Arial" w:eastAsia="Arial" w:hAnsi="Arial"/>
                <w:color w:val="1A2340"/>
                <w:sz w:val="20"/>
                <w:szCs w:val="20"/>
              </w:rPr>
              <w:t xml:space="preserve">Finance</w:t>
            </w:r>
          </w:p>
        </w:tc>
      </w:tr>
    </w:tbl>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If a vendor refuses to confirm data deletion or does not return our data, flag this to Legal immediately.</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9. Reporting Vendor Security Concerns</w:t>
      </w:r>
    </w:p>
    <w:p>
      <w:pPr>
        <w:spacing w:after="140"/>
      </w:pPr>
      <w:r>
        <w:rPr>
          <w:rFonts w:ascii="Arial" w:cs="Arial" w:eastAsia="Arial" w:hAnsi="Arial"/>
          <w:color w:val="1A2340"/>
          <w:sz w:val="20"/>
          <w:szCs w:val="20"/>
        </w:rPr>
        <w:t xml:space="preserve">If you notice anything unusual about a vendor - a suspicious email that appears to come from them, a news story about a breach, unexpected behavior in their software, or a request for more access than they should have - report it immediately.</w:t>
      </w:r>
    </w:p>
    <w:p>
      <w:pPr>
        <w:spacing w:after="140"/>
      </w:pPr>
      <w:r>
        <w:rPr>
          <w:rFonts w:ascii="Arial" w:cs="Arial" w:eastAsia="Arial" w:hAnsi="Arial"/>
          <w:color w:val="1A2340"/>
          <w:sz w:val="20"/>
          <w:szCs w:val="20"/>
        </w:rPr>
        <w:t xml:space="preserve">Who to contact:</w:t>
      </w:r>
    </w:p>
    <w:p>
      <w:pPr>
        <w:pStyle w:val="ListParagraph"/>
        <w:numPr>
          <w:ilvl w:val="0"/>
          <w:numId w:val="2"/>
        </w:numPr>
        <w:spacing w:after="80"/>
      </w:pPr>
      <w:r>
        <w:rPr>
          <w:rFonts w:ascii="Arial" w:cs="Arial" w:eastAsia="Arial" w:hAnsi="Arial"/>
          <w:color w:val="1A2340"/>
          <w:sz w:val="20"/>
          <w:szCs w:val="20"/>
        </w:rPr>
        <w:t xml:space="preserve">[IT Lead / Policy Owner] - for all vendor security concerns</w:t>
      </w:r>
    </w:p>
    <w:p>
      <w:pPr>
        <w:pStyle w:val="ListParagraph"/>
        <w:numPr>
          <w:ilvl w:val="0"/>
          <w:numId w:val="2"/>
        </w:numPr>
        <w:spacing w:after="80"/>
      </w:pPr>
      <w:r>
        <w:rPr>
          <w:rFonts w:ascii="Arial" w:cs="Arial" w:eastAsia="Arial" w:hAnsi="Arial"/>
          <w:color w:val="1A2340"/>
          <w:sz w:val="20"/>
          <w:szCs w:val="20"/>
        </w:rPr>
        <w:t xml:space="preserve">Your direct manager - if you cannot reach IT</w:t>
      </w:r>
    </w:p>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Do not wait to see if it is serious. Report first, investigate after. Early reporting is always better than delayed reporting in security situations.</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10. Consequences for Engaging Vendors Without Approval</w:t>
      </w:r>
    </w:p>
    <w:p>
      <w:pPr>
        <w:spacing w:after="140"/>
      </w:pPr>
      <w:r>
        <w:rPr>
          <w:rFonts w:ascii="Arial" w:cs="Arial" w:eastAsia="Arial" w:hAnsi="Arial"/>
          <w:color w:val="1A2340"/>
          <w:sz w:val="20"/>
          <w:szCs w:val="20"/>
        </w:rPr>
        <w:t xml:space="preserve">Signing up for a vendor or granting data access without following this policy is a serious matter. It puts the entire organization at risk and may expose us to regulatory penalties, data breach liability, and reputational damage.</w:t>
      </w:r>
    </w:p>
    <w:p>
      <w:pPr>
        <w:spacing w:after="140"/>
      </w:pPr>
      <w:r>
        <w:rPr>
          <w:rFonts w:ascii="Arial" w:cs="Arial" w:eastAsia="Arial" w:hAnsi="Arial"/>
          <w:color w:val="1A2340"/>
          <w:sz w:val="20"/>
          <w:szCs w:val="20"/>
        </w:rPr>
        <w:t xml:space="preserve">Consequences may include:</w:t>
      </w:r>
    </w:p>
    <w:p>
      <w:pPr>
        <w:pStyle w:val="ListParagraph"/>
        <w:numPr>
          <w:ilvl w:val="0"/>
          <w:numId w:val="2"/>
        </w:numPr>
        <w:spacing w:after="80"/>
      </w:pPr>
      <w:r>
        <w:rPr>
          <w:rFonts w:ascii="Arial" w:cs="Arial" w:eastAsia="Arial" w:hAnsi="Arial"/>
          <w:color w:val="1A2340"/>
          <w:sz w:val="20"/>
          <w:szCs w:val="20"/>
        </w:rPr>
        <w:t xml:space="preserve">Formal written warning</w:t>
      </w:r>
    </w:p>
    <w:p>
      <w:pPr>
        <w:pStyle w:val="ListParagraph"/>
        <w:numPr>
          <w:ilvl w:val="0"/>
          <w:numId w:val="2"/>
        </w:numPr>
        <w:spacing w:after="80"/>
      </w:pPr>
      <w:r>
        <w:rPr>
          <w:rFonts w:ascii="Arial" w:cs="Arial" w:eastAsia="Arial" w:hAnsi="Arial"/>
          <w:color w:val="1A2340"/>
          <w:sz w:val="20"/>
          <w:szCs w:val="20"/>
        </w:rPr>
        <w:t xml:space="preserve">Requirement to complete mandatory security awareness training</w:t>
      </w:r>
    </w:p>
    <w:p>
      <w:pPr>
        <w:pStyle w:val="ListParagraph"/>
        <w:numPr>
          <w:ilvl w:val="0"/>
          <w:numId w:val="2"/>
        </w:numPr>
        <w:spacing w:after="80"/>
      </w:pPr>
      <w:r>
        <w:rPr>
          <w:rFonts w:ascii="Arial" w:cs="Arial" w:eastAsia="Arial" w:hAnsi="Arial"/>
          <w:color w:val="1A2340"/>
          <w:sz w:val="20"/>
          <w:szCs w:val="20"/>
        </w:rPr>
        <w:t xml:space="preserve">Disciplinary action proportionate to the risk created</w:t>
      </w:r>
    </w:p>
    <w:p>
      <w:pPr>
        <w:pStyle w:val="ListParagraph"/>
        <w:numPr>
          <w:ilvl w:val="0"/>
          <w:numId w:val="2"/>
        </w:numPr>
        <w:spacing w:after="80"/>
      </w:pPr>
      <w:r>
        <w:rPr>
          <w:rFonts w:ascii="Arial" w:cs="Arial" w:eastAsia="Arial" w:hAnsi="Arial"/>
          <w:color w:val="1A2340"/>
          <w:sz w:val="20"/>
          <w:szCs w:val="20"/>
        </w:rPr>
        <w:t xml:space="preserve">In serious cases involving unauthorized access to sensitive data, termination of employment</w:t>
      </w:r>
    </w:p>
    <w:p>
      <w:pPr>
        <w:spacing w:after="60"/>
      </w:pPr>
      <w:r>
        <w:rPr>
          <w:rFonts w:ascii="Arial" w:cs="Arial" w:eastAsia="Arial" w:hAnsi="Arial"/>
          <w:color w:val="1A2340"/>
          <w:sz w:val="20"/>
          <w:szCs w:val="20"/>
        </w:rPr>
        <w:t xml:space="preserve"> </w:t>
      </w:r>
    </w:p>
    <w:p>
      <w:pPr>
        <w:spacing w:after="140"/>
      </w:pPr>
      <w:r>
        <w:rPr>
          <w:rFonts w:ascii="Arial" w:cs="Arial" w:eastAsia="Arial" w:hAnsi="Arial"/>
          <w:color w:val="1A2340"/>
          <w:sz w:val="20"/>
          <w:szCs w:val="20"/>
        </w:rPr>
        <w:t xml:space="preserve">If you signed up for something before this policy was in place, come forward now. We can assess the risk and bring the vendor into the proper process. Self-disclosure always results in a better outcome than discovery.</w:t>
      </w:r>
    </w:p>
    <w:p>
      <w:pPr>
        <w:spacing w:after="60"/>
      </w:pPr>
      <w:r>
        <w:rPr>
          <w:rFonts w:ascii="Arial" w:cs="Arial" w:eastAsia="Arial" w:hAnsi="Arial"/>
          <w:color w:val="1A2340"/>
          <w:sz w:val="20"/>
          <w:szCs w:val="20"/>
        </w:rPr>
        <w:t xml:space="preserve"> </w:t>
      </w:r>
    </w:p>
    <w:p>
      <w:pPr>
        <w:pStyle w:val="Heading1"/>
        <w:pBdr>
          <w:bottom w:val="single" w:color="07B4D9" w:sz="8"/>
        </w:pBdr>
        <w:spacing w:after="160" w:before="320"/>
      </w:pPr>
      <w:r>
        <w:rPr>
          <w:rFonts w:ascii="Arial" w:cs="Arial" w:eastAsia="Arial" w:hAnsi="Arial"/>
          <w:b/>
          <w:bCs/>
          <w:color w:val="152168"/>
          <w:sz w:val="32"/>
          <w:szCs w:val="32"/>
        </w:rPr>
        <w:t xml:space="preserve">11. Document Control 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rPr>
          <w:tblHeader/>
        </w:trPr>
        <w:tc>
          <w:tcPr>
            <w:tcW w:type="dxa" w:w="12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8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396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Changes</w:t>
            </w:r>
          </w:p>
        </w:tc>
        <w:tc>
          <w:tcPr>
            <w:tcW w:type="dxa" w:w="2400"/>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1.0</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[DATE]</w:t>
            </w:r>
          </w:p>
        </w:tc>
        <w:tc>
          <w:tcPr>
            <w:tcW w:type="dxa" w:w="3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Initial issue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0"/>
            </w:pPr>
            <w:r>
              <w:rPr>
                <w:rFonts w:ascii="Arial" w:cs="Arial" w:eastAsia="Arial" w:hAnsi="Arial"/>
                <w:color w:val="1A2340"/>
                <w:sz w:val="20"/>
                <w:szCs w:val="20"/>
              </w:rPr>
              <w:t xml:space="preserve">[AUTHOR]</w:t>
            </w:r>
          </w:p>
        </w:tc>
      </w:tr>
    </w:tbl>
    <w:p>
      <w:pPr>
        <w:spacing w:after="60"/>
      </w:pPr>
      <w:r>
        <w:rPr>
          <w:rFonts w:ascii="Arial" w:cs="Arial" w:eastAsia="Arial" w:hAnsi="Arial"/>
          <w:color w:val="1A2340"/>
          <w:sz w:val="20"/>
          <w:szCs w:val="20"/>
        </w:rPr>
        <w:t xml:space="preserve"> </w:t>
      </w:r>
    </w:p>
    <w:p>
      <w:pPr>
        <w:pStyle w:val="Heading2"/>
        <w:spacing w:after="100" w:before="220"/>
      </w:pPr>
      <w:r>
        <w:rPr>
          <w:rFonts w:ascii="Arial" w:cs="Arial" w:eastAsia="Arial" w:hAnsi="Arial"/>
          <w:b/>
          <w:bCs/>
          <w:color w:val="152168"/>
          <w:sz w:val="24"/>
          <w:szCs w:val="24"/>
        </w:rPr>
        <w:t xml:space="preserve">Acknowledgement</w:t>
      </w:r>
    </w:p>
    <w:p>
      <w:pPr>
        <w:spacing w:after="140"/>
      </w:pPr>
      <w:r>
        <w:rPr>
          <w:rFonts w:ascii="Arial" w:cs="Arial" w:eastAsia="Arial" w:hAnsi="Arial"/>
          <w:color w:val="1A2340"/>
          <w:sz w:val="20"/>
          <w:szCs w:val="20"/>
        </w:rPr>
        <w:t xml:space="preserve">By signing below, I confirm that I have read and understood the Third-Party and Vendor Risk Management Policy and agree to comply with its requirements.</w:t>
      </w:r>
    </w:p>
    <w:p>
      <w:pPr>
        <w:spacing w:after="60"/>
      </w:pPr>
      <w:r>
        <w:rPr>
          <w:rFonts w:ascii="Arial" w:cs="Arial" w:eastAsia="Arial" w:hAnsi="Arial"/>
          <w:color w:val="1A234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60"/>
            </w:pPr>
            <w:r>
              <w:rPr>
                <w:rFonts w:ascii="Arial" w:cs="Arial" w:eastAsia="Arial" w:hAnsi="Arial"/>
                <w:b/>
                <w:bCs/>
                <w:color w:val="1A2340"/>
                <w:sz w:val="20"/>
                <w:szCs w:val="20"/>
              </w:rPr>
              <w:t xml:space="preserve">Name</w:t>
            </w:r>
          </w:p>
          <w:p>
            <w:pPr>
              <w:spacing w:after="0"/>
            </w:pPr>
            <w:r>
              <w:rPr>
                <w:rFonts w:ascii="Arial" w:cs="Arial" w:eastAsia="Arial" w:hAnsi="Arial"/>
                <w:color w:val="1A2340"/>
                <w:sz w:val="20"/>
                <w:szCs w:val="20"/>
              </w:rPr>
              <w:t xml:space="preserve">____________________________</w:t>
            </w:r>
          </w:p>
        </w:tc>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60"/>
            </w:pPr>
            <w:r>
              <w:rPr>
                <w:rFonts w:ascii="Arial" w:cs="Arial" w:eastAsia="Arial" w:hAnsi="Arial"/>
                <w:b/>
                <w:bCs/>
                <w:color w:val="1A2340"/>
                <w:sz w:val="20"/>
                <w:szCs w:val="20"/>
              </w:rPr>
              <w:t xml:space="preserve">Date</w:t>
            </w:r>
          </w:p>
          <w:p>
            <w:pPr>
              <w:spacing w:after="0"/>
            </w:pPr>
            <w:r>
              <w:rPr>
                <w:rFonts w:ascii="Arial" w:cs="Arial" w:eastAsia="Arial" w:hAnsi="Arial"/>
                <w:color w:val="1A2340"/>
                <w:sz w:val="20"/>
                <w:szCs w:val="20"/>
              </w:rPr>
              <w:t xml:space="preserve">____________________________</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60"/>
            </w:pPr>
            <w:r>
              <w:rPr>
                <w:rFonts w:ascii="Arial" w:cs="Arial" w:eastAsia="Arial" w:hAnsi="Arial"/>
                <w:b/>
                <w:bCs/>
                <w:color w:val="1A2340"/>
                <w:sz w:val="20"/>
                <w:szCs w:val="20"/>
              </w:rPr>
              <w:t xml:space="preserve">Signature</w:t>
            </w:r>
          </w:p>
          <w:p>
            <w:pPr>
              <w:spacing w:after="0"/>
            </w:pPr>
            <w:r>
              <w:rPr>
                <w:rFonts w:ascii="Arial" w:cs="Arial" w:eastAsia="Arial" w:hAnsi="Arial"/>
                <w:color w:val="1A2340"/>
                <w:sz w:val="20"/>
                <w:szCs w:val="20"/>
              </w:rPr>
              <w:t xml:space="preserve">____________________________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60"/>
            </w:pPr>
            <w:r>
              <w:rPr>
                <w:rFonts w:ascii="Arial" w:cs="Arial" w:eastAsia="Arial" w:hAnsi="Arial"/>
                <w:b/>
                <w:bCs/>
                <w:color w:val="1A2340"/>
                <w:sz w:val="20"/>
                <w:szCs w:val="20"/>
              </w:rPr>
              <w:t xml:space="preserve">Department</w:t>
            </w:r>
          </w:p>
          <w:p>
            <w:pPr>
              <w:spacing w:after="0"/>
            </w:pPr>
            <w:r>
              <w:rPr>
                <w:rFonts w:ascii="Arial" w:cs="Arial" w:eastAsia="Arial" w:hAnsi="Arial"/>
                <w:color w:val="1A2340"/>
                <w:sz w:val="20"/>
                <w:szCs w:val="20"/>
              </w:rPr>
              <w:t xml:space="preserve">____________________________</w:t>
            </w:r>
          </w:p>
        </w:tc>
      </w:tr>
    </w:tbl>
    <w:p>
      <w:pPr>
        <w:spacing w:after="60"/>
      </w:pPr>
      <w:r>
        <w:rPr>
          <w:rFonts w:ascii="Arial" w:cs="Arial" w:eastAsia="Arial" w:hAnsi="Arial"/>
          <w:color w:val="1A2340"/>
          <w:sz w:val="20"/>
          <w:szCs w:val="20"/>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spacing w:after="0"/>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pBdr>
      <w:tabs>
        <w:tab w:val="right" w:pos="9026"/>
      </w:tabs>
      <w:spacing w:after="0"/>
    </w:pPr>
    <w:r>
      <w:rPr>
        <w:rFonts w:ascii="Arial" w:cs="Arial" w:eastAsia="Arial" w:hAnsi="Arial"/>
        <w:color w:val="5A6A8A"/>
        <w:sz w:val="18"/>
        <w:szCs w:val="18"/>
      </w:rPr>
      <w:t xml:space="preserve">ENT-Draft-POL-Third-Party and Vendor Risk-SMB-6.26  |  Third-Party and Vendor Risk Management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2168"/>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521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2026-06-19T04:27:47.375Z</dcterms:created>
  <dcterms:modified xsi:type="dcterms:W3CDTF">2026-06-19T04:27:47.375Z</dcterms:modified>
</cp:coreProperties>
</file>

<file path=docProps/custom.xml><?xml version="1.0" encoding="utf-8"?>
<Properties xmlns="http://schemas.openxmlformats.org/officeDocument/2006/custom-properties" xmlns:vt="http://schemas.openxmlformats.org/officeDocument/2006/docPropsVTypes"/>
</file>