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sz w:val="22"/>
          <w:szCs w:val="22"/>
        </w:rPr>
        <w:t xml:space="preserve"/>
      </w:r>
    </w:p>
    <w:p>
      <w:pPr>
        <w:spacing w:after="80" w:before="0"/>
        <w:jc w:val="center"/>
      </w:pPr>
      <w:r>
        <w:rPr>
          <w:rFonts w:ascii="Arial" w:cs="Arial" w:eastAsia="Arial" w:hAnsi="Arial"/>
          <w:b/>
          <w:bCs/>
          <w:color w:val="152168"/>
          <w:sz w:val="52"/>
          <w:szCs w:val="52"/>
        </w:rPr>
        <w:t xml:space="preserve">ARTIFICIAL INTELLIGENCE</w:t>
      </w:r>
    </w:p>
    <w:p>
      <w:pPr>
        <w:spacing w:after="240" w:before="0"/>
        <w:jc w:val="center"/>
      </w:pPr>
      <w:r>
        <w:rPr>
          <w:rFonts w:ascii="Arial" w:cs="Arial" w:eastAsia="Arial" w:hAnsi="Arial"/>
          <w:b/>
          <w:bCs/>
          <w:color w:val="07B4D9"/>
          <w:sz w:val="52"/>
          <w:szCs w:val="52"/>
        </w:rPr>
        <w:t xml:space="preserve">INCIDENT RESPONSE POLICY</w:t>
      </w:r>
    </w:p>
    <w:p>
      <w:pPr>
        <w:spacing w:after="480" w:before="0"/>
        <w:jc w:val="center"/>
      </w:pPr>
      <w:r>
        <w:rPr>
          <w:rFonts w:ascii="Arial" w:cs="Arial" w:eastAsia="Arial" w:hAnsi="Arial"/>
          <w:color w:val="5A6A8A"/>
          <w:sz w:val="20"/>
          <w:szCs w:val="20"/>
        </w:rPr>
        <w:t xml:space="preserve">ENT-Draft-POL-AI Incident Response-Comprehensive-6.26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Document Information</w:t>
            </w:r>
          </w:p>
        </w:tc>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Version</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1.0</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Status</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C0000"/>
                <w:sz w:val="20"/>
                <w:szCs w:val="20"/>
              </w:rPr>
              <w:t xml:space="preserve">DRAFT</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Effective Date</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June 2026</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Classification</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INTERNAL — CONFIDENTIAL</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Owner</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[CISO / vCISO / Policy Owner]</w:t>
            </w:r>
          </w:p>
        </w:tc>
      </w:tr>
      <w:tr>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Frameworks</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NIST AI RMF 1.0 (MANAGE) | ISO/IEC 42001:2023 Clause 8.8 | NIST SP 800-61 Rev 2</w:t>
            </w:r>
          </w:p>
        </w:tc>
      </w:tr>
    </w:tbl>
    <w:p>
      <w:pPr>
        <w:spacing w:after="0" w:before="480"/>
      </w:pPr>
      <w:r>
        <w:rPr>
          <w:sz w:val="22"/>
          <w:szCs w:val="22"/>
        </w:rPr>
        <w:t xml:space="preserve"/>
      </w:r>
    </w:p>
    <w:p>
      <w:pPr>
        <w:spacing w:after="120" w:before="0"/>
        <w:jc w:val="center"/>
      </w:pPr>
      <w:r>
        <w:rPr>
          <w:rFonts w:ascii="Arial" w:cs="Arial" w:eastAsia="Arial" w:hAnsi="Arial"/>
          <w:b/>
          <w:bCs/>
          <w:color w:val="152168"/>
          <w:sz w:val="28"/>
          <w:szCs w:val="28"/>
        </w:rPr>
        <w:t xml:space="preserve">[ORGANIZATION NAME]</w:t>
      </w:r>
    </w:p>
    <w:p>
      <w:r>
        <w:br w:type="pag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Purpose</w:t>
      </w:r>
      <w:bookmarkEnd w:id="2"/>
    </w:p>
    <w:p>
      <w:pPr>
        <w:spacing w:after="60" w:before="60"/>
      </w:pPr>
      <w:r>
        <w:rPr>
          <w:rFonts w:ascii="Arial" w:cs="Arial" w:eastAsia="Arial" w:hAnsi="Arial"/>
          <w:color w:val="1A2340"/>
          <w:sz w:val="22"/>
          <w:szCs w:val="22"/>
        </w:rPr>
        <w:t xml:space="preserve">This policy establishes requirements for identifying, responding to, and recovering from incidents involving Tier 1 artificial intelligence (AI) tools used within [ORGANIZATION NAME]. Tier 1 AI tools include commercially provided generative AI and AI-assisted productivity platforms such as Microsoft Copilot, ChatGPT Enterprise, Google Gemini, Claude, and similar services.</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This policy recognizes that AI incidents present distinct characteristics compared to traditional cybersecurity incidents, including risks related to data entered into AI platforms, harmful or erroneous AI-generated outputs, AI platform breaches by vendors, and unauthorized use of AI tools. A structured response to these incidents is essential to protect the Organization, its clients, and the individuals whose data it handles.</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This policy is intended to complement and interface with the Organization's broader Incident Response Policy. Where both policies apply, the more specific provisions of this policy govern.</w:t>
      </w:r>
    </w:p>
    <w:p>
      <w:pPr>
        <w:spacing w:after="40" w:before="40"/>
      </w:pPr>
      <w:r>
        <w:rPr>
          <w:sz w:val="22"/>
          <w:szCs w:val="22"/>
        </w:rPr>
        <w:t xml:space="preserve"/>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Scope</w:t>
      </w:r>
      <w:bookmarkEnd w:id="4"/>
    </w:p>
    <w:p>
      <w:pPr>
        <w:spacing w:after="60" w:before="60"/>
      </w:pPr>
      <w:r>
        <w:rPr>
          <w:rFonts w:ascii="Arial" w:cs="Arial" w:eastAsia="Arial" w:hAnsi="Arial"/>
          <w:color w:val="1A2340"/>
          <w:sz w:val="22"/>
          <w:szCs w:val="22"/>
        </w:rPr>
        <w:t xml:space="preserve">This policy applies to:</w:t>
      </w:r>
    </w:p>
    <w:p>
      <w:pPr>
        <w:pStyle w:val="ListParagraph"/>
        <w:numPr>
          <w:ilvl w:val="0"/>
          <w:numId w:val="2"/>
        </w:numPr>
        <w:spacing w:after="40" w:before="40"/>
      </w:pPr>
      <w:r>
        <w:rPr>
          <w:rFonts w:ascii="Arial" w:cs="Arial" w:eastAsia="Arial" w:hAnsi="Arial"/>
          <w:color w:val="1A2340"/>
          <w:sz w:val="22"/>
          <w:szCs w:val="22"/>
        </w:rPr>
        <w:t xml:space="preserve">All employees, contractors, consultants, and third parties who use Tier 1 AI tools on behalf of [ORGANIZATION NAME]</w:t>
      </w:r>
    </w:p>
    <w:p>
      <w:pPr>
        <w:pStyle w:val="ListParagraph"/>
        <w:numPr>
          <w:ilvl w:val="0"/>
          <w:numId w:val="2"/>
        </w:numPr>
        <w:spacing w:after="40" w:before="40"/>
      </w:pPr>
      <w:r>
        <w:rPr>
          <w:rFonts w:ascii="Arial" w:cs="Arial" w:eastAsia="Arial" w:hAnsi="Arial"/>
          <w:color w:val="1A2340"/>
          <w:sz w:val="22"/>
          <w:szCs w:val="22"/>
        </w:rPr>
        <w:t xml:space="preserve">All AI incidents involving Tier 1 AI tools, regardless of whether the tool was authorized or unauthorized at the time of the incident</w:t>
      </w:r>
    </w:p>
    <w:p>
      <w:pPr>
        <w:pStyle w:val="ListParagraph"/>
        <w:numPr>
          <w:ilvl w:val="0"/>
          <w:numId w:val="2"/>
        </w:numPr>
        <w:spacing w:after="40" w:before="40"/>
      </w:pPr>
      <w:r>
        <w:rPr>
          <w:rFonts w:ascii="Arial" w:cs="Arial" w:eastAsia="Arial" w:hAnsi="Arial"/>
          <w:color w:val="1A2340"/>
          <w:sz w:val="22"/>
          <w:szCs w:val="22"/>
        </w:rPr>
        <w:t xml:space="preserve">All devices, networks, and systems through which Tier 1 AI tools are accessed</w:t>
      </w:r>
    </w:p>
    <w:p>
      <w:pPr>
        <w:pStyle w:val="ListParagraph"/>
        <w:numPr>
          <w:ilvl w:val="0"/>
          <w:numId w:val="2"/>
        </w:numPr>
        <w:spacing w:after="40" w:before="40"/>
      </w:pPr>
      <w:r>
        <w:rPr>
          <w:rFonts w:ascii="Arial" w:cs="Arial" w:eastAsia="Arial" w:hAnsi="Arial"/>
          <w:color w:val="1A2340"/>
          <w:sz w:val="22"/>
          <w:szCs w:val="22"/>
        </w:rPr>
        <w:t xml:space="preserve">All data types entered into, processed by, or generated by AI tools in connection with the Organization's operations</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This policy covers the following AI incident categories:</w:t>
      </w:r>
    </w:p>
    <w:p>
      <w:pPr>
        <w:pStyle w:val="ListParagraph"/>
        <w:numPr>
          <w:ilvl w:val="0"/>
          <w:numId w:val="2"/>
        </w:numPr>
        <w:spacing w:after="40" w:before="40"/>
      </w:pPr>
      <w:r>
        <w:rPr>
          <w:rFonts w:ascii="Arial" w:cs="Arial" w:eastAsia="Arial" w:hAnsi="Arial"/>
          <w:color w:val="1A2340"/>
          <w:sz w:val="22"/>
          <w:szCs w:val="22"/>
        </w:rPr>
        <w:t xml:space="preserve">Data entered into an AI tool that should not have been (data exposure incidents)</w:t>
      </w:r>
    </w:p>
    <w:p>
      <w:pPr>
        <w:pStyle w:val="ListParagraph"/>
        <w:numPr>
          <w:ilvl w:val="0"/>
          <w:numId w:val="2"/>
        </w:numPr>
        <w:spacing w:after="40" w:before="40"/>
      </w:pPr>
      <w:r>
        <w:rPr>
          <w:rFonts w:ascii="Arial" w:cs="Arial" w:eastAsia="Arial" w:hAnsi="Arial"/>
          <w:color w:val="1A2340"/>
          <w:sz w:val="22"/>
          <w:szCs w:val="22"/>
        </w:rPr>
        <w:t xml:space="preserve">Harmful, biased, or discriminatory AI output that was acted upon</w:t>
      </w:r>
    </w:p>
    <w:p>
      <w:pPr>
        <w:pStyle w:val="ListParagraph"/>
        <w:numPr>
          <w:ilvl w:val="0"/>
          <w:numId w:val="2"/>
        </w:numPr>
        <w:spacing w:after="40" w:before="40"/>
      </w:pPr>
      <w:r>
        <w:rPr>
          <w:rFonts w:ascii="Arial" w:cs="Arial" w:eastAsia="Arial" w:hAnsi="Arial"/>
          <w:color w:val="1A2340"/>
          <w:sz w:val="22"/>
          <w:szCs w:val="22"/>
        </w:rPr>
        <w:t xml:space="preserve">AI-generated content that caused or risks causing reputational harm</w:t>
      </w:r>
    </w:p>
    <w:p>
      <w:pPr>
        <w:pStyle w:val="ListParagraph"/>
        <w:numPr>
          <w:ilvl w:val="0"/>
          <w:numId w:val="2"/>
        </w:numPr>
        <w:spacing w:after="40" w:before="40"/>
      </w:pPr>
      <w:r>
        <w:rPr>
          <w:rFonts w:ascii="Arial" w:cs="Arial" w:eastAsia="Arial" w:hAnsi="Arial"/>
          <w:color w:val="1A2340"/>
          <w:sz w:val="22"/>
          <w:szCs w:val="22"/>
        </w:rPr>
        <w:t xml:space="preserve">AI platform breach by a Tier 1 vendor</w:t>
      </w:r>
    </w:p>
    <w:p>
      <w:pPr>
        <w:pStyle w:val="ListParagraph"/>
        <w:numPr>
          <w:ilvl w:val="0"/>
          <w:numId w:val="2"/>
        </w:numPr>
        <w:spacing w:after="40" w:before="40"/>
      </w:pPr>
      <w:r>
        <w:rPr>
          <w:rFonts w:ascii="Arial" w:cs="Arial" w:eastAsia="Arial" w:hAnsi="Arial"/>
          <w:color w:val="1A2340"/>
          <w:sz w:val="22"/>
          <w:szCs w:val="22"/>
        </w:rPr>
        <w:t xml:space="preserve">Unauthorized AI tool use that caused or risks causing harm</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This policy interfaces with the Organization's broader Incident Response Policy. AI incidents that also constitute traditional security incidents (e.g., a vendor platform breach) shall trigger both policies simultaneously, with the CISO/vCISO coordinating the unified response.</w:t>
      </w:r>
    </w:p>
    <w:p>
      <w:pPr>
        <w:spacing w:after="40" w:before="40"/>
      </w:pPr>
      <w:r>
        <w:rPr>
          <w:sz w:val="22"/>
          <w:szCs w:val="22"/>
        </w:rPr>
        <w:t xml:space="preserve"/>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Policy Statement</w:t>
      </w:r>
      <w:bookmarkEnd w:id="6"/>
    </w:p>
    <w:p>
      <w:pPr>
        <w:spacing w:after="60" w:before="60"/>
      </w:pPr>
      <w:r>
        <w:rPr>
          <w:rFonts w:ascii="Arial" w:cs="Arial" w:eastAsia="Arial" w:hAnsi="Arial"/>
          <w:color w:val="1A2340"/>
          <w:sz w:val="22"/>
          <w:szCs w:val="22"/>
        </w:rPr>
        <w:t xml:space="preserve">The Organization is committed to the responsible use of AI tools and to managing the risks that AI incidents present. The following five principles govern the Organization's response to all AI incidents:</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3.1  Prompt Detection</w:t>
      </w:r>
    </w:p>
    <w:p>
      <w:pPr>
        <w:spacing w:after="60" w:before="60"/>
      </w:pPr>
      <w:r>
        <w:rPr>
          <w:rFonts w:ascii="Arial" w:cs="Arial" w:eastAsia="Arial" w:hAnsi="Arial"/>
          <w:color w:val="1A2340"/>
          <w:sz w:val="22"/>
          <w:szCs w:val="22"/>
        </w:rPr>
        <w:t xml:space="preserve">AI incidents shall be identified and reported as quickly as possible. All personnel are expected to recognize potential AI incidents and report them without delay. Speed of detection directly limits the scope of harm.</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3.2  Evidence Preservation</w:t>
      </w:r>
    </w:p>
    <w:p>
      <w:pPr>
        <w:spacing w:after="60" w:before="60"/>
      </w:pPr>
      <w:r>
        <w:rPr>
          <w:rFonts w:ascii="Arial" w:cs="Arial" w:eastAsia="Arial" w:hAnsi="Arial"/>
          <w:color w:val="1A2340"/>
          <w:sz w:val="22"/>
          <w:szCs w:val="22"/>
        </w:rPr>
        <w:t xml:space="preserve">Evidence related to AI incidents shall be preserved promptly and handled in accordance with chain-of-custody requirements. Premature deletion of AI conversation logs, screenshots, or access records may impede investigation, regulatory response, and legal proceedings.</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3.3  Proportionate Response</w:t>
      </w:r>
    </w:p>
    <w:p>
      <w:pPr>
        <w:spacing w:after="60" w:before="60"/>
      </w:pPr>
      <w:r>
        <w:rPr>
          <w:rFonts w:ascii="Arial" w:cs="Arial" w:eastAsia="Arial" w:hAnsi="Arial"/>
          <w:color w:val="1A2340"/>
          <w:sz w:val="22"/>
          <w:szCs w:val="22"/>
        </w:rPr>
        <w:t xml:space="preserve">The Organization's response to an AI incident shall be proportionate to the confirmed or probable severity of the incident. Resources shall be scaled to the risk level, and escalation pathways shall match the potential impact.</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3.4  Regulatory Compliance</w:t>
      </w:r>
    </w:p>
    <w:p>
      <w:pPr>
        <w:spacing w:after="60" w:before="60"/>
      </w:pPr>
      <w:r>
        <w:rPr>
          <w:rFonts w:ascii="Arial" w:cs="Arial" w:eastAsia="Arial" w:hAnsi="Arial"/>
          <w:color w:val="1A2340"/>
          <w:sz w:val="22"/>
          <w:szCs w:val="22"/>
        </w:rPr>
        <w:t xml:space="preserve">Where an AI incident involves personal data, payment data, health data, or other regulated categories, the Organization shall comply with all applicable regulatory notification obligations. Legal/Compliance shall be engaged promptly for any incident that may trigger reporting requirements.</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3.5  Continual Learning</w:t>
      </w:r>
    </w:p>
    <w:p>
      <w:pPr>
        <w:spacing w:after="60" w:before="60"/>
      </w:pPr>
      <w:r>
        <w:rPr>
          <w:rFonts w:ascii="Arial" w:cs="Arial" w:eastAsia="Arial" w:hAnsi="Arial"/>
          <w:color w:val="1A2340"/>
          <w:sz w:val="22"/>
          <w:szCs w:val="22"/>
        </w:rPr>
        <w:t xml:space="preserve">Every AI incident is an opportunity to improve. Post-incident reviews shall produce documented lessons learned and actionable control improvements. The AI Incident Register shall support trend analysis and inform ongoing risk management.</w:t>
      </w:r>
    </w:p>
    <w:p>
      <w:pPr>
        <w:spacing w:after="40" w:before="40"/>
      </w:pPr>
      <w:r>
        <w:rPr>
          <w:sz w:val="22"/>
          <w:szCs w:val="22"/>
        </w:rPr>
        <w:t xml:space="preserve"/>
      </w:r>
    </w:p>
    <w:p>
      <w:r>
        <w:br w:type="page"/>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Definitions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Term</w:t>
            </w:r>
          </w:p>
        </w:tc>
        <w:tc>
          <w:tcPr>
            <w:tcW w:type="dxa" w:w="6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Definition</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AI Incident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Any unplanned event, action, or failure involving a Tier 1 AI tool that has caused, or has the potential to cause, harm to the Organization, its clients, employees, or third parties. This includes data exposure, harmful outputs, vendor breaches, and unauthorized tool use.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Data Exposure Incident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 AI incident in which confidential, regulated, or sensitive data was entered into a Tier 1 AI tool in a manner inconsistent with the Organization's AI Acceptable Use Policy or applicable data handling requirements.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Harmful Output Incident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 AI incident in which an AI tool produced output (text, code, analysis, or recommendations) that was harmful, biased, discriminatory, false, or misleading, and that output was acted upon or disseminated causing real harm.</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Platform Breach Incident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 AI incident in which a Tier 1 AI vendor's systems were compromised by an unauthorized third party, potentially exposing organizational data held by the vendor.</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Shadow AI Incident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 AI incident arising from the unauthorized use of an AI tool not approved by the Organization, where such use resulted in or risks resulting in harm.</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Incident Severity (P1-P4)</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 four-level classification system (P1 = Critical, P2 = High, P3 = Medium, P4 = Low) used to assess the potential impact of an AI incident and determine the appropriate response resources and timelines.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Evidence</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Any information, record, or artifact that documents the occurrence, nature, scope, or impact of an AI incident, including conversation logs, access logs, screenshots, DLP alerts, and vendor notifications.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Containment</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Actions taken to stop an AI incident from spreading or causing additional harm, including restricting access to affected AI tools, revoking accounts, or disabling integrations.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Eradication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Actions taken to remove the root cause of an AI incident and eliminate the conditions that allowed it to occur, such as revising permissions, retraining staff, or enforcing technical controls.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Recovery</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The process of restoring normal, verified operations following an AI incident, including confirming that affected systems, accounts, and data are in a secure and acceptable state.</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Post-Incident Review</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 structured review conducted after an AI incident is resolved to determine what happened, why it happened, what was done well, what could be improved, and what action items result.</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Regulatory Notification</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 formal notification to a regulatory authority, data protection supervisor, or other required body, triggered by a breach or incident involving regulated data categories.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Root Cause Analysis</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 systematic process for identifying the fundamental cause(s) of an AI incident, as distinguished from its symptoms or immediate triggers.</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Lessons Learned</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Documented findings from a Post-Incident Review that identify control gaps, process improvements, and training needs arising from an AI incident.</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AI Incident Register</w:t>
            </w:r>
          </w:p>
        </w:tc>
        <w:tc>
          <w:tcPr>
            <w:tcW w:type="dxa" w:w="6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The Organization's authoritative log of all AI incidents, including incident type, severity, timeline, response actions, regulatory notifications, and lessons learned.</w:t>
            </w:r>
          </w:p>
        </w:tc>
      </w:tr>
    </w:tbl>
    <w:p>
      <w:pPr>
        <w:spacing w:after="40" w:before="40"/>
      </w:pPr>
      <w:r>
        <w:rPr>
          <w:sz w:val="22"/>
          <w:szCs w:val="22"/>
        </w:rPr>
        <w:t xml:space="preserve"/>
      </w:r>
    </w:p>
    <w:p>
      <w:r>
        <w:br w:type="pag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Roles and Responsibilities</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Role</w:t>
            </w:r>
          </w:p>
        </w:tc>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Responsibilities in AI Incident Response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CISO / vCISO</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Serves as incident commander for all P1 and P2 AI incidents. Coordinates the response team, makes containment and escalation decisions, approves regulatory notifications, and owns the Post-Incident Review. Maintains the AI Incident Register and reports AI incident trends to Executive Leadership.</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Department Heads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Serve as the first notification point when an AI incident is reported by a team member. Must notify the CISO/vCISO within one (1) hour of receiving a report. Support investigation by providing access to relevant staff and records. Ensure team members comply with evidence preservation requirements.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Legal / Compliance</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Advises on regulatory notification obligations triggered by AI incidents. Drafts and approves all external regulatory notifications. Engages external legal counsel where required. Advises on data protection obligations (GDPR, PIPEDA, CCPA, HIPAA, PCI DSS) as applicable.</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Human Resources</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Engaged for any AI incident involving employee conduct, including unauthorized use of AI tools or deliberate misuse. Supports disciplinary processes where warranted. Advises on employee notification obligations.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Executive Leadership</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Notified for all P1 and P2 AI incidents. Approves decisions involving significant business impact, public disclosure, or regulatory engagement. Reviews AI incident trends at least quarterly.</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All Staff</w:t>
            </w:r>
          </w:p>
        </w:tc>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Required to report any suspected or confirmed AI incident immediately upon discovery -- and in all cases within one (1) hour of discovery -- to their Department Head. Must preserve all relevant evidence and cooperate fully with the response team.</w:t>
            </w:r>
          </w:p>
        </w:tc>
      </w:tr>
    </w:tbl>
    <w:p>
      <w:pPr>
        <w:spacing w:after="40" w:before="40"/>
      </w:pPr>
      <w:r>
        <w:rPr>
          <w:sz w:val="22"/>
          <w:szCs w:val="22"/>
        </w:rPr>
        <w:t xml:space="preserve"/>
      </w:r>
    </w:p>
    <w:p>
      <w:r>
        <w:br w:type="page"/>
      </w:r>
    </w:p>
    <w:p>
      <w:pPr>
        <w:pStyle w:val="Heading1"/>
        <w:pBdr>
          <w:bottom w:val="single" w:color="07B4D9" w:sz="8" w:space="4"/>
        </w:pBdr>
        <w:spacing w:after="120" w:before="400"/>
      </w:pPr>
      <w:bookmarkStart w:name="s6" w:id="11"/>
      <w:r>
        <w:rPr>
          <w:rFonts w:ascii="Arial" w:cs="Arial" w:eastAsia="Arial" w:hAnsi="Arial"/>
          <w:b/>
          <w:bCs/>
          <w:color w:val="152168"/>
          <w:sz w:val="30"/>
          <w:szCs w:val="30"/>
        </w:rPr>
        <w:t xml:space="preserve">6. Policy Requirements</w:t>
      </w:r>
      <w:bookmarkEnd w:id="12"/>
    </w:p>
    <w:p>
      <w:pPr>
        <w:pStyle w:val="Heading2"/>
        <w:spacing w:after="80" w:before="280"/>
      </w:pPr>
      <w:r>
        <w:rPr>
          <w:rFonts w:ascii="Arial" w:cs="Arial" w:eastAsia="Arial" w:hAnsi="Arial"/>
          <w:b/>
          <w:bCs/>
          <w:color w:val="152168"/>
          <w:sz w:val="26"/>
          <w:szCs w:val="26"/>
        </w:rPr>
        <w:t xml:space="preserve">6.1  AI Incident Classification</w:t>
      </w:r>
    </w:p>
    <w:p>
      <w:pPr>
        <w:spacing w:after="60" w:before="60"/>
      </w:pPr>
      <w:r>
        <w:rPr>
          <w:rFonts w:ascii="Arial" w:cs="Arial" w:eastAsia="Arial" w:hAnsi="Arial"/>
          <w:color w:val="1A2340"/>
          <w:sz w:val="22"/>
          <w:szCs w:val="22"/>
        </w:rPr>
        <w:t xml:space="preserve">All AI incidents shall be classified at initial identification using the following severity scale. Initial severity assessment is performed by the CISO/vCISO (or the Department Head if the CISO/vCISO has not yet been engaged) and may be revised as investigation proceeds.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Level</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Severity</w:t>
            </w:r>
          </w:p>
        </w:tc>
        <w:tc>
          <w:tcPr>
            <w:tcW w:type="dxa" w:w="66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Description and Examples</w:t>
            </w:r>
          </w:p>
        </w:tc>
      </w:tr>
      <w:tr>
        <w:tc>
          <w:tcPr>
            <w:tcW w:type="dxa" w:w="9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P1</w:t>
            </w:r>
          </w:p>
        </w:tc>
        <w:tc>
          <w:tcPr>
            <w:tcW w:type="dxa" w:w="1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Critical</w:t>
            </w:r>
          </w:p>
        </w:tc>
        <w:tc>
          <w:tcPr>
            <w:tcW w:type="dxa" w:w="6660"/>
            <w:tcBorders>
              <w:top w:val="single" w:color="DDE3EF" w:sz="4"/>
              <w:left w:val="single" w:color="DDE3EF" w:sz="4"/>
              <w:bottom w:val="single" w:color="DDE3EF" w:sz="4"/>
              <w:right w:val="single" w:color="DDE3EF" w:sz="4"/>
            </w:tcBorders>
            <w:shd w:fill="FFF5F5"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Prohibited or regulated data is confirmed to have been exposed to an AI platform. Active Tier 1 vendor platform breach with confirmed organizational impact. Regulatory notification is likely required. AI-generated content has caused material financial harm or significant reputational damage.</w:t>
            </w:r>
          </w:p>
        </w:tc>
      </w:tr>
      <w:tr>
        <w:tc>
          <w:tcPr>
            <w:tcW w:type="dxa" w:w="900"/>
            <w:tcBorders>
              <w:top w:val="single" w:color="DDE3EF" w:sz="4"/>
              <w:left w:val="single" w:color="DDE3EF" w:sz="4"/>
              <w:bottom w:val="single" w:color="DDE3EF" w:sz="4"/>
              <w:right w:val="single" w:color="DDE3EF" w:sz="4"/>
            </w:tcBorders>
            <w:shd w:fill="FEF3C7" w:val="clear"/>
            <w:tcMar>
              <w:top w:type="dxa" w:w="80"/>
              <w:left w:type="dxa" w:w="120"/>
              <w:bottom w:type="dxa" w:w="80"/>
              <w:right w:type="dxa" w:w="120"/>
            </w:tcMar>
            <w:vAlign w:val="top"/>
          </w:tcPr>
          <w:p>
            <w:pPr>
              <w:spacing w:after="0" w:before="0"/>
            </w:pPr>
            <w:r>
              <w:rPr>
                <w:rFonts w:ascii="Arial" w:cs="Arial" w:eastAsia="Arial" w:hAnsi="Arial"/>
                <w:b/>
                <w:bCs/>
                <w:color w:val="92400E"/>
                <w:sz w:val="20"/>
                <w:szCs w:val="20"/>
              </w:rPr>
              <w:t xml:space="preserve">P2</w:t>
            </w:r>
          </w:p>
        </w:tc>
        <w:tc>
          <w:tcPr>
            <w:tcW w:type="dxa" w:w="1800"/>
            <w:tcBorders>
              <w:top w:val="single" w:color="DDE3EF" w:sz="4"/>
              <w:left w:val="single" w:color="DDE3EF" w:sz="4"/>
              <w:bottom w:val="single" w:color="DDE3EF" w:sz="4"/>
              <w:right w:val="single" w:color="DDE3EF" w:sz="4"/>
            </w:tcBorders>
            <w:shd w:fill="FEF3C7" w:val="clear"/>
            <w:tcMar>
              <w:top w:type="dxa" w:w="80"/>
              <w:left w:type="dxa" w:w="120"/>
              <w:bottom w:type="dxa" w:w="80"/>
              <w:right w:type="dxa" w:w="120"/>
            </w:tcMar>
            <w:vAlign w:val="top"/>
          </w:tcPr>
          <w:p>
            <w:pPr>
              <w:spacing w:after="0" w:before="0"/>
            </w:pPr>
            <w:r>
              <w:rPr>
                <w:rFonts w:ascii="Arial" w:cs="Arial" w:eastAsia="Arial" w:hAnsi="Arial"/>
                <w:b/>
                <w:bCs/>
                <w:color w:val="92400E"/>
                <w:sz w:val="20"/>
                <w:szCs w:val="20"/>
              </w:rPr>
              <w:t xml:space="preserve">High</w:t>
            </w:r>
          </w:p>
        </w:tc>
        <w:tc>
          <w:tcPr>
            <w:tcW w:type="dxa" w:w="6660"/>
            <w:tcBorders>
              <w:top w:val="single" w:color="DDE3EF" w:sz="4"/>
              <w:left w:val="single" w:color="DDE3EF" w:sz="4"/>
              <w:bottom w:val="single" w:color="DDE3EF" w:sz="4"/>
              <w:right w:val="single" w:color="DDE3EF" w:sz="4"/>
            </w:tcBorders>
            <w:shd w:fill="FFFBEB"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Significant data leakage to an AI platform is suspected but not yet confirmed. Harmful AI output was acted upon, causing real harm to an individual or the Organization. A reputational event involving AI-generated content is underway. Vendor platform breach with potential but unconfirmed organizational impact.</w:t>
            </w:r>
          </w:p>
        </w:tc>
      </w:tr>
      <w:tr>
        <w:tc>
          <w:tcPr>
            <w:tcW w:type="dxa" w:w="900"/>
            <w:tcBorders>
              <w:top w:val="single" w:color="DDE3EF" w:sz="4"/>
              <w:left w:val="single" w:color="DDE3EF" w:sz="4"/>
              <w:bottom w:val="single" w:color="DDE3EF" w:sz="4"/>
              <w:right w:val="single" w:color="DDE3EF" w:sz="4"/>
            </w:tcBorders>
            <w:shd w:fill="DBEAFE" w:val="clear"/>
            <w:tcMar>
              <w:top w:type="dxa" w:w="80"/>
              <w:left w:type="dxa" w:w="120"/>
              <w:bottom w:type="dxa" w:w="80"/>
              <w:right w:type="dxa" w:w="120"/>
            </w:tcMar>
            <w:vAlign w:val="top"/>
          </w:tcPr>
          <w:p>
            <w:pPr>
              <w:spacing w:after="0" w:before="0"/>
            </w:pPr>
            <w:r>
              <w:rPr>
                <w:rFonts w:ascii="Arial" w:cs="Arial" w:eastAsia="Arial" w:hAnsi="Arial"/>
                <w:b/>
                <w:bCs/>
                <w:color w:val="1E40AF"/>
                <w:sz w:val="20"/>
                <w:szCs w:val="20"/>
              </w:rPr>
              <w:t xml:space="preserve">P3</w:t>
            </w:r>
          </w:p>
        </w:tc>
        <w:tc>
          <w:tcPr>
            <w:tcW w:type="dxa" w:w="1800"/>
            <w:tcBorders>
              <w:top w:val="single" w:color="DDE3EF" w:sz="4"/>
              <w:left w:val="single" w:color="DDE3EF" w:sz="4"/>
              <w:bottom w:val="single" w:color="DDE3EF" w:sz="4"/>
              <w:right w:val="single" w:color="DDE3EF" w:sz="4"/>
            </w:tcBorders>
            <w:shd w:fill="DBEAFE" w:val="clear"/>
            <w:tcMar>
              <w:top w:type="dxa" w:w="80"/>
              <w:left w:type="dxa" w:w="120"/>
              <w:bottom w:type="dxa" w:w="80"/>
              <w:right w:type="dxa" w:w="120"/>
            </w:tcMar>
            <w:vAlign w:val="top"/>
          </w:tcPr>
          <w:p>
            <w:pPr>
              <w:spacing w:after="0" w:before="0"/>
            </w:pPr>
            <w:r>
              <w:rPr>
                <w:rFonts w:ascii="Arial" w:cs="Arial" w:eastAsia="Arial" w:hAnsi="Arial"/>
                <w:b/>
                <w:bCs/>
                <w:color w:val="1E40AF"/>
                <w:sz w:val="20"/>
                <w:szCs w:val="20"/>
              </w:rPr>
              <w:t xml:space="preserve">Medium</w:t>
            </w:r>
          </w:p>
        </w:tc>
        <w:tc>
          <w:tcPr>
            <w:tcW w:type="dxa" w:w="6660"/>
            <w:tcBorders>
              <w:top w:val="single" w:color="DDE3EF" w:sz="4"/>
              <w:left w:val="single" w:color="DDE3EF" w:sz="4"/>
              <w:bottom w:val="single" w:color="DDE3EF" w:sz="4"/>
              <w:right w:val="single" w:color="DDE3EF" w:sz="4"/>
            </w:tcBorders>
            <w:shd w:fill="EFF6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Minor data sanitization failure. Unauthorized AI tool discovered in use, with no confirmed harm. Biased or inaccurate AI output identified before it was acted upon. Near-miss that would have been a P1 or P2.</w:t>
            </w:r>
          </w:p>
        </w:tc>
      </w:tr>
      <w:tr>
        <w:tc>
          <w:tcPr>
            <w:tcW w:type="dxa" w:w="900"/>
            <w:tcBorders>
              <w:top w:val="single" w:color="DDE3EF" w:sz="4"/>
              <w:left w:val="single" w:color="DDE3EF" w:sz="4"/>
              <w:bottom w:val="single" w:color="DDE3EF" w:sz="4"/>
              <w:right w:val="single" w:color="DDE3EF" w:sz="4"/>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6534"/>
                <w:sz w:val="20"/>
                <w:szCs w:val="20"/>
              </w:rPr>
              <w:t xml:space="preserve">P4</w:t>
            </w:r>
          </w:p>
        </w:tc>
        <w:tc>
          <w:tcPr>
            <w:tcW w:type="dxa" w:w="1800"/>
            <w:tcBorders>
              <w:top w:val="single" w:color="DDE3EF" w:sz="4"/>
              <w:left w:val="single" w:color="DDE3EF" w:sz="4"/>
              <w:bottom w:val="single" w:color="DDE3EF" w:sz="4"/>
              <w:right w:val="single" w:color="DDE3EF" w:sz="4"/>
            </w:tcBorders>
            <w:shd w:fill="DCFCE7" w:val="clear"/>
            <w:tcMar>
              <w:top w:type="dxa" w:w="80"/>
              <w:left w:type="dxa" w:w="120"/>
              <w:bottom w:type="dxa" w:w="80"/>
              <w:right w:type="dxa" w:w="120"/>
            </w:tcMar>
            <w:vAlign w:val="top"/>
          </w:tcPr>
          <w:p>
            <w:pPr>
              <w:spacing w:after="0" w:before="0"/>
            </w:pPr>
            <w:r>
              <w:rPr>
                <w:rFonts w:ascii="Arial" w:cs="Arial" w:eastAsia="Arial" w:hAnsi="Arial"/>
                <w:b/>
                <w:bCs/>
                <w:color w:val="166534"/>
                <w:sz w:val="20"/>
                <w:szCs w:val="20"/>
              </w:rPr>
              <w:t xml:space="preserve">Low</w:t>
            </w:r>
          </w:p>
        </w:tc>
        <w:tc>
          <w:tcPr>
            <w:tcW w:type="dxa" w:w="6660"/>
            <w:tcBorders>
              <w:top w:val="single" w:color="DDE3EF" w:sz="4"/>
              <w:left w:val="single" w:color="DDE3EF" w:sz="4"/>
              <w:bottom w:val="single" w:color="DDE3EF" w:sz="4"/>
              <w:right w:val="single" w:color="DDE3EF" w:sz="4"/>
            </w:tcBorders>
            <w:shd w:fill="F0FDF4"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Near-miss with no confirmed data exposure or harm. Policy question or ambiguous situation requiring guidance. No confirmed regulatory trigger. Requires documentation in AI Incident Register.</w:t>
            </w:r>
          </w:p>
        </w:tc>
      </w:tr>
    </w:tbl>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6.2  Incident Detection and Reporting</w:t>
      </w:r>
    </w:p>
    <w:p>
      <w:pPr>
        <w:pStyle w:val="Heading3"/>
        <w:spacing w:after="60" w:before="200"/>
      </w:pPr>
      <w:r>
        <w:rPr>
          <w:rFonts w:ascii="Arial" w:cs="Arial" w:eastAsia="Arial" w:hAnsi="Arial"/>
          <w:b/>
          <w:bCs/>
          <w:color w:val="4F46E5"/>
          <w:sz w:val="24"/>
          <w:szCs w:val="24"/>
        </w:rPr>
        <w:t xml:space="preserve">Detection Sources</w:t>
      </w:r>
    </w:p>
    <w:p>
      <w:pPr>
        <w:spacing w:after="60" w:before="60"/>
      </w:pPr>
      <w:r>
        <w:rPr>
          <w:rFonts w:ascii="Arial" w:cs="Arial" w:eastAsia="Arial" w:hAnsi="Arial"/>
          <w:color w:val="1A2340"/>
          <w:sz w:val="22"/>
          <w:szCs w:val="22"/>
        </w:rPr>
        <w:t xml:space="preserve">AI incidents may be detected through any of the following mechanisms:</w:t>
      </w:r>
    </w:p>
    <w:p>
      <w:pPr>
        <w:pStyle w:val="ListParagraph"/>
        <w:numPr>
          <w:ilvl w:val="0"/>
          <w:numId w:val="2"/>
        </w:numPr>
        <w:spacing w:after="40" w:before="40"/>
      </w:pPr>
      <w:r>
        <w:rPr>
          <w:rFonts w:ascii="Arial" w:cs="Arial" w:eastAsia="Arial" w:hAnsi="Arial"/>
          <w:color w:val="1A2340"/>
          <w:sz w:val="22"/>
          <w:szCs w:val="22"/>
        </w:rPr>
        <w:t xml:space="preserve">Data Loss Prevention (DLP) alert -- automated detection of sensitive data in AI tool traffic</w:t>
      </w:r>
    </w:p>
    <w:p>
      <w:pPr>
        <w:pStyle w:val="ListParagraph"/>
        <w:numPr>
          <w:ilvl w:val="0"/>
          <w:numId w:val="2"/>
        </w:numPr>
        <w:spacing w:after="40" w:before="40"/>
      </w:pPr>
      <w:r>
        <w:rPr>
          <w:rFonts w:ascii="Arial" w:cs="Arial" w:eastAsia="Arial" w:hAnsi="Arial"/>
          <w:color w:val="1A2340"/>
          <w:sz w:val="22"/>
          <w:szCs w:val="22"/>
        </w:rPr>
        <w:t xml:space="preserve">Employee self-report -- the person involved recognizes the incident and reports it</w:t>
      </w:r>
    </w:p>
    <w:p>
      <w:pPr>
        <w:pStyle w:val="ListParagraph"/>
        <w:numPr>
          <w:ilvl w:val="0"/>
          <w:numId w:val="2"/>
        </w:numPr>
        <w:spacing w:after="40" w:before="40"/>
      </w:pPr>
      <w:r>
        <w:rPr>
          <w:rFonts w:ascii="Arial" w:cs="Arial" w:eastAsia="Arial" w:hAnsi="Arial"/>
          <w:color w:val="1A2340"/>
          <w:sz w:val="22"/>
          <w:szCs w:val="22"/>
        </w:rPr>
        <w:t xml:space="preserve">Vendor notification -- the Tier 1 AI vendor reports a platform breach or data handling issue</w:t>
      </w:r>
    </w:p>
    <w:p>
      <w:pPr>
        <w:pStyle w:val="ListParagraph"/>
        <w:numPr>
          <w:ilvl w:val="0"/>
          <w:numId w:val="2"/>
        </w:numPr>
        <w:spacing w:after="40" w:before="40"/>
      </w:pPr>
      <w:r>
        <w:rPr>
          <w:rFonts w:ascii="Arial" w:cs="Arial" w:eastAsia="Arial" w:hAnsi="Arial"/>
          <w:color w:val="1A2340"/>
          <w:sz w:val="22"/>
          <w:szCs w:val="22"/>
        </w:rPr>
        <w:t xml:space="preserve">Audit or compliance finding -- internal or external review identifies a past incident</w:t>
      </w:r>
    </w:p>
    <w:p>
      <w:pPr>
        <w:pStyle w:val="ListParagraph"/>
        <w:numPr>
          <w:ilvl w:val="0"/>
          <w:numId w:val="2"/>
        </w:numPr>
        <w:spacing w:after="40" w:before="40"/>
      </w:pPr>
      <w:r>
        <w:rPr>
          <w:rFonts w:ascii="Arial" w:cs="Arial" w:eastAsia="Arial" w:hAnsi="Arial"/>
          <w:color w:val="1A2340"/>
          <w:sz w:val="22"/>
          <w:szCs w:val="22"/>
        </w:rPr>
        <w:t xml:space="preserve">External report -- client, regulator, media, or third party reports an AI-related issue</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Reporting Requirements</w:t>
      </w:r>
    </w:p>
    <w:p>
      <w:pPr>
        <w:spacing w:after="60" w:before="60"/>
      </w:pPr>
      <w:r>
        <w:rPr>
          <w:rFonts w:ascii="Arial" w:cs="Arial" w:eastAsia="Arial" w:hAnsi="Arial"/>
          <w:color w:val="1A2340"/>
          <w:sz w:val="22"/>
          <w:szCs w:val="22"/>
        </w:rPr>
        <w:t xml:space="preserve">All employees must report any suspected or confirmed AI incident within one (1) hour of discovery to their Department Head.</w:t>
      </w:r>
    </w:p>
    <w:p>
      <w:pPr>
        <w:spacing w:after="60" w:before="60"/>
      </w:pPr>
      <w:r>
        <w:rPr>
          <w:rFonts w:ascii="Arial" w:cs="Arial" w:eastAsia="Arial" w:hAnsi="Arial"/>
          <w:color w:val="1A2340"/>
          <w:sz w:val="22"/>
          <w:szCs w:val="22"/>
        </w:rPr>
        <w:t xml:space="preserve">Department Heads must notify the CISO/vCISO within one (1) hour of receiving an AI incident report.</w:t>
      </w:r>
    </w:p>
    <w:p>
      <w:pPr>
        <w:spacing w:after="60" w:before="60"/>
      </w:pPr>
      <w:r>
        <w:rPr>
          <w:rFonts w:ascii="Arial" w:cs="Arial" w:eastAsia="Arial" w:hAnsi="Arial"/>
          <w:color w:val="1A2340"/>
          <w:sz w:val="22"/>
          <w:szCs w:val="22"/>
        </w:rPr>
        <w:t xml:space="preserve">Reports should include: what was observed, when it was discovered, which AI tool was involved, what data or output was involved, and any immediate actions already taken.</w:t>
      </w:r>
    </w:p>
    <w:p>
      <w:pPr>
        <w:spacing w:after="60" w:before="60"/>
      </w:pPr>
      <w:r>
        <w:rPr>
          <w:rFonts w:ascii="Arial" w:cs="Arial" w:eastAsia="Arial" w:hAnsi="Arial"/>
          <w:color w:val="1A2340"/>
          <w:sz w:val="22"/>
          <w:szCs w:val="22"/>
        </w:rPr>
        <w:t xml:space="preserve">Anonymous reporting channels may be used where an employee is concerned about self-reporting. Anonymous reports shall be treated as valid and investigated accordingly.</w:t>
      </w:r>
    </w:p>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6.3  Response Phases</w:t>
      </w:r>
    </w:p>
    <w:p>
      <w:pPr>
        <w:spacing w:after="60" w:before="60"/>
      </w:pPr>
      <w:r>
        <w:rPr>
          <w:rFonts w:ascii="Arial" w:cs="Arial" w:eastAsia="Arial" w:hAnsi="Arial"/>
          <w:color w:val="1A2340"/>
          <w:sz w:val="22"/>
          <w:szCs w:val="22"/>
        </w:rPr>
        <w:t xml:space="preserve">All P1 and P2 AI incidents shall be managed through the following six-phase response lifecycle. P3 incidents shall follow phases 1 through 5. P4 incidents shall be documented and reviewed as warranted.</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Phase</w:t>
            </w:r>
          </w:p>
        </w:tc>
        <w:tc>
          <w:tcPr>
            <w:tcW w:type="dxa" w:w="1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Timeline</w:t>
            </w:r>
          </w:p>
        </w:tc>
        <w:tc>
          <w:tcPr>
            <w:tcW w:type="dxa" w:w="5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Key Actions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Phase 1: Identification</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0-1 hour</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Confirm that an AI incident has occurred. Assign initial severity (P1-P4). Activate the appropriate response team. Document initial findings in the AI Incident Register.</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Phase 2: Containment</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1-4 hours</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Stop further data exposure or harm. Preserve all available evidence. Restrict affected AI accounts or integrations if required. For vendor platform breaches, contact the vendor and request immediate status.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Phase 3: Investigation</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4-24 hours</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Determine the full scope of the incident: data types involved, volume of exposure, affected parties, root cause, and contributing factors.</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Phase 4: Notification</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24-72 hours</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Engage Legal/Compliance to assess regulatory notification obligations. Execute required notifications per the Regulatory Notification Matrix (Section 6.5). Notify clients, employees, or other affected parties as required.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Phase 5: Eradication and Recovery</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Variable</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Remove the root cause of the incident. Restore affected access and systems to a verified secure state. Confirm that controls are in place to prevent recurrence.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Phase 6: Post-Incident Review</w:t>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Within 14 days</w:t>
            </w:r>
          </w:p>
        </w:tc>
        <w:tc>
          <w:tcPr>
            <w:tcW w:type="dxa" w:w="5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Conduct the Post-Incident Review per Section 6.7. Document lessons learned and action items. Update the AI Incident Register with final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6.4  Evidence Preservation Requirements</w:t>
      </w:r>
    </w:p>
    <w:p>
      <w:pPr>
        <w:spacing w:after="60" w:before="60"/>
      </w:pPr>
      <w:r>
        <w:rPr>
          <w:rFonts w:ascii="Arial" w:cs="Arial" w:eastAsia="Arial" w:hAnsi="Arial"/>
          <w:color w:val="1A2340"/>
          <w:sz w:val="22"/>
          <w:szCs w:val="22"/>
        </w:rPr>
        <w:t xml:space="preserve">Evidence preservation is mandatory from the moment an AI incident is suspected. Failure to preserve evidence may constitute a separate policy violation.</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Evidence to Preserve</w:t>
      </w:r>
    </w:p>
    <w:p>
      <w:pPr>
        <w:pStyle w:val="ListParagraph"/>
        <w:numPr>
          <w:ilvl w:val="0"/>
          <w:numId w:val="2"/>
        </w:numPr>
        <w:spacing w:after="40" w:before="40"/>
      </w:pPr>
      <w:r>
        <w:rPr>
          <w:rFonts w:ascii="Arial" w:cs="Arial" w:eastAsia="Arial" w:hAnsi="Arial"/>
          <w:color w:val="1A2340"/>
          <w:sz w:val="22"/>
          <w:szCs w:val="22"/>
        </w:rPr>
        <w:t xml:space="preserve">AI tool conversation logs or session records, if accessible</w:t>
      </w:r>
    </w:p>
    <w:p>
      <w:pPr>
        <w:pStyle w:val="ListParagraph"/>
        <w:numPr>
          <w:ilvl w:val="0"/>
          <w:numId w:val="2"/>
        </w:numPr>
        <w:spacing w:after="40" w:before="40"/>
      </w:pPr>
      <w:r>
        <w:rPr>
          <w:rFonts w:ascii="Arial" w:cs="Arial" w:eastAsia="Arial" w:hAnsi="Arial"/>
          <w:color w:val="1A2340"/>
          <w:sz w:val="22"/>
          <w:szCs w:val="22"/>
        </w:rPr>
        <w:t xml:space="preserve">Screenshots of AI tool interfaces at the time of the incident</w:t>
      </w:r>
    </w:p>
    <w:p>
      <w:pPr>
        <w:pStyle w:val="ListParagraph"/>
        <w:numPr>
          <w:ilvl w:val="0"/>
          <w:numId w:val="2"/>
        </w:numPr>
        <w:spacing w:after="40" w:before="40"/>
      </w:pPr>
      <w:r>
        <w:rPr>
          <w:rFonts w:ascii="Arial" w:cs="Arial" w:eastAsia="Arial" w:hAnsi="Arial"/>
          <w:color w:val="1A2340"/>
          <w:sz w:val="22"/>
          <w:szCs w:val="22"/>
        </w:rPr>
        <w:t xml:space="preserve">DLP alerts or automated system notifications related to the incident</w:t>
      </w:r>
    </w:p>
    <w:p>
      <w:pPr>
        <w:pStyle w:val="ListParagraph"/>
        <w:numPr>
          <w:ilvl w:val="0"/>
          <w:numId w:val="2"/>
        </w:numPr>
        <w:spacing w:after="40" w:before="40"/>
      </w:pPr>
      <w:r>
        <w:rPr>
          <w:rFonts w:ascii="Arial" w:cs="Arial" w:eastAsia="Arial" w:hAnsi="Arial"/>
          <w:color w:val="1A2340"/>
          <w:sz w:val="22"/>
          <w:szCs w:val="22"/>
        </w:rPr>
        <w:t xml:space="preserve">Access logs from identity and access management systems</w:t>
      </w:r>
    </w:p>
    <w:p>
      <w:pPr>
        <w:pStyle w:val="ListParagraph"/>
        <w:numPr>
          <w:ilvl w:val="0"/>
          <w:numId w:val="2"/>
        </w:numPr>
        <w:spacing w:after="40" w:before="40"/>
      </w:pPr>
      <w:r>
        <w:rPr>
          <w:rFonts w:ascii="Arial" w:cs="Arial" w:eastAsia="Arial" w:hAnsi="Arial"/>
          <w:color w:val="1A2340"/>
          <w:sz w:val="22"/>
          <w:szCs w:val="22"/>
        </w:rPr>
        <w:t xml:space="preserve">Vendor notifications or communications received about the incident</w:t>
      </w:r>
    </w:p>
    <w:p>
      <w:pPr>
        <w:pStyle w:val="ListParagraph"/>
        <w:numPr>
          <w:ilvl w:val="0"/>
          <w:numId w:val="2"/>
        </w:numPr>
        <w:spacing w:after="40" w:before="40"/>
      </w:pPr>
      <w:r>
        <w:rPr>
          <w:rFonts w:ascii="Arial" w:cs="Arial" w:eastAsia="Arial" w:hAnsi="Arial"/>
          <w:color w:val="1A2340"/>
          <w:sz w:val="22"/>
          <w:szCs w:val="22"/>
        </w:rPr>
        <w:t xml:space="preserve">Email, chat, or other communications between involved parties</w:t>
      </w:r>
    </w:p>
    <w:p>
      <w:pPr>
        <w:pStyle w:val="ListParagraph"/>
        <w:numPr>
          <w:ilvl w:val="0"/>
          <w:numId w:val="2"/>
        </w:numPr>
        <w:spacing w:after="40" w:before="40"/>
      </w:pPr>
      <w:r>
        <w:rPr>
          <w:rFonts w:ascii="Arial" w:cs="Arial" w:eastAsia="Arial" w:hAnsi="Arial"/>
          <w:color w:val="1A2340"/>
          <w:sz w:val="22"/>
          <w:szCs w:val="22"/>
        </w:rPr>
        <w:t xml:space="preserve">Any AI-generated output that is the subject of the incident</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Chain of Custody</w:t>
      </w:r>
    </w:p>
    <w:p>
      <w:pPr>
        <w:spacing w:after="60" w:before="60"/>
      </w:pPr>
      <w:r>
        <w:rPr>
          <w:rFonts w:ascii="Arial" w:cs="Arial" w:eastAsia="Arial" w:hAnsi="Arial"/>
          <w:color w:val="1A2340"/>
          <w:sz w:val="22"/>
          <w:szCs w:val="22"/>
        </w:rPr>
        <w:t xml:space="preserve">All evidence shall be documented in an evidence log that records: what was collected, when it was collected, who collected it, where it is stored, and who has accessed it. Evidence shall not be altered, deleted, or shared outside the response team without authorization from the CISO/vCISO.</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Retention Period</w:t>
      </w:r>
    </w:p>
    <w:p>
      <w:pPr>
        <w:spacing w:after="60" w:before="60"/>
      </w:pPr>
      <w:r>
        <w:rPr>
          <w:rFonts w:ascii="Arial" w:cs="Arial" w:eastAsia="Arial" w:hAnsi="Arial"/>
          <w:color w:val="1A2340"/>
          <w:sz w:val="22"/>
          <w:szCs w:val="22"/>
        </w:rPr>
        <w:t xml:space="preserve">All AI incident evidence shall be retained for a minimum of three (3) years from the date the incident was resolved, or longer if required by applicable law or regulation.</w:t>
      </w:r>
    </w:p>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6.5  Regulatory Notification Matrix</w:t>
      </w:r>
    </w:p>
    <w:p>
      <w:pPr>
        <w:spacing w:after="60" w:before="60"/>
      </w:pPr>
      <w:r>
        <w:rPr>
          <w:rFonts w:ascii="Arial" w:cs="Arial" w:eastAsia="Arial" w:hAnsi="Arial"/>
          <w:color w:val="1A2340"/>
          <w:sz w:val="22"/>
          <w:szCs w:val="22"/>
        </w:rPr>
        <w:t xml:space="preserve">The following matrix provides guidance on regulatory notification obligations. Legal/Compliance must be engaged immediately for any incident that may trigger regulatory notification.</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800"/>
        <w:gridCol w:w="1560"/>
        <w:gridCol w:w="2000"/>
      </w:tblGrid>
      <w:tr>
        <w:tc>
          <w:tcPr>
            <w:tcW w:type="dxa" w:w="19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Incident Type</w:t>
            </w:r>
          </w:p>
        </w:tc>
        <w:tc>
          <w:tcPr>
            <w:tcW w:type="dxa" w:w="21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Potentially Applicable Regulation</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Notification Trigger</w:t>
            </w:r>
          </w:p>
        </w:tc>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Timeline</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To Whom</w:t>
            </w:r>
          </w:p>
        </w:tc>
      </w:tr>
      <w:tr>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PII exposure to AI platform</w:t>
            </w:r>
          </w:p>
        </w:tc>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GDPR (EU), PIPEDA (Canada), CCPA (California), applicable state laws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Breach of personal data with risk of harm to individuals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72 hours (GDPR); varies by jurisdiction</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Data Protection Authority; affected individuals if high risk</w:t>
            </w:r>
          </w:p>
        </w:tc>
      </w:tr>
      <w:tr>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Payment card data exposure</w:t>
            </w:r>
          </w:p>
        </w:tc>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PCI DSS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Suspected or confirmed compromise of cardholder data</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Immediately upon discovery</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Payment card brands; acquiring bank</w:t>
            </w:r>
          </w:p>
        </w:tc>
      </w:tr>
      <w:tr>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Health / medical data exposure</w:t>
            </w:r>
          </w:p>
        </w:tc>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HIPAA (US), PIPEDA (Canada), applicable provincial health privacy laws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Breach of protected health information</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60 days (HIPAA); varies by jurisdiction</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HHS Office for Civil Rights; affected individuals; media if 500+</w:t>
            </w:r>
          </w:p>
        </w:tc>
      </w:tr>
      <w:tr>
        <w:tc>
          <w:tcPr>
            <w:tcW w:type="dxa" w:w="19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General data breach / vendor platform breach</w:t>
            </w:r>
          </w:p>
        </w:tc>
        <w:tc>
          <w:tcPr>
            <w:tcW w:type="dxa" w:w="21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State/provincial breach notification laws (varies)</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Unauthorized access to personal information</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Varies by state/province (30-72 hours or 30-90 days)</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Attorney General or Privacy Commissioner; affected individuals</w:t>
            </w:r>
          </w:p>
        </w:tc>
      </w:tr>
    </w:tbl>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6.6  Vendor-Reported Incidents</w:t>
      </w:r>
    </w:p>
    <w:p>
      <w:pPr>
        <w:spacing w:after="60" w:before="60"/>
      </w:pPr>
      <w:r>
        <w:rPr>
          <w:rFonts w:ascii="Arial" w:cs="Arial" w:eastAsia="Arial" w:hAnsi="Arial"/>
          <w:color w:val="1A2340"/>
          <w:sz w:val="22"/>
          <w:szCs w:val="22"/>
        </w:rPr>
        <w:t xml:space="preserve">When a Tier 1 AI vendor (such as Microsoft, Google, or OpenAI) reports a platform breach or security incident that may involve organizational data, the following process applies:</w:t>
      </w:r>
    </w:p>
    <w:p>
      <w:pPr>
        <w:spacing w:after="40" w:before="40"/>
      </w:pPr>
      <w:r>
        <w:rPr>
          <w:sz w:val="22"/>
          <w:szCs w:val="22"/>
        </w:rPr>
        <w:t xml:space="preserve"/>
      </w:r>
    </w:p>
    <w:p>
      <w:pPr>
        <w:pStyle w:val="ListParagraph"/>
        <w:numPr>
          <w:ilvl w:val="0"/>
          <w:numId w:val="3"/>
        </w:numPr>
        <w:spacing w:after="40" w:before="40"/>
      </w:pPr>
      <w:r>
        <w:rPr>
          <w:rFonts w:ascii="Arial" w:cs="Arial" w:eastAsia="Arial" w:hAnsi="Arial"/>
          <w:color w:val="1A2340"/>
          <w:sz w:val="22"/>
          <w:szCs w:val="22"/>
        </w:rPr>
        <w:t xml:space="preserve">Upon receipt of a vendor notification, the CISO/vCISO shall be notified immediately and shall treat the notification as a minimum P2 incident pending investigation.</w:t>
      </w:r>
    </w:p>
    <w:p>
      <w:pPr>
        <w:pStyle w:val="ListParagraph"/>
        <w:numPr>
          <w:ilvl w:val="0"/>
          <w:numId w:val="3"/>
        </w:numPr>
        <w:spacing w:after="40" w:before="40"/>
      </w:pPr>
      <w:r>
        <w:rPr>
          <w:rFonts w:ascii="Arial" w:cs="Arial" w:eastAsia="Arial" w:hAnsi="Arial"/>
          <w:color w:val="1A2340"/>
          <w:sz w:val="22"/>
          <w:szCs w:val="22"/>
        </w:rPr>
        <w:t xml:space="preserve">The response team shall assess the potential organizational impact: what data was held by the vendor, which accounts or integrations were affected, and whether the Organization's data is within the stated scope of the breach.</w:t>
      </w:r>
    </w:p>
    <w:p>
      <w:pPr>
        <w:pStyle w:val="ListParagraph"/>
        <w:numPr>
          <w:ilvl w:val="0"/>
          <w:numId w:val="3"/>
        </w:numPr>
        <w:spacing w:after="40" w:before="40"/>
      </w:pPr>
      <w:r>
        <w:rPr>
          <w:rFonts w:ascii="Arial" w:cs="Arial" w:eastAsia="Arial" w:hAnsi="Arial"/>
          <w:color w:val="1A2340"/>
          <w:sz w:val="22"/>
          <w:szCs w:val="22"/>
        </w:rPr>
        <w:t xml:space="preserve">Legal/Compliance shall be engaged to assess regulatory notification obligations based on the data types potentially affected.</w:t>
      </w:r>
    </w:p>
    <w:p>
      <w:pPr>
        <w:pStyle w:val="ListParagraph"/>
        <w:numPr>
          <w:ilvl w:val="0"/>
          <w:numId w:val="3"/>
        </w:numPr>
        <w:spacing w:after="40" w:before="40"/>
      </w:pPr>
      <w:r>
        <w:rPr>
          <w:rFonts w:ascii="Arial" w:cs="Arial" w:eastAsia="Arial" w:hAnsi="Arial"/>
          <w:color w:val="1A2340"/>
          <w:sz w:val="22"/>
          <w:szCs w:val="22"/>
        </w:rPr>
        <w:t xml:space="preserve">The Organization shall contact the vendor's incident response team to obtain: a timeline of the breach, confirmation of which customer data was affected, vendor containment actions taken, and any recommended customer actions.</w:t>
      </w:r>
    </w:p>
    <w:p>
      <w:pPr>
        <w:pStyle w:val="ListParagraph"/>
        <w:numPr>
          <w:ilvl w:val="0"/>
          <w:numId w:val="3"/>
        </w:numPr>
        <w:spacing w:after="40" w:before="40"/>
      </w:pPr>
      <w:r>
        <w:rPr>
          <w:rFonts w:ascii="Arial" w:cs="Arial" w:eastAsia="Arial" w:hAnsi="Arial"/>
          <w:color w:val="1A2340"/>
          <w:sz w:val="22"/>
          <w:szCs w:val="22"/>
        </w:rPr>
        <w:t xml:space="preserve">If the vendor fails to provide adequate information within 48 hours, the CISO/vCISO shall escalate to Executive Leadership and Legal/Compliance for further action.</w:t>
      </w:r>
    </w:p>
    <w:p>
      <w:pPr>
        <w:pStyle w:val="ListParagraph"/>
        <w:numPr>
          <w:ilvl w:val="0"/>
          <w:numId w:val="3"/>
        </w:numPr>
        <w:spacing w:after="40" w:before="40"/>
      </w:pPr>
      <w:r>
        <w:rPr>
          <w:rFonts w:ascii="Arial" w:cs="Arial" w:eastAsia="Arial" w:hAnsi="Arial"/>
          <w:color w:val="1A2340"/>
          <w:sz w:val="22"/>
          <w:szCs w:val="22"/>
        </w:rPr>
        <w:t xml:space="preserve">Vendor notification SLA expectation: the Organization expects Tier 1 vendors to notify of confirmed incidents affecting customer data within 72 hours of vendor discovery.</w:t>
      </w:r>
    </w:p>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6.7  Post-Incident Review</w:t>
      </w:r>
    </w:p>
    <w:p>
      <w:pPr>
        <w:spacing w:after="60" w:before="60"/>
      </w:pPr>
      <w:r>
        <w:rPr>
          <w:rFonts w:ascii="Arial" w:cs="Arial" w:eastAsia="Arial" w:hAnsi="Arial"/>
          <w:color w:val="1A2340"/>
          <w:sz w:val="22"/>
          <w:szCs w:val="22"/>
        </w:rPr>
        <w:t xml:space="preserve">Post-Incident Reviews (PIRs) are mandatory for all P1 and P2 AI incidents. PIRs are recommended for P3 incidents. PIRs shall be completed within 14 calendar days of incident resolution.</w:t>
      </w:r>
    </w:p>
    <w:p>
      <w:pPr>
        <w:spacing w:after="40" w:before="40"/>
      </w:pPr>
      <w:r>
        <w:rPr>
          <w:sz w:val="22"/>
          <w:szCs w:val="22"/>
        </w:rPr>
        <w:t xml:space="preserve"/>
      </w:r>
    </w:p>
    <w:p>
      <w:pPr>
        <w:pStyle w:val="Heading3"/>
        <w:spacing w:after="60" w:before="200"/>
      </w:pPr>
      <w:r>
        <w:rPr>
          <w:rFonts w:ascii="Arial" w:cs="Arial" w:eastAsia="Arial" w:hAnsi="Arial"/>
          <w:b/>
          <w:bCs/>
          <w:color w:val="4F46E5"/>
          <w:sz w:val="24"/>
          <w:szCs w:val="24"/>
        </w:rPr>
        <w:t xml:space="preserve">PIR Components</w:t>
      </w:r>
    </w:p>
    <w:p>
      <w:pPr>
        <w:pStyle w:val="ListParagraph"/>
        <w:numPr>
          <w:ilvl w:val="0"/>
          <w:numId w:val="2"/>
        </w:numPr>
        <w:spacing w:after="40" w:before="40"/>
      </w:pPr>
      <w:r>
        <w:rPr>
          <w:rFonts w:ascii="Arial" w:cs="Arial" w:eastAsia="Arial" w:hAnsi="Arial"/>
          <w:color w:val="1A2340"/>
          <w:sz w:val="22"/>
          <w:szCs w:val="22"/>
        </w:rPr>
        <w:t xml:space="preserve">Incident timeline: a chronological account of the incident from discovery to resolution</w:t>
      </w:r>
    </w:p>
    <w:p>
      <w:pPr>
        <w:pStyle w:val="ListParagraph"/>
        <w:numPr>
          <w:ilvl w:val="0"/>
          <w:numId w:val="2"/>
        </w:numPr>
        <w:spacing w:after="40" w:before="40"/>
      </w:pPr>
      <w:r>
        <w:rPr>
          <w:rFonts w:ascii="Arial" w:cs="Arial" w:eastAsia="Arial" w:hAnsi="Arial"/>
          <w:color w:val="1A2340"/>
          <w:sz w:val="22"/>
          <w:szCs w:val="22"/>
        </w:rPr>
        <w:t xml:space="preserve">Root cause analysis: identification of the fundamental cause(s) of the incident</w:t>
      </w:r>
    </w:p>
    <w:p>
      <w:pPr>
        <w:pStyle w:val="ListParagraph"/>
        <w:numPr>
          <w:ilvl w:val="0"/>
          <w:numId w:val="2"/>
        </w:numPr>
        <w:spacing w:after="40" w:before="40"/>
      </w:pPr>
      <w:r>
        <w:rPr>
          <w:rFonts w:ascii="Arial" w:cs="Arial" w:eastAsia="Arial" w:hAnsi="Arial"/>
          <w:color w:val="1A2340"/>
          <w:sz w:val="22"/>
          <w:szCs w:val="22"/>
        </w:rPr>
        <w:t xml:space="preserve">Control gap analysis: identification of controls that were absent, failed, or insufficient</w:t>
      </w:r>
    </w:p>
    <w:p>
      <w:pPr>
        <w:pStyle w:val="ListParagraph"/>
        <w:numPr>
          <w:ilvl w:val="0"/>
          <w:numId w:val="2"/>
        </w:numPr>
        <w:spacing w:after="40" w:before="40"/>
      </w:pPr>
      <w:r>
        <w:rPr>
          <w:rFonts w:ascii="Arial" w:cs="Arial" w:eastAsia="Arial" w:hAnsi="Arial"/>
          <w:color w:val="1A2340"/>
          <w:sz w:val="22"/>
          <w:szCs w:val="22"/>
        </w:rPr>
        <w:t xml:space="preserve">Lessons learned: specific, actionable findings arising from the incident</w:t>
      </w:r>
    </w:p>
    <w:p>
      <w:pPr>
        <w:pStyle w:val="ListParagraph"/>
        <w:numPr>
          <w:ilvl w:val="0"/>
          <w:numId w:val="2"/>
        </w:numPr>
        <w:spacing w:after="40" w:before="40"/>
      </w:pPr>
      <w:r>
        <w:rPr>
          <w:rFonts w:ascii="Arial" w:cs="Arial" w:eastAsia="Arial" w:hAnsi="Arial"/>
          <w:color w:val="1A2340"/>
          <w:sz w:val="22"/>
          <w:szCs w:val="22"/>
        </w:rPr>
        <w:t xml:space="preserve">Action items: assigned improvements with owners and due dates</w:t>
      </w:r>
    </w:p>
    <w:p>
      <w:pPr>
        <w:pStyle w:val="ListParagraph"/>
        <w:numPr>
          <w:ilvl w:val="0"/>
          <w:numId w:val="2"/>
        </w:numPr>
        <w:spacing w:after="40" w:before="40"/>
      </w:pPr>
      <w:r>
        <w:rPr>
          <w:rFonts w:ascii="Arial" w:cs="Arial" w:eastAsia="Arial" w:hAnsi="Arial"/>
          <w:color w:val="1A2340"/>
          <w:sz w:val="22"/>
          <w:szCs w:val="22"/>
        </w:rPr>
        <w:t xml:space="preserve">AI Incident Register update: final incident details recorded</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PIR findings shall be presented to Executive Leadership for P1 incidents. For P2 and P3 incidents, a summary shall be provided to the relevant Department Head. All action items shall be tracked to completion.</w:t>
      </w:r>
    </w:p>
    <w:p>
      <w:pPr>
        <w:spacing w:after="40" w:before="40"/>
      </w:pPr>
      <w:r>
        <w:rPr>
          <w:sz w:val="22"/>
          <w:szCs w:val="22"/>
        </w:rPr>
        <w:t xml:space="preserve"/>
      </w:r>
    </w:p>
    <w:p>
      <w:pPr>
        <w:pStyle w:val="Heading2"/>
        <w:spacing w:after="80" w:before="280"/>
      </w:pPr>
      <w:r>
        <w:rPr>
          <w:rFonts w:ascii="Arial" w:cs="Arial" w:eastAsia="Arial" w:hAnsi="Arial"/>
          <w:b/>
          <w:bCs/>
          <w:color w:val="152168"/>
          <w:sz w:val="26"/>
          <w:szCs w:val="26"/>
        </w:rPr>
        <w:t xml:space="preserve">6.8  AI Incident Register</w:t>
      </w:r>
    </w:p>
    <w:p>
      <w:pPr>
        <w:spacing w:after="60" w:before="60"/>
      </w:pPr>
      <w:r>
        <w:rPr>
          <w:rFonts w:ascii="Arial" w:cs="Arial" w:eastAsia="Arial" w:hAnsi="Arial"/>
          <w:color w:val="1A2340"/>
          <w:sz w:val="22"/>
          <w:szCs w:val="22"/>
        </w:rPr>
        <w:t xml:space="preserve">The CISO/vCISO shall maintain an AI Incident Register as the authoritative record of all AI incidents. The Register shall include the following mandatory fields for each entry:</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color w:val="1A2340"/>
          <w:sz w:val="22"/>
          <w:szCs w:val="22"/>
        </w:rPr>
        <w:t xml:space="preserve">Incident ID and date of discovery</w:t>
      </w:r>
    </w:p>
    <w:p>
      <w:pPr>
        <w:pStyle w:val="ListParagraph"/>
        <w:numPr>
          <w:ilvl w:val="0"/>
          <w:numId w:val="2"/>
        </w:numPr>
        <w:spacing w:after="40" w:before="40"/>
      </w:pPr>
      <w:r>
        <w:rPr>
          <w:rFonts w:ascii="Arial" w:cs="Arial" w:eastAsia="Arial" w:hAnsi="Arial"/>
          <w:color w:val="1A2340"/>
          <w:sz w:val="22"/>
          <w:szCs w:val="22"/>
        </w:rPr>
        <w:t xml:space="preserve">Incident type (data exposure, harmful output, platform breach, shadow AI, other)</w:t>
      </w:r>
    </w:p>
    <w:p>
      <w:pPr>
        <w:pStyle w:val="ListParagraph"/>
        <w:numPr>
          <w:ilvl w:val="0"/>
          <w:numId w:val="2"/>
        </w:numPr>
        <w:spacing w:after="40" w:before="40"/>
      </w:pPr>
      <w:r>
        <w:rPr>
          <w:rFonts w:ascii="Arial" w:cs="Arial" w:eastAsia="Arial" w:hAnsi="Arial"/>
          <w:color w:val="1A2340"/>
          <w:sz w:val="22"/>
          <w:szCs w:val="22"/>
        </w:rPr>
        <w:t xml:space="preserve">Severity level (P1-P4) and severity rationale</w:t>
      </w:r>
    </w:p>
    <w:p>
      <w:pPr>
        <w:pStyle w:val="ListParagraph"/>
        <w:numPr>
          <w:ilvl w:val="0"/>
          <w:numId w:val="2"/>
        </w:numPr>
        <w:spacing w:after="40" w:before="40"/>
      </w:pPr>
      <w:r>
        <w:rPr>
          <w:rFonts w:ascii="Arial" w:cs="Arial" w:eastAsia="Arial" w:hAnsi="Arial"/>
          <w:color w:val="1A2340"/>
          <w:sz w:val="22"/>
          <w:szCs w:val="22"/>
        </w:rPr>
        <w:t xml:space="preserve">AI tool(s) involved</w:t>
      </w:r>
    </w:p>
    <w:p>
      <w:pPr>
        <w:pStyle w:val="ListParagraph"/>
        <w:numPr>
          <w:ilvl w:val="0"/>
          <w:numId w:val="2"/>
        </w:numPr>
        <w:spacing w:after="40" w:before="40"/>
      </w:pPr>
      <w:r>
        <w:rPr>
          <w:rFonts w:ascii="Arial" w:cs="Arial" w:eastAsia="Arial" w:hAnsi="Arial"/>
          <w:color w:val="1A2340"/>
          <w:sz w:val="22"/>
          <w:szCs w:val="22"/>
        </w:rPr>
        <w:t xml:space="preserve">Data types involved (if applicable)</w:t>
      </w:r>
    </w:p>
    <w:p>
      <w:pPr>
        <w:pStyle w:val="ListParagraph"/>
        <w:numPr>
          <w:ilvl w:val="0"/>
          <w:numId w:val="2"/>
        </w:numPr>
        <w:spacing w:after="40" w:before="40"/>
      </w:pPr>
      <w:r>
        <w:rPr>
          <w:rFonts w:ascii="Arial" w:cs="Arial" w:eastAsia="Arial" w:hAnsi="Arial"/>
          <w:color w:val="1A2340"/>
          <w:sz w:val="22"/>
          <w:szCs w:val="22"/>
        </w:rPr>
        <w:t xml:space="preserve">Number and type of affected individuals (if applicable)</w:t>
      </w:r>
    </w:p>
    <w:p>
      <w:pPr>
        <w:pStyle w:val="ListParagraph"/>
        <w:numPr>
          <w:ilvl w:val="0"/>
          <w:numId w:val="2"/>
        </w:numPr>
        <w:spacing w:after="40" w:before="40"/>
      </w:pPr>
      <w:r>
        <w:rPr>
          <w:rFonts w:ascii="Arial" w:cs="Arial" w:eastAsia="Arial" w:hAnsi="Arial"/>
          <w:color w:val="1A2340"/>
          <w:sz w:val="22"/>
          <w:szCs w:val="22"/>
        </w:rPr>
        <w:t xml:space="preserve">Response timeline: detection, containment, notification, resolution</w:t>
      </w:r>
    </w:p>
    <w:p>
      <w:pPr>
        <w:pStyle w:val="ListParagraph"/>
        <w:numPr>
          <w:ilvl w:val="0"/>
          <w:numId w:val="2"/>
        </w:numPr>
        <w:spacing w:after="40" w:before="40"/>
      </w:pPr>
      <w:r>
        <w:rPr>
          <w:rFonts w:ascii="Arial" w:cs="Arial" w:eastAsia="Arial" w:hAnsi="Arial"/>
          <w:color w:val="1A2340"/>
          <w:sz w:val="22"/>
          <w:szCs w:val="22"/>
        </w:rPr>
        <w:t xml:space="preserve">Regulatory notifications made (if any)</w:t>
      </w:r>
    </w:p>
    <w:p>
      <w:pPr>
        <w:pStyle w:val="ListParagraph"/>
        <w:numPr>
          <w:ilvl w:val="0"/>
          <w:numId w:val="2"/>
        </w:numPr>
        <w:spacing w:after="40" w:before="40"/>
      </w:pPr>
      <w:r>
        <w:rPr>
          <w:rFonts w:ascii="Arial" w:cs="Arial" w:eastAsia="Arial" w:hAnsi="Arial"/>
          <w:color w:val="1A2340"/>
          <w:sz w:val="22"/>
          <w:szCs w:val="22"/>
        </w:rPr>
        <w:t xml:space="preserve">Root cause and lessons learned</w:t>
      </w:r>
    </w:p>
    <w:p>
      <w:pPr>
        <w:pStyle w:val="ListParagraph"/>
        <w:numPr>
          <w:ilvl w:val="0"/>
          <w:numId w:val="2"/>
        </w:numPr>
        <w:spacing w:after="40" w:before="40"/>
      </w:pPr>
      <w:r>
        <w:rPr>
          <w:rFonts w:ascii="Arial" w:cs="Arial" w:eastAsia="Arial" w:hAnsi="Arial"/>
          <w:color w:val="1A2340"/>
          <w:sz w:val="22"/>
          <w:szCs w:val="22"/>
        </w:rPr>
        <w:t xml:space="preserve">Action items and completion status</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The AI Incident Register shall be reviewed quarterly to identify trends, recurring causes, and systemic risks. A summary shall be provided to Executive Leadership at least annually.</w:t>
      </w:r>
    </w:p>
    <w:p>
      <w:pPr>
        <w:spacing w:after="40" w:before="40"/>
      </w:pPr>
      <w:r>
        <w:rPr>
          <w:sz w:val="22"/>
          <w:szCs w:val="22"/>
        </w:rPr>
        <w:t xml:space="preserve"/>
      </w:r>
    </w:p>
    <w:p>
      <w:r>
        <w:br w:type="page"/>
      </w:r>
    </w:p>
    <w:p>
      <w:pPr>
        <w:pStyle w:val="Heading1"/>
        <w:pBdr>
          <w:bottom w:val="single" w:color="07B4D9" w:sz="8" w:space="4"/>
        </w:pBdr>
        <w:spacing w:after="120" w:before="400"/>
      </w:pPr>
      <w:bookmarkStart w:name="s7" w:id="13"/>
      <w:r>
        <w:rPr>
          <w:rFonts w:ascii="Arial" w:cs="Arial" w:eastAsia="Arial" w:hAnsi="Arial"/>
          <w:b/>
          <w:bCs/>
          <w:color w:val="152168"/>
          <w:sz w:val="30"/>
          <w:szCs w:val="30"/>
        </w:rPr>
        <w:t xml:space="preserve">7. Compliance and Enforcement</w:t>
      </w:r>
      <w:bookmarkEnd w:id="14"/>
    </w:p>
    <w:p>
      <w:pPr>
        <w:spacing w:after="60" w:before="60"/>
      </w:pPr>
      <w:r>
        <w:rPr>
          <w:rFonts w:ascii="Arial" w:cs="Arial" w:eastAsia="Arial" w:hAnsi="Arial"/>
          <w:color w:val="1A2340"/>
          <w:sz w:val="22"/>
          <w:szCs w:val="22"/>
        </w:rPr>
        <w:t xml:space="preserve">Compliance with this policy is mandatory for all individuals within this policy's scope:</w:t>
      </w:r>
    </w:p>
    <w:p>
      <w:pPr>
        <w:spacing w:after="40" w:before="40"/>
      </w:pPr>
      <w:r>
        <w:rPr>
          <w:sz w:val="22"/>
          <w:szCs w:val="22"/>
        </w:rPr>
        <w:t xml:space="preserve"/>
      </w:r>
    </w:p>
    <w:p>
      <w:pPr>
        <w:pStyle w:val="ListParagraph"/>
        <w:numPr>
          <w:ilvl w:val="0"/>
          <w:numId w:val="2"/>
        </w:numPr>
        <w:spacing w:after="40" w:before="40"/>
      </w:pPr>
      <w:r>
        <w:rPr>
          <w:rFonts w:ascii="Arial" w:cs="Arial" w:eastAsia="Arial" w:hAnsi="Arial"/>
          <w:color w:val="1A2340"/>
          <w:sz w:val="22"/>
          <w:szCs w:val="22"/>
        </w:rPr>
        <w:t xml:space="preserve">Failure to report a known or suspected AI incident within the required timeframe is a policy violation and may result in disciplinary action.</w:t>
      </w:r>
    </w:p>
    <w:p>
      <w:pPr>
        <w:pStyle w:val="ListParagraph"/>
        <w:numPr>
          <w:ilvl w:val="0"/>
          <w:numId w:val="2"/>
        </w:numPr>
        <w:spacing w:after="40" w:before="40"/>
      </w:pPr>
      <w:r>
        <w:rPr>
          <w:rFonts w:ascii="Arial" w:cs="Arial" w:eastAsia="Arial" w:hAnsi="Arial"/>
          <w:color w:val="1A2340"/>
          <w:sz w:val="22"/>
          <w:szCs w:val="22"/>
        </w:rPr>
        <w:t xml:space="preserve">Deliberate destruction, alteration, or concealment of AI incident evidence is a serious policy violation and may constitute a criminal offence in some jurisdictions.</w:t>
      </w:r>
    </w:p>
    <w:p>
      <w:pPr>
        <w:pStyle w:val="ListParagraph"/>
        <w:numPr>
          <w:ilvl w:val="0"/>
          <w:numId w:val="2"/>
        </w:numPr>
        <w:spacing w:after="40" w:before="40"/>
      </w:pPr>
      <w:r>
        <w:rPr>
          <w:rFonts w:ascii="Arial" w:cs="Arial" w:eastAsia="Arial" w:hAnsi="Arial"/>
          <w:color w:val="1A2340"/>
          <w:sz w:val="22"/>
          <w:szCs w:val="22"/>
        </w:rPr>
        <w:t xml:space="preserve">Unauthorized use of AI tools that results in harm will be addressed under the AI Acceptable Use Policy and HR processes.</w:t>
      </w:r>
    </w:p>
    <w:p>
      <w:pPr>
        <w:pStyle w:val="ListParagraph"/>
        <w:numPr>
          <w:ilvl w:val="0"/>
          <w:numId w:val="2"/>
        </w:numPr>
        <w:spacing w:after="40" w:before="40"/>
      </w:pPr>
      <w:r>
        <w:rPr>
          <w:rFonts w:ascii="Arial" w:cs="Arial" w:eastAsia="Arial" w:hAnsi="Arial"/>
          <w:color w:val="1A2340"/>
          <w:sz w:val="22"/>
          <w:szCs w:val="22"/>
        </w:rPr>
        <w:t xml:space="preserve">The CISO/vCISO has authority to restrict or suspend access to AI tools pending investigation of a suspected AI incident.</w:t>
      </w:r>
    </w:p>
    <w:p>
      <w:pPr>
        <w:pStyle w:val="ListParagraph"/>
        <w:numPr>
          <w:ilvl w:val="0"/>
          <w:numId w:val="2"/>
        </w:numPr>
        <w:spacing w:after="40" w:before="40"/>
      </w:pPr>
      <w:r>
        <w:rPr>
          <w:rFonts w:ascii="Arial" w:cs="Arial" w:eastAsia="Arial" w:hAnsi="Arial"/>
          <w:color w:val="1A2340"/>
          <w:sz w:val="22"/>
          <w:szCs w:val="22"/>
        </w:rPr>
        <w:t xml:space="preserve">Repeated or egregious violations may result in termination and referral to law enforcement or regulatory bodies where applicable.</w:t>
      </w:r>
    </w:p>
    <w:p>
      <w:pPr>
        <w:spacing w:after="40" w:before="40"/>
      </w:pPr>
      <w:r>
        <w:rPr>
          <w:sz w:val="22"/>
          <w:szCs w:val="22"/>
        </w:rPr>
        <w:t xml:space="preserve"/>
      </w:r>
    </w:p>
    <w:p>
      <w:pPr>
        <w:spacing w:after="60" w:before="60"/>
      </w:pPr>
      <w:r>
        <w:rPr>
          <w:rFonts w:ascii="Arial" w:cs="Arial" w:eastAsia="Arial" w:hAnsi="Arial"/>
          <w:color w:val="1A2340"/>
          <w:sz w:val="22"/>
          <w:szCs w:val="22"/>
        </w:rPr>
        <w:t xml:space="preserve">The CISO/vCISO shall report AI incident compliance metrics to Executive Leadership quarterly.</w:t>
      </w:r>
    </w:p>
    <w:p>
      <w:pPr>
        <w:spacing w:after="40" w:before="40"/>
      </w:pPr>
      <w:r>
        <w:rPr>
          <w:sz w:val="22"/>
          <w:szCs w:val="22"/>
        </w:rPr>
        <w:t xml:space="preserve"/>
      </w:r>
    </w:p>
    <w:p>
      <w:pPr>
        <w:pStyle w:val="Heading1"/>
        <w:pBdr>
          <w:bottom w:val="single" w:color="07B4D9" w:sz="8" w:space="4"/>
        </w:pBdr>
        <w:spacing w:after="120" w:before="400"/>
      </w:pPr>
      <w:bookmarkStart w:name="s8" w:id="15"/>
      <w:r>
        <w:rPr>
          <w:rFonts w:ascii="Arial" w:cs="Arial" w:eastAsia="Arial" w:hAnsi="Arial"/>
          <w:b/>
          <w:bCs/>
          <w:color w:val="152168"/>
          <w:sz w:val="30"/>
          <w:szCs w:val="30"/>
        </w:rPr>
        <w:t xml:space="preserve">8. Related Documents</w:t>
      </w:r>
      <w:bookmarkEnd w:id="16"/>
    </w:p>
    <w:p>
      <w:pPr>
        <w:pStyle w:val="ListParagraph"/>
        <w:numPr>
          <w:ilvl w:val="0"/>
          <w:numId w:val="2"/>
        </w:numPr>
        <w:spacing w:after="40" w:before="40"/>
      </w:pPr>
      <w:r>
        <w:rPr>
          <w:rFonts w:ascii="Arial" w:cs="Arial" w:eastAsia="Arial" w:hAnsi="Arial"/>
          <w:color w:val="1A2340"/>
          <w:sz w:val="22"/>
          <w:szCs w:val="22"/>
        </w:rPr>
        <w:t xml:space="preserve">AI Acceptable Use Policy</w:t>
      </w:r>
    </w:p>
    <w:p>
      <w:pPr>
        <w:pStyle w:val="ListParagraph"/>
        <w:numPr>
          <w:ilvl w:val="0"/>
          <w:numId w:val="2"/>
        </w:numPr>
        <w:spacing w:after="40" w:before="40"/>
      </w:pPr>
      <w:r>
        <w:rPr>
          <w:rFonts w:ascii="Arial" w:cs="Arial" w:eastAsia="Arial" w:hAnsi="Arial"/>
          <w:color w:val="1A2340"/>
          <w:sz w:val="22"/>
          <w:szCs w:val="22"/>
        </w:rPr>
        <w:t xml:space="preserve">AI Governance Policy</w:t>
      </w:r>
    </w:p>
    <w:p>
      <w:pPr>
        <w:pStyle w:val="ListParagraph"/>
        <w:numPr>
          <w:ilvl w:val="0"/>
          <w:numId w:val="2"/>
        </w:numPr>
        <w:spacing w:after="40" w:before="40"/>
      </w:pPr>
      <w:r>
        <w:rPr>
          <w:rFonts w:ascii="Arial" w:cs="Arial" w:eastAsia="Arial" w:hAnsi="Arial"/>
          <w:color w:val="1A2340"/>
          <w:sz w:val="22"/>
          <w:szCs w:val="22"/>
        </w:rPr>
        <w:t xml:space="preserve">Incident Response Policy (general)</w:t>
      </w:r>
    </w:p>
    <w:p>
      <w:pPr>
        <w:pStyle w:val="ListParagraph"/>
        <w:numPr>
          <w:ilvl w:val="0"/>
          <w:numId w:val="2"/>
        </w:numPr>
        <w:spacing w:after="40" w:before="40"/>
      </w:pPr>
      <w:r>
        <w:rPr>
          <w:rFonts w:ascii="Arial" w:cs="Arial" w:eastAsia="Arial" w:hAnsi="Arial"/>
          <w:color w:val="1A2340"/>
          <w:sz w:val="22"/>
          <w:szCs w:val="22"/>
        </w:rPr>
        <w:t xml:space="preserve">Data Classification Policy</w:t>
      </w:r>
    </w:p>
    <w:p>
      <w:pPr>
        <w:pStyle w:val="ListParagraph"/>
        <w:numPr>
          <w:ilvl w:val="0"/>
          <w:numId w:val="2"/>
        </w:numPr>
        <w:spacing w:after="40" w:before="40"/>
      </w:pPr>
      <w:r>
        <w:rPr>
          <w:rFonts w:ascii="Arial" w:cs="Arial" w:eastAsia="Arial" w:hAnsi="Arial"/>
          <w:color w:val="1A2340"/>
          <w:sz w:val="22"/>
          <w:szCs w:val="22"/>
        </w:rPr>
        <w:t xml:space="preserve">Data Breach Notification Policy</w:t>
      </w:r>
    </w:p>
    <w:p>
      <w:pPr>
        <w:pStyle w:val="ListParagraph"/>
        <w:numPr>
          <w:ilvl w:val="0"/>
          <w:numId w:val="2"/>
        </w:numPr>
        <w:spacing w:after="40" w:before="40"/>
      </w:pPr>
      <w:r>
        <w:rPr>
          <w:rFonts w:ascii="Arial" w:cs="Arial" w:eastAsia="Arial" w:hAnsi="Arial"/>
          <w:color w:val="1A2340"/>
          <w:sz w:val="22"/>
          <w:szCs w:val="22"/>
        </w:rPr>
        <w:t xml:space="preserve">Information Security Policy</w:t>
      </w:r>
    </w:p>
    <w:p>
      <w:pPr>
        <w:pStyle w:val="ListParagraph"/>
        <w:numPr>
          <w:ilvl w:val="0"/>
          <w:numId w:val="2"/>
        </w:numPr>
        <w:spacing w:after="40" w:before="40"/>
      </w:pPr>
      <w:r>
        <w:rPr>
          <w:rFonts w:ascii="Arial" w:cs="Arial" w:eastAsia="Arial" w:hAnsi="Arial"/>
          <w:color w:val="1A2340"/>
          <w:sz w:val="22"/>
          <w:szCs w:val="22"/>
        </w:rPr>
        <w:t xml:space="preserve">Third-Party / Vendor Risk Management Policy</w:t>
      </w:r>
    </w:p>
    <w:p>
      <w:pPr>
        <w:pStyle w:val="ListParagraph"/>
        <w:numPr>
          <w:ilvl w:val="0"/>
          <w:numId w:val="2"/>
        </w:numPr>
        <w:spacing w:after="40" w:before="40"/>
      </w:pPr>
      <w:r>
        <w:rPr>
          <w:rFonts w:ascii="Arial" w:cs="Arial" w:eastAsia="Arial" w:hAnsi="Arial"/>
          <w:color w:val="1A2340"/>
          <w:sz w:val="22"/>
          <w:szCs w:val="22"/>
        </w:rPr>
        <w:t xml:space="preserve">Records Retention Policy</w:t>
      </w:r>
    </w:p>
    <w:p>
      <w:pPr>
        <w:spacing w:after="40" w:before="40"/>
      </w:pPr>
      <w:r>
        <w:rPr>
          <w:sz w:val="22"/>
          <w:szCs w:val="22"/>
        </w:rPr>
        <w:t xml:space="preserve"/>
      </w:r>
    </w:p>
    <w:p>
      <w:pPr>
        <w:pStyle w:val="Heading1"/>
        <w:pBdr>
          <w:bottom w:val="single" w:color="07B4D9" w:sz="8" w:space="4"/>
        </w:pBdr>
        <w:spacing w:after="120" w:before="400"/>
      </w:pPr>
      <w:bookmarkStart w:name="s9" w:id="17"/>
      <w:r>
        <w:rPr>
          <w:rFonts w:ascii="Arial" w:cs="Arial" w:eastAsia="Arial" w:hAnsi="Arial"/>
          <w:b/>
          <w:bCs/>
          <w:color w:val="152168"/>
          <w:sz w:val="30"/>
          <w:szCs w:val="30"/>
        </w:rPr>
        <w:t xml:space="preserve">9. Document Control</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Version</w:t>
            </w:r>
          </w:p>
        </w:tc>
        <w:tc>
          <w:tcPr>
            <w:tcW w:type="dxa" w:w="2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Date</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Author</w:t>
            </w:r>
          </w:p>
        </w:tc>
        <w:tc>
          <w:tcPr>
            <w:tcW w:type="dxa" w:w="3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Changes</w:t>
            </w:r>
          </w:p>
        </w:tc>
      </w:tr>
      <w:tr>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1.0</w:t>
            </w:r>
          </w:p>
        </w:tc>
        <w:tc>
          <w:tcPr>
            <w:tcW w:type="dxa" w:w="2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[Policy Owner]</w:t>
            </w:r>
          </w:p>
        </w:tc>
        <w:tc>
          <w:tcPr>
            <w:tcW w:type="dxa" w:w="3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Initial draft</w:t>
            </w:r>
          </w:p>
        </w:tc>
      </w:tr>
    </w:tbl>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Approved By</w:t>
            </w:r>
          </w:p>
        </w:tc>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Date</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[Name, Title]</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June 2026</w:t>
            </w:r>
          </w:p>
        </w:tc>
      </w:tr>
    </w:tbl>
    <w:p>
      <w:pPr>
        <w:spacing w:after="40" w:before="40"/>
      </w:pPr>
      <w:r>
        <w:rPr>
          <w:sz w:val="22"/>
          <w:szCs w:val="22"/>
        </w:rPr>
        <w:t xml:space="preserve"/>
      </w:r>
    </w:p>
    <w:p>
      <w:pPr>
        <w:spacing w:after="60" w:before="60"/>
      </w:pPr>
      <w:r>
        <w:rPr>
          <w:rFonts w:ascii="Arial" w:cs="Arial" w:eastAsia="Arial" w:hAnsi="Arial"/>
          <w:color w:val="5A6A8A"/>
          <w:sz w:val="22"/>
          <w:szCs w:val="22"/>
        </w:rPr>
        <w:t xml:space="preserve">Next review date: June 2027 (or sooner if a significant AI incident occurs or regulations change).</w:t>
      </w:r>
    </w:p>
    <w:p>
      <w:pPr>
        <w:spacing w:after="40" w:before="40"/>
      </w:pPr>
      <w:r>
        <w:rPr>
          <w:sz w:val="22"/>
          <w:szCs w:val="22"/>
        </w:rPr>
        <w:t xml:space="preserve"/>
      </w:r>
    </w:p>
    <w:p>
      <w:r>
        <w:br w:type="page"/>
      </w:r>
    </w:p>
    <w:p>
      <w:pPr>
        <w:spacing w:after="240" w:before="240"/>
        <w:jc w:val="center"/>
      </w:pPr>
      <w:r>
        <w:rPr>
          <w:rFonts w:ascii="Arial" w:cs="Arial" w:eastAsia="Arial" w:hAnsi="Arial"/>
          <w:b/>
          <w:bCs/>
          <w:color w:val="152168"/>
          <w:sz w:val="36"/>
          <w:szCs w:val="36"/>
        </w:rPr>
        <w:t xml:space="preserve">APPENDICES</w:t>
      </w:r>
    </w:p>
    <w:p>
      <w:r>
        <w:br w:type="page"/>
      </w:r>
    </w:p>
    <w:p>
      <w:pPr>
        <w:pStyle w:val="Heading1"/>
        <w:pBdr>
          <w:bottom w:val="single" w:color="07B4D9" w:sz="8" w:space="4"/>
        </w:pBdr>
        <w:spacing w:after="120" w:before="400"/>
      </w:pPr>
      <w:bookmarkStart w:name="appA" w:id="19"/>
      <w:r>
        <w:rPr>
          <w:rFonts w:ascii="Arial" w:cs="Arial" w:eastAsia="Arial" w:hAnsi="Arial"/>
          <w:b/>
          <w:bCs/>
          <w:color w:val="152168"/>
          <w:sz w:val="30"/>
          <w:szCs w:val="30"/>
        </w:rPr>
        <w:t xml:space="preserve">Appendix A: AI Incident Report Form</w:t>
      </w:r>
      <w:bookmarkEnd w:id="20"/>
    </w:p>
    <w:p>
      <w:pPr>
        <w:spacing w:after="60" w:before="60"/>
      </w:pPr>
      <w:r>
        <w:rPr>
          <w:rFonts w:ascii="Arial" w:cs="Arial" w:eastAsia="Arial" w:hAnsi="Arial"/>
          <w:color w:val="1A2340"/>
          <w:sz w:val="22"/>
          <w:szCs w:val="22"/>
        </w:rPr>
        <w:t xml:space="preserve">Complete this form as soon as possible after discovering an AI incident. Submit to your Department Head immediately.</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Field</w:t>
            </w:r>
          </w:p>
        </w:tc>
        <w:tc>
          <w:tcPr>
            <w:tcW w:type="dxa" w:w="63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Response</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Date and Time of Discovery</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Your Name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Your Department</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AI Tool(s) Involved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(e.g., Microsoft Copilot, ChatGPT Enterprise, Google Gemini, Claude, other)</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Incident Type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 Data entered that should not have been   [ ] Harmful/biased output acted upon   [ ] AI content causing reputational harm   [ ] Vendor platform breach notification   [ ] Unauthorized AI tool use   [ ] Other</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Description of What Happened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(Describe in plain terms what you observed or did)</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Data Involved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 Personal information   [ ] Client/customer data   [ ] Financial data   [ ] Payment card data   [ ] Health/medical data   [ ] Confidential business information   [ ] No sensitive data   [ ] Unknown</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Estimated Volume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Number of records / individuals affected (if known): _______________</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Immediate Actions Taken</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(Describe anything you did immediately, e.g., stopped the session, notified manager)</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Evidence Available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 Screenshots taken   [ ] Conversation logs saved   [ ] Email/chat preserved   [ ] Nothing preserved yet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Initial Severity Assessment</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 P1 Critical   [ ] P2 High   [ ] P3 Medium   [ ] P4 Low   [ ] Unknown</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Additional Notes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bl>
    <w:p>
      <w:pPr>
        <w:spacing w:after="40" w:before="40"/>
      </w:pPr>
      <w:r>
        <w:rPr>
          <w:sz w:val="22"/>
          <w:szCs w:val="22"/>
        </w:rPr>
        <w:t xml:space="preserve"/>
      </w:r>
    </w:p>
    <w:p>
      <w:r>
        <w:br w:type="page"/>
      </w:r>
    </w:p>
    <w:p>
      <w:pPr>
        <w:pStyle w:val="Heading1"/>
        <w:pBdr>
          <w:bottom w:val="single" w:color="07B4D9" w:sz="8" w:space="4"/>
        </w:pBdr>
        <w:spacing w:after="120" w:before="400"/>
      </w:pPr>
      <w:bookmarkStart w:name="appB" w:id="21"/>
      <w:r>
        <w:rPr>
          <w:rFonts w:ascii="Arial" w:cs="Arial" w:eastAsia="Arial" w:hAnsi="Arial"/>
          <w:b/>
          <w:bCs/>
          <w:color w:val="152168"/>
          <w:sz w:val="30"/>
          <w:szCs w:val="30"/>
        </w:rPr>
        <w:t xml:space="preserve">Appendix B: Incident Response Contact List</w:t>
      </w:r>
      <w:bookmarkEnd w:id="22"/>
    </w:p>
    <w:p>
      <w:pPr>
        <w:spacing w:after="60" w:before="60"/>
      </w:pPr>
      <w:r>
        <w:rPr>
          <w:rFonts w:ascii="Arial" w:cs="Arial" w:eastAsia="Arial" w:hAnsi="Arial"/>
          <w:color w:val="1A2340"/>
          <w:sz w:val="22"/>
          <w:szCs w:val="22"/>
        </w:rPr>
        <w:t xml:space="preserve">Populate this list with current contacts before an incident occurs. Review quarterly.</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Role</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Name</w:t>
            </w:r>
          </w:p>
        </w:tc>
        <w:tc>
          <w:tcPr>
            <w:tcW w:type="dxa" w:w="24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Phone</w:t>
            </w:r>
          </w:p>
        </w:tc>
        <w:tc>
          <w:tcPr>
            <w:tcW w:type="dxa" w:w="23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Email</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CISO / vCISO (Primary)</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CISO / vCISO (Backup)</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Legal / Compliance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Human Resources</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Executive Leadership</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IT / Systems Administrator</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Microsoft Support</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Microsoft 365 Admin Center</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Per contract</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admin.microsoft.com</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Google Workspace Support</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Google Workspace Admin Console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Per contract</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admin.google.com</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OpenAI / ChatGPT Enterprise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OpenAI Enterprise Support</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Per contract</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openai.com/enterprise</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Anthropic / Claude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Anthropic Support</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Per contract</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anthropic.com/support</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External Legal Counsel</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Cyber Insurance Broker</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Data Protection Authority</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bl>
    <w:p>
      <w:pPr>
        <w:spacing w:after="40" w:before="40"/>
      </w:pPr>
      <w:r>
        <w:rPr>
          <w:sz w:val="22"/>
          <w:szCs w:val="22"/>
        </w:rPr>
        <w:t xml:space="preserve"/>
      </w:r>
    </w:p>
    <w:p>
      <w:r>
        <w:br w:type="page"/>
      </w:r>
    </w:p>
    <w:p>
      <w:pPr>
        <w:pStyle w:val="Heading1"/>
        <w:pBdr>
          <w:bottom w:val="single" w:color="07B4D9" w:sz="8" w:space="4"/>
        </w:pBdr>
        <w:spacing w:after="120" w:before="400"/>
      </w:pPr>
      <w:bookmarkStart w:name="appC" w:id="23"/>
      <w:r>
        <w:rPr>
          <w:rFonts w:ascii="Arial" w:cs="Arial" w:eastAsia="Arial" w:hAnsi="Arial"/>
          <w:b/>
          <w:bCs/>
          <w:color w:val="152168"/>
          <w:sz w:val="30"/>
          <w:szCs w:val="30"/>
        </w:rPr>
        <w:t xml:space="preserve">Appendix C: Regulatory Notification Decision Tree</w:t>
      </w:r>
      <w:bookmarkEnd w:id="24"/>
    </w:p>
    <w:p>
      <w:pPr>
        <w:spacing w:after="60" w:before="60"/>
      </w:pPr>
      <w:r>
        <w:rPr>
          <w:rFonts w:ascii="Arial" w:cs="Arial" w:eastAsia="Arial" w:hAnsi="Arial"/>
          <w:color w:val="1A2340"/>
          <w:sz w:val="22"/>
          <w:szCs w:val="22"/>
        </w:rPr>
        <w:t xml:space="preserve">Use this table to determine whether regulatory notification is required. Engage Legal/Compliance immediately if any answer is YES.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Question</w:t>
            </w:r>
          </w:p>
        </w:tc>
        <w:tc>
          <w:tcPr>
            <w:tcW w:type="dxa" w:w="18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If YES</w:t>
            </w:r>
          </w:p>
        </w:tc>
        <w:tc>
          <w:tcPr>
            <w:tcW w:type="dxa" w:w="4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Action Required</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Did the incident involve personal information (names, emails, IDs, addresses, SIN/SSN)?</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Potential breach notification</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Engage Legal/Compliance immediately. Assess applicable jurisdiction (GDPR, PIPEDA, CCPA, state law). Document affected individuals.</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Did the incident involve payment card data (card numbers, CVV, expiry)?</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PCI DSS notification</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Notify acquiring bank and card brands immediately. Do not delay pending investigation confirmation.</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Did the incident involve health or medical information?</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HIPAA / health privacy</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Engage Legal/Compliance for HIPAA BAA obligations (US) or applicable provincial health privacy law (Canada). 60-day notification clock (HIPAA).</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Is the number of affected individuals 500 or more?</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Media / public notification</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Under HIPAA, media notification required if 500+ in a state/jurisdiction. Other regulations may have similar thresholds.</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Did a Tier 1 vendor confirm a platform breach affecting our data?</w:t>
            </w:r>
          </w:p>
        </w:tc>
        <w:tc>
          <w:tcPr>
            <w:tcW w:type="dxa" w:w="1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991B1B"/>
                <w:sz w:val="20"/>
                <w:szCs w:val="20"/>
              </w:rPr>
              <w:t xml:space="preserve">Treat as confirmed breach</w:t>
            </w:r>
          </w:p>
        </w:tc>
        <w:tc>
          <w:tcPr>
            <w:tcW w:type="dxa" w:w="4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Initiate regulatory assessment based on data types held by the vendor. Do not wait for full vendor investigation.</w:t>
            </w:r>
          </w:p>
        </w:tc>
      </w:tr>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Is notification outcome uncertain?</w:t>
            </w:r>
          </w:p>
        </w:tc>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Always</w:t>
            </w:r>
          </w:p>
        </w:tc>
        <w:tc>
          <w:tcPr>
            <w:tcW w:type="dxa" w:w="4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Engage Legal/Compliance. Default to notification where outcome is ambiguous and individuals face real risk of harm.</w:t>
            </w:r>
          </w:p>
        </w:tc>
      </w:tr>
    </w:tbl>
    <w:p>
      <w:pPr>
        <w:spacing w:after="40" w:before="40"/>
      </w:pPr>
      <w:r>
        <w:rPr>
          <w:sz w:val="22"/>
          <w:szCs w:val="22"/>
        </w:rPr>
        <w:t xml:space="preserve"/>
      </w:r>
    </w:p>
    <w:p>
      <w:r>
        <w:br w:type="page"/>
      </w:r>
    </w:p>
    <w:p>
      <w:pPr>
        <w:pStyle w:val="Heading1"/>
        <w:pBdr>
          <w:bottom w:val="single" w:color="07B4D9" w:sz="8" w:space="4"/>
        </w:pBdr>
        <w:spacing w:after="120" w:before="400"/>
      </w:pPr>
      <w:bookmarkStart w:name="appD" w:id="25"/>
      <w:r>
        <w:rPr>
          <w:rFonts w:ascii="Arial" w:cs="Arial" w:eastAsia="Arial" w:hAnsi="Arial"/>
          <w:b/>
          <w:bCs/>
          <w:color w:val="152168"/>
          <w:sz w:val="30"/>
          <w:szCs w:val="30"/>
        </w:rPr>
        <w:t xml:space="preserve">Appendix D: Post-Incident Review Template</w:t>
      </w:r>
      <w:bookmarkEnd w:id="26"/>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PIR Field</w:t>
            </w:r>
          </w:p>
        </w:tc>
        <w:tc>
          <w:tcPr>
            <w:tcW w:type="dxa" w:w="63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Content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Incident ID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Incident Type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Severity Level</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Date of Discovery</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Date of Resolution</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Incident Timeline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(List key events with times: discovery, notification, containment, investigation milestones, notifications sent, resolution)</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Root Cause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(What was the fundamental cause of this incident?)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Contributing Factors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(What conditions allowed the root cause to occur or worsen?)</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Control Gaps Identified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(What controls were absent, failed, or insufficient?)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Regulatory Notifications Made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(List: regulator notified, date, method, outcome)</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Lessons Learned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(What specific, actionable findings resulted from this incident?)</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Action Items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(List each action item with: description, owner, due date, priority)</w:t>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PIR Conducted By</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PIR Date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r>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Distribution</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
            </w:r>
          </w:p>
        </w:tc>
      </w:tr>
    </w:tbl>
    <w:p>
      <w:pPr>
        <w:spacing w:after="40" w:before="40"/>
      </w:pPr>
      <w:r>
        <w:rPr>
          <w:sz w:val="22"/>
          <w:szCs w:val="22"/>
        </w:rPr>
        <w:t xml:space="preserve"/>
      </w:r>
    </w:p>
    <w:p>
      <w:r>
        <w:br w:type="page"/>
      </w:r>
    </w:p>
    <w:p>
      <w:pPr>
        <w:pStyle w:val="Heading1"/>
        <w:pBdr>
          <w:bottom w:val="single" w:color="07B4D9" w:sz="8" w:space="4"/>
        </w:pBdr>
        <w:spacing w:after="120" w:before="400"/>
      </w:pPr>
      <w:bookmarkStart w:name="appE" w:id="27"/>
      <w:r>
        <w:rPr>
          <w:rFonts w:ascii="Arial" w:cs="Arial" w:eastAsia="Arial" w:hAnsi="Arial"/>
          <w:b/>
          <w:bCs/>
          <w:color w:val="152168"/>
          <w:sz w:val="30"/>
          <w:szCs w:val="30"/>
        </w:rPr>
        <w:t xml:space="preserve">Appendix E: Framework Mapping</w:t>
      </w:r>
      <w:bookmarkEnd w:id="28"/>
    </w:p>
    <w:p>
      <w:pPr>
        <w:spacing w:after="60" w:before="60"/>
      </w:pPr>
      <w:r>
        <w:rPr>
          <w:rFonts w:ascii="Arial" w:cs="Arial" w:eastAsia="Arial" w:hAnsi="Arial"/>
          <w:color w:val="1A2340"/>
          <w:sz w:val="22"/>
          <w:szCs w:val="22"/>
        </w:rPr>
        <w:t xml:space="preserve">This policy has been designed to align with the following frameworks.</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Framework</w:t>
            </w:r>
          </w:p>
        </w:tc>
        <w:tc>
          <w:tcPr>
            <w:tcW w:type="dxa" w:w="3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Reference</w:t>
            </w:r>
          </w:p>
        </w:tc>
        <w:tc>
          <w:tcPr>
            <w:tcW w:type="dxa" w:w="3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Policy Section</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AI RMF 1.0</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MANAGE 2.2 -- Mechanisms for AI risk responses</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Sections 6.1, 6.3 (Severity classification and Response Phases)</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AI RMF 1.0</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MANAGE 4.1 -- Incident response for AI</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6.3 (Response Phases) and Appendix D (PIR Template)</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AI RMF 1.0</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GOVERN 1.3 -- AI risk culture and reporting</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Sections 5 (Roles), 6.2 (Reporting), Section 7 (Enforcement)</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ISO/IEC 42001:2023</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Clause 8.8 -- AI incident management</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Sections 6.1-6.8 (all Policy Requirements)</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ISO/IEC 42001:2023</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Clause 9.1 -- Monitoring and measurement</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6.8 (AI Incident Register and trend analysis)</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SP 800-61 Rev 2</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3.1 -- Preparation</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Sections 4 (Definitions), 5 (Roles), Appendix B (Contact List)</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SP 800-61 Rev 2</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3.2 -- Detection and Analysis</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Sections 6.1 (Classification), 6.2 (Detection and Reporting)</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SP 800-61 Rev 2</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3.3 -- Containment, Eradication, Recovery</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6.3 Phases 2, 3, and 5</w:t>
            </w:r>
          </w:p>
        </w:tc>
      </w:tr>
      <w:tr>
        <w:tc>
          <w:tcPr>
            <w:tcW w:type="dxa" w:w="2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pPr>
              <w:spacing w:after="0" w:before="0"/>
            </w:pPr>
            <w:r>
              <w:rPr>
                <w:rFonts w:ascii="Arial" w:cs="Arial" w:eastAsia="Arial" w:hAnsi="Arial"/>
                <w:b/>
                <w:bCs/>
                <w:color w:val="1A2340"/>
                <w:sz w:val="20"/>
                <w:szCs w:val="20"/>
              </w:rPr>
              <w:t xml:space="preserve">NIST SP 800-61 Rev 2</w:t>
            </w:r>
          </w:p>
        </w:tc>
        <w:tc>
          <w:tcPr>
            <w:tcW w:type="dxa" w:w="3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3.4 -- Post-Incident Activity</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2340"/>
                <w:sz w:val="20"/>
                <w:szCs w:val="20"/>
              </w:rPr>
              <w:t xml:space="preserve">Section 6.7 (Post-Incident Review) and Appendix D</w:t>
            </w:r>
          </w:p>
        </w:tc>
      </w:tr>
    </w:tbl>
    <w:p>
      <w:pPr>
        <w:spacing w:after="40" w:before="4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80"/>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8640"/>
      </w:tabs>
      <w:spacing w:after="80"/>
    </w:pPr>
    <w:r>
      <w:rPr>
        <w:rFonts w:ascii="Arial" w:cs="Arial" w:eastAsia="Arial" w:hAnsi="Arial"/>
        <w:color w:val="5A6A8A"/>
        <w:sz w:val="18"/>
        <w:szCs w:val="18"/>
      </w:rPr>
      <w:t xml:space="preserve">ENT-Draft-POL-AI Incident Response-Comprehensive-6.26   |   Artificial Intelligence Incident Response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2026-06-19T00:23:47.455Z</dcterms:created>
  <dcterms:modified xsi:type="dcterms:W3CDTF">2026-06-19T00:23:47.455Z</dcterms:modified>
</cp:coreProperties>
</file>

<file path=docProps/custom.xml><?xml version="1.0" encoding="utf-8"?>
<Properties xmlns="http://schemas.openxmlformats.org/officeDocument/2006/custom-properties" xmlns:vt="http://schemas.openxmlformats.org/officeDocument/2006/docPropsVTypes"/>
</file>