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152168"/>
          <w:sz w:val="52"/>
          <w:szCs w:val="52"/>
        </w:rPr>
        <w:t xml:space="preserve">ARTIFICIAL INTELLIGENCE</w:t>
      </w:r>
    </w:p>
    <w:p>
      <w:pPr>
        <w:spacing w:after="200" w:before="0"/>
        <w:jc w:val="center"/>
      </w:pPr>
      <w:r>
        <w:rPr>
          <w:rFonts w:ascii="Arial" w:cs="Arial" w:eastAsia="Arial" w:hAnsi="Arial"/>
          <w:b/>
          <w:bCs/>
          <w:color w:val="152168"/>
          <w:sz w:val="52"/>
          <w:szCs w:val="52"/>
        </w:rPr>
        <w:t xml:space="preserve">RISK MANAGEMENT POLICY</w:t>
      </w:r>
    </w:p>
    <w:p>
      <w:pPr>
        <w:pBdr>
          <w:bottom w:val="single" w:color="07B4D9" w:sz="12"/>
        </w:pBdr>
        <w:spacing w:after="360" w:before="0"/>
        <w:jc w:val="center"/>
      </w:pPr>
      <w:r>
        <w:rPr>
          <w:rFonts w:ascii="Arial" w:cs="Arial" w:eastAsia="Arial" w:hAnsi="Arial"/>
          <w:color w:val="07B4D9"/>
          <w:sz w:val="26"/>
          <w:szCs w:val="26"/>
        </w:rPr>
        <w:t xml:space="preserve">Comprehensive Enterprise Edition</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Document ID</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ENT-Draft-POL-AI Risk Management-Comprehensive-6.26</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Title</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Artificial Intelligence Risk Management Policy</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Frameworks</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NIST AI RMF 1.0 | ISO/IEC 42001:2023 | ISO 31000:2018</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Version</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Draft 1.0</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Effective Date</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[INSERT DATE]</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Review Date</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[INSERT DATE + 1 YEAR]</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Policy Owner</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 / AI Governance Committee]</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Classification</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 - Confidential</w:t>
            </w:r>
          </w:p>
        </w:tc>
      </w:tr>
    </w:tbl>
    <w:p>
      <w:r>
        <w:br w:type="page"/>
      </w:r>
    </w:p>
    <w:p>
      <w:pPr>
        <w:pStyle w:val="Heading1"/>
        <w:pBdr>
          <w:bottom w:val="single" w:color="07B4D9" w:sz="6"/>
        </w:pBdr>
        <w:spacing w:after="120" w:before="360"/>
      </w:pPr>
      <w:r>
        <w:rPr>
          <w:rFonts w:ascii="Arial" w:cs="Arial" w:eastAsia="Arial" w:hAnsi="Arial"/>
          <w:b/>
          <w:bCs/>
          <w:color w:val="152168"/>
          <w:sz w:val="26"/>
          <w:szCs w:val="26"/>
        </w:rPr>
        <w:t xml:space="preserve">1. Purpose</w:t>
      </w:r>
    </w:p>
    <w:p>
      <w:pPr>
        <w:spacing w:after="120" w:before="40"/>
      </w:pPr>
      <w:r>
        <w:rPr>
          <w:rFonts w:ascii="Arial" w:cs="Arial" w:eastAsia="Arial" w:hAnsi="Arial"/>
          <w:i/>
          <w:iCs/>
          <w:color w:val="5A6A8A"/>
          <w:sz w:val="16"/>
          <w:szCs w:val="16"/>
        </w:rPr>
        <w:t xml:space="preserve">ISO 42001 Ref: 6.1.2 AI risk management process  |  NIST AI RMF Ref: GOVERN 1.1, GOVERN 1.2</w:t>
      </w:r>
    </w:p>
    <w:p>
      <w:pPr>
        <w:spacing w:after="100" w:before="60"/>
      </w:pPr>
      <w:r>
        <w:rPr>
          <w:rFonts w:ascii="Arial" w:cs="Arial" w:eastAsia="Arial" w:hAnsi="Arial"/>
          <w:color w:val="1A2340"/>
          <w:sz w:val="20"/>
          <w:szCs w:val="20"/>
        </w:rPr>
        <w:t xml:space="preserve">This policy establishes a structured, risk-based framework for managing the risks associated with the adoption and use of Tier 1 AI tools within [ORGANIZATION NAME]. Tier 1 AI tools are commercially available, enterprise-grade AI platforms - including but not limited to Microsoft Copilot, ChatGPT Enterprise, Google Gemini for Workspace, and Claude - that employees use to augment their work.</w:t>
      </w:r>
    </w:p>
    <w:p>
      <w:pPr>
        <w:spacing w:after="100" w:before="60"/>
      </w:pPr>
      <w:r>
        <w:rPr>
          <w:rFonts w:ascii="Arial" w:cs="Arial" w:eastAsia="Arial" w:hAnsi="Arial"/>
          <w:color w:val="1A2340"/>
          <w:sz w:val="20"/>
          <w:szCs w:val="20"/>
        </w:rPr>
        <w:t xml:space="preserve">The purpose of this policy is to:</w:t>
      </w:r>
    </w:p>
    <w:p>
      <w:pPr>
        <w:pStyle w:val="ListParagraph"/>
        <w:numPr>
          <w:ilvl w:val="0"/>
          <w:numId w:val="2"/>
        </w:numPr>
        <w:spacing w:after="60" w:before="40"/>
      </w:pPr>
      <w:r>
        <w:rPr>
          <w:rFonts w:ascii="Arial" w:cs="Arial" w:eastAsia="Arial" w:hAnsi="Arial"/>
          <w:color w:val="1A2340"/>
          <w:sz w:val="20"/>
          <w:szCs w:val="20"/>
        </w:rPr>
        <w:t xml:space="preserve">Protect the organization from the misuse of AI tools in ways that could result in data exposure, reputational harm, or regulatory non-compliance.</w:t>
      </w:r>
    </w:p>
    <w:p>
      <w:pPr>
        <w:pStyle w:val="ListParagraph"/>
        <w:numPr>
          <w:ilvl w:val="0"/>
          <w:numId w:val="2"/>
        </w:numPr>
        <w:spacing w:after="60" w:before="40"/>
      </w:pPr>
      <w:r>
        <w:rPr>
          <w:rFonts w:ascii="Arial" w:cs="Arial" w:eastAsia="Arial" w:hAnsi="Arial"/>
          <w:color w:val="1A2340"/>
          <w:sz w:val="20"/>
          <w:szCs w:val="20"/>
        </w:rPr>
        <w:t xml:space="preserve">Establish a common language and process for identifying, assessing, treating, and monitoring AI-related risks across all departments.</w:t>
      </w:r>
    </w:p>
    <w:p>
      <w:pPr>
        <w:pStyle w:val="ListParagraph"/>
        <w:numPr>
          <w:ilvl w:val="0"/>
          <w:numId w:val="2"/>
        </w:numPr>
        <w:spacing w:after="60" w:before="40"/>
      </w:pPr>
      <w:r>
        <w:rPr>
          <w:rFonts w:ascii="Arial" w:cs="Arial" w:eastAsia="Arial" w:hAnsi="Arial"/>
          <w:color w:val="1A2340"/>
          <w:sz w:val="20"/>
          <w:szCs w:val="20"/>
        </w:rPr>
        <w:t xml:space="preserve">Ensure that AI outputs are subject to appropriate human review and that accountability for AI use is clearly assigned.</w:t>
      </w:r>
    </w:p>
    <w:p>
      <w:pPr>
        <w:pStyle w:val="ListParagraph"/>
        <w:numPr>
          <w:ilvl w:val="0"/>
          <w:numId w:val="2"/>
        </w:numPr>
        <w:spacing w:after="60" w:before="40"/>
      </w:pPr>
      <w:r>
        <w:rPr>
          <w:rFonts w:ascii="Arial" w:cs="Arial" w:eastAsia="Arial" w:hAnsi="Arial"/>
          <w:color w:val="1A2340"/>
          <w:sz w:val="20"/>
          <w:szCs w:val="20"/>
        </w:rPr>
        <w:t xml:space="preserve">Enable the organization to derive value from AI tools while maintaining risk within the organization's defined risk appetite.</w:t>
      </w:r>
    </w:p>
    <w:p>
      <w:pPr>
        <w:pStyle w:val="ListParagraph"/>
        <w:numPr>
          <w:ilvl w:val="0"/>
          <w:numId w:val="2"/>
        </w:numPr>
        <w:spacing w:after="60" w:before="40"/>
      </w:pPr>
      <w:r>
        <w:rPr>
          <w:rFonts w:ascii="Arial" w:cs="Arial" w:eastAsia="Arial" w:hAnsi="Arial"/>
          <w:color w:val="1A2340"/>
          <w:sz w:val="20"/>
          <w:szCs w:val="20"/>
        </w:rPr>
        <w:t xml:space="preserve">Demonstrate to regulators, customers, auditors, and insurers that AI risks are managed with the same rigour applied to other enterprise risks.</w:t>
      </w:r>
    </w:p>
    <w:p>
      <w:pPr>
        <w:spacing w:after="100" w:before="60"/>
      </w:pPr>
      <w:r>
        <w:rPr>
          <w:rFonts w:ascii="Arial" w:cs="Arial" w:eastAsia="Arial" w:hAnsi="Arial"/>
          <w:color w:val="1A2340"/>
          <w:sz w:val="20"/>
          <w:szCs w:val="20"/>
        </w:rPr>
        <w:t xml:space="preserve">This policy does not govern AI model development, AI training, or the building of custom AI systems. It applies exclusively to the consumption of commercial AI tools and platforms.</w:t>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2. Scope</w:t>
      </w:r>
    </w:p>
    <w:p>
      <w:pPr>
        <w:spacing w:after="120" w:before="40"/>
      </w:pPr>
      <w:r>
        <w:rPr>
          <w:rFonts w:ascii="Arial" w:cs="Arial" w:eastAsia="Arial" w:hAnsi="Arial"/>
          <w:i/>
          <w:iCs/>
          <w:color w:val="5A6A8A"/>
          <w:sz w:val="16"/>
          <w:szCs w:val="16"/>
        </w:rPr>
        <w:t xml:space="preserve">ISO 42001 Ref: 4.1 Understanding the organization and its context  |  NIST AI RMF Ref: GOVERN 1.3, GOVERN 1.7</w:t>
      </w:r>
    </w:p>
    <w:p>
      <w:pPr>
        <w:spacing w:after="100" w:before="60"/>
      </w:pPr>
      <w:r>
        <w:rPr>
          <w:rFonts w:ascii="Arial" w:cs="Arial" w:eastAsia="Arial" w:hAnsi="Arial"/>
          <w:color w:val="1A2340"/>
          <w:sz w:val="20"/>
          <w:szCs w:val="20"/>
        </w:rPr>
        <w:t xml:space="preserve">This policy applies to:</w:t>
      </w:r>
    </w:p>
    <w:p>
      <w:pPr>
        <w:pStyle w:val="ListParagraph"/>
        <w:numPr>
          <w:ilvl w:val="0"/>
          <w:numId w:val="2"/>
        </w:numPr>
        <w:spacing w:after="60" w:before="40"/>
      </w:pPr>
      <w:r>
        <w:rPr>
          <w:rFonts w:ascii="Arial" w:cs="Arial" w:eastAsia="Arial" w:hAnsi="Arial"/>
          <w:color w:val="1A2340"/>
          <w:sz w:val="20"/>
          <w:szCs w:val="20"/>
        </w:rPr>
        <w:t xml:space="preserve">All use of Tier 1 AI tools within [ORGANIZATION NAME], regardless of department, function, or seniority level.</w:t>
      </w:r>
    </w:p>
    <w:p>
      <w:pPr>
        <w:pStyle w:val="ListParagraph"/>
        <w:numPr>
          <w:ilvl w:val="0"/>
          <w:numId w:val="2"/>
        </w:numPr>
        <w:spacing w:after="60" w:before="40"/>
      </w:pPr>
      <w:r>
        <w:rPr>
          <w:rFonts w:ascii="Arial" w:cs="Arial" w:eastAsia="Arial" w:hAnsi="Arial"/>
          <w:color w:val="1A2340"/>
          <w:sz w:val="20"/>
          <w:szCs w:val="20"/>
        </w:rPr>
        <w:t xml:space="preserve">All AI-assisted use cases throughout their full lifecycle, from initial adoption and configuration through active use, change management, and decommissioning.</w:t>
      </w:r>
    </w:p>
    <w:p>
      <w:pPr>
        <w:pStyle w:val="ListParagraph"/>
        <w:numPr>
          <w:ilvl w:val="0"/>
          <w:numId w:val="2"/>
        </w:numPr>
        <w:spacing w:after="60" w:before="40"/>
      </w:pPr>
      <w:r>
        <w:rPr>
          <w:rFonts w:ascii="Arial" w:cs="Arial" w:eastAsia="Arial" w:hAnsi="Arial"/>
          <w:color w:val="1A2340"/>
          <w:sz w:val="20"/>
          <w:szCs w:val="20"/>
        </w:rPr>
        <w:t xml:space="preserve">All personnel - employees, contractors, and third-party service providers - who access AI tools using organizational accounts or organizational data.</w:t>
      </w:r>
    </w:p>
    <w:p>
      <w:pPr>
        <w:pStyle w:val="ListParagraph"/>
        <w:numPr>
          <w:ilvl w:val="0"/>
          <w:numId w:val="2"/>
        </w:numPr>
        <w:spacing w:after="60" w:before="40"/>
      </w:pPr>
      <w:r>
        <w:rPr>
          <w:rFonts w:ascii="Arial" w:cs="Arial" w:eastAsia="Arial" w:hAnsi="Arial"/>
          <w:color w:val="1A2340"/>
          <w:sz w:val="20"/>
          <w:szCs w:val="20"/>
        </w:rPr>
        <w:t xml:space="preserve">AI tool use on both organization-managed and personally owned devices where organizational data is involved.</w:t>
      </w:r>
    </w:p>
    <w:p>
      <w:pPr>
        <w:spacing w:after="80" w:before="0"/>
      </w:pPr>
      <w:r>
        <w:t xml:space="preserve"/>
      </w:r>
    </w:p>
    <w:p>
      <w:pPr>
        <w:spacing w:after="100" w:before="60"/>
      </w:pPr>
      <w:r>
        <w:rPr>
          <w:rFonts w:ascii="Arial" w:cs="Arial" w:eastAsia="Arial" w:hAnsi="Arial"/>
          <w:color w:val="1A2340"/>
          <w:sz w:val="20"/>
          <w:szCs w:val="20"/>
        </w:rPr>
        <w:t xml:space="preserve">This policy specifically covers: Microsoft Copilot (Microsoft 365 Copilot, Copilot for Security, and associated products); ChatGPT Enterprise and OpenAI API usage under enterprise agreement; Google Gemini for Workspace; Anthropic Claude (enterprise tier); and any other Tier 1 AI platform approved by the AI Governance Committee (AIGC).</w:t>
      </w:r>
    </w:p>
    <w:p>
      <w:pPr>
        <w:spacing w:after="100" w:before="60"/>
      </w:pPr>
      <w:r>
        <w:rPr>
          <w:rFonts w:ascii="Arial" w:cs="Arial" w:eastAsia="Arial" w:hAnsi="Arial"/>
          <w:color w:val="1A2340"/>
          <w:sz w:val="20"/>
          <w:szCs w:val="20"/>
        </w:rPr>
        <w:t xml:space="preserve">This policy does not apply to AI features embedded invisibly in standard software (e.g., autocorrect, spam filters, fraud detection in banking platforms) where the AI component is not user-directed. However, if a vendor adds a Tier 1 AI assistant interface to a product already in use, that interface falls within scope.</w:t>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3. Policy Statement</w:t>
      </w:r>
    </w:p>
    <w:p>
      <w:pPr>
        <w:spacing w:after="120" w:before="40"/>
      </w:pPr>
      <w:r>
        <w:rPr>
          <w:rFonts w:ascii="Arial" w:cs="Arial" w:eastAsia="Arial" w:hAnsi="Arial"/>
          <w:i/>
          <w:iCs/>
          <w:color w:val="5A6A8A"/>
          <w:sz w:val="16"/>
          <w:szCs w:val="16"/>
        </w:rPr>
        <w:t xml:space="preserve">ISO 42001 Ref: 5.2 AI policy  |  NIST AI RMF Ref: GOVERN 1.1</w:t>
      </w:r>
    </w:p>
    <w:p>
      <w:pPr>
        <w:spacing w:after="100" w:before="60"/>
      </w:pPr>
      <w:r>
        <w:rPr>
          <w:rFonts w:ascii="Arial" w:cs="Arial" w:eastAsia="Arial" w:hAnsi="Arial"/>
          <w:color w:val="1A2340"/>
          <w:sz w:val="20"/>
          <w:szCs w:val="20"/>
        </w:rPr>
        <w:t xml:space="preserve">[ORGANIZATION NAME] is committed to responsible AI use. The organization will adopt and use Tier 1 AI tools in a manner consistent with its values, its obligations to customers and employees, and its risk appetite. This commitment is governed by six core principles:</w:t>
      </w:r>
    </w:p>
    <w:p>
      <w:pPr>
        <w:spacing w:after="80" w:before="0"/>
      </w:pPr>
      <w:r>
        <w:t xml:space="preserve"/>
      </w:r>
    </w:p>
    <w:p>
      <w:pPr>
        <w:pStyle w:val="ListParagraph"/>
        <w:numPr>
          <w:ilvl w:val="0"/>
          <w:numId w:val="2"/>
        </w:numPr>
        <w:spacing w:after="60" w:before="40"/>
      </w:pPr>
      <w:r>
        <w:rPr>
          <w:rFonts w:ascii="Arial" w:cs="Arial" w:eastAsia="Arial" w:hAnsi="Arial"/>
          <w:b/>
          <w:bCs/>
          <w:color w:val="1A2340"/>
          <w:sz w:val="20"/>
          <w:szCs w:val="20"/>
        </w:rPr>
        <w:t xml:space="preserve">Risk-Informed Adoption: </w:t>
      </w:r>
      <w:r>
        <w:rPr>
          <w:rFonts w:ascii="Arial" w:cs="Arial" w:eastAsia="Arial" w:hAnsi="Arial"/>
          <w:color w:val="1A2340"/>
          <w:sz w:val="20"/>
          <w:szCs w:val="20"/>
        </w:rPr>
        <w:t xml:space="preserve">No Tier 1 AI tool or AI use case will be permitted in a production context without a prior risk assessment. The level of assessment required is proportionate to the risk rating of the use case.</w:t>
      </w:r>
    </w:p>
    <w:p>
      <w:pPr>
        <w:pStyle w:val="ListParagraph"/>
        <w:numPr>
          <w:ilvl w:val="0"/>
          <w:numId w:val="2"/>
        </w:numPr>
        <w:spacing w:after="60" w:before="40"/>
      </w:pPr>
      <w:r>
        <w:rPr>
          <w:rFonts w:ascii="Arial" w:cs="Arial" w:eastAsia="Arial" w:hAnsi="Arial"/>
          <w:b/>
          <w:bCs/>
          <w:color w:val="1A2340"/>
          <w:sz w:val="20"/>
          <w:szCs w:val="20"/>
        </w:rPr>
        <w:t xml:space="preserve">Proportionate Controls: </w:t>
      </w:r>
      <w:r>
        <w:rPr>
          <w:rFonts w:ascii="Arial" w:cs="Arial" w:eastAsia="Arial" w:hAnsi="Arial"/>
          <w:color w:val="1A2340"/>
          <w:sz w:val="20"/>
          <w:szCs w:val="20"/>
        </w:rPr>
        <w:t xml:space="preserve">Risk controls applied to AI use cases will be commensurate with the risk level. Low-risk use cases will receive lightweight controls; high-risk use cases will require formal risk treatment plans and senior sign-off.</w:t>
      </w:r>
    </w:p>
    <w:p>
      <w:pPr>
        <w:pStyle w:val="ListParagraph"/>
        <w:numPr>
          <w:ilvl w:val="0"/>
          <w:numId w:val="2"/>
        </w:numPr>
        <w:spacing w:after="60" w:before="40"/>
      </w:pPr>
      <w:r>
        <w:rPr>
          <w:rFonts w:ascii="Arial" w:cs="Arial" w:eastAsia="Arial" w:hAnsi="Arial"/>
          <w:b/>
          <w:bCs/>
          <w:color w:val="1A2340"/>
          <w:sz w:val="20"/>
          <w:szCs w:val="20"/>
        </w:rPr>
        <w:t xml:space="preserve">Human Accountability: </w:t>
      </w:r>
      <w:r>
        <w:rPr>
          <w:rFonts w:ascii="Arial" w:cs="Arial" w:eastAsia="Arial" w:hAnsi="Arial"/>
          <w:color w:val="1A2340"/>
          <w:sz w:val="20"/>
          <w:szCs w:val="20"/>
        </w:rPr>
        <w:t xml:space="preserve">AI tools are aids to human decision-making, not replacements for it. Every AI use case will have a named human owner who is accountable for outcomes, including where AI outputs contributed to a decision.</w:t>
      </w:r>
    </w:p>
    <w:p>
      <w:pPr>
        <w:pStyle w:val="ListParagraph"/>
        <w:numPr>
          <w:ilvl w:val="0"/>
          <w:numId w:val="2"/>
        </w:numPr>
        <w:spacing w:after="60" w:before="40"/>
      </w:pPr>
      <w:r>
        <w:rPr>
          <w:rFonts w:ascii="Arial" w:cs="Arial" w:eastAsia="Arial" w:hAnsi="Arial"/>
          <w:b/>
          <w:bCs/>
          <w:color w:val="1A2340"/>
          <w:sz w:val="20"/>
          <w:szCs w:val="20"/>
        </w:rPr>
        <w:t xml:space="preserve">Continuous Monitoring: </w:t>
      </w:r>
      <w:r>
        <w:rPr>
          <w:rFonts w:ascii="Arial" w:cs="Arial" w:eastAsia="Arial" w:hAnsi="Arial"/>
          <w:color w:val="1A2340"/>
          <w:sz w:val="20"/>
          <w:szCs w:val="20"/>
        </w:rPr>
        <w:t xml:space="preserve">AI risks do not remain static. The organization will monitor AI risk indicators on an ongoing basis and formally review the AI Risk Register at least quarterly. New risks identified during monitoring will be assessed and treated without delay.</w:t>
      </w:r>
    </w:p>
    <w:p>
      <w:pPr>
        <w:pStyle w:val="ListParagraph"/>
        <w:numPr>
          <w:ilvl w:val="0"/>
          <w:numId w:val="2"/>
        </w:numPr>
        <w:spacing w:after="60" w:before="40"/>
      </w:pPr>
      <w:r>
        <w:rPr>
          <w:rFonts w:ascii="Arial" w:cs="Arial" w:eastAsia="Arial" w:hAnsi="Arial"/>
          <w:b/>
          <w:bCs/>
          <w:color w:val="1A2340"/>
          <w:sz w:val="20"/>
          <w:szCs w:val="20"/>
        </w:rPr>
        <w:t xml:space="preserve">Vendor Risk Awareness: </w:t>
      </w:r>
      <w:r>
        <w:rPr>
          <w:rFonts w:ascii="Arial" w:cs="Arial" w:eastAsia="Arial" w:hAnsi="Arial"/>
          <w:color w:val="1A2340"/>
          <w:sz w:val="20"/>
          <w:szCs w:val="20"/>
        </w:rPr>
        <w:t xml:space="preserve">The organization acknowledges that using Tier 1 AI tools introduces dependency on third-party vendors. The organization will maintain awareness of each vendor's data handling practices, security posture, and contractual commitments, and will review these annually.</w:t>
      </w:r>
    </w:p>
    <w:p>
      <w:pPr>
        <w:pStyle w:val="ListParagraph"/>
        <w:numPr>
          <w:ilvl w:val="0"/>
          <w:numId w:val="2"/>
        </w:numPr>
        <w:spacing w:after="60" w:before="40"/>
      </w:pPr>
      <w:r>
        <w:rPr>
          <w:rFonts w:ascii="Arial" w:cs="Arial" w:eastAsia="Arial" w:hAnsi="Arial"/>
          <w:b/>
          <w:bCs/>
          <w:color w:val="1A2340"/>
          <w:sz w:val="20"/>
          <w:szCs w:val="20"/>
        </w:rPr>
        <w:t xml:space="preserve">Regulatory Alignment: </w:t>
      </w:r>
      <w:r>
        <w:rPr>
          <w:rFonts w:ascii="Arial" w:cs="Arial" w:eastAsia="Arial" w:hAnsi="Arial"/>
          <w:color w:val="1A2340"/>
          <w:sz w:val="20"/>
          <w:szCs w:val="20"/>
        </w:rPr>
        <w:t xml:space="preserve">The organization will track and comply with applicable AI-related regulations, standards, and guidance, including privacy laws governing AI-processed personal data, sector-specific requirements, and any applicable AI governance regulations as they emerge.</w:t>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4. Definitions</w:t>
      </w:r>
    </w:p>
    <w:p>
      <w:pPr>
        <w:spacing w:after="120" w:before="40"/>
      </w:pPr>
      <w:r>
        <w:rPr>
          <w:rFonts w:ascii="Arial" w:cs="Arial" w:eastAsia="Arial" w:hAnsi="Arial"/>
          <w:i/>
          <w:iCs/>
          <w:color w:val="5A6A8A"/>
          <w:sz w:val="16"/>
          <w:szCs w:val="16"/>
        </w:rPr>
        <w:t xml:space="preserve">ISO 42001 Ref: 3 Terms and definitions  |  NIST AI RMF Ref: GOVERN 1.5</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w:t>
            </w:r>
          </w:p>
        </w:tc>
        <w:tc>
          <w:tcPr>
            <w:tcW w:type="dxa" w:w="6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AI Risk</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possibility that the use of an AI tool will result in an adverse outcome, including but not limited to incorrect outputs, data exposure, regulatory breach, financial loss, or reputational harm.</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Risk Appetite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level and type of AI-related risk the organization is willing to accept in pursuit of its strategic objectives, as defined and periodically reaffirmed by the AIGC.</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Risk Tolerance</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acceptable variation in outcomes within the risk appetite. Tolerance is more specific than appetite and defines operational boundaries (e.g., 'we accept some hallucination risk in internal drafting but zero tolerance for hallucination in customer-facing communications').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Risk Register</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 structured record of identified AI risks, their ratings, owners, treatment status, and review dates. The AI Risk Register is maintained by the CISO/vCISO and reviewed quarterly by the AIGC.</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Residual Risk</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level of risk remaining after risk treatment controls have been applied. Residual risk must be explicitly accepted by the Risk Owner and, for High or Critical risks, by the AIGC.</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Risk Treatment</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An action taken to modify the level of risk. Treatment options include mitigation, transfer, avoidance, or acceptance.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Inherent Risk</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level of risk associated with an AI use case before any controls are applied. Inherent risk is assessed at the point of onboarding a new use case.</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Risk Owner</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individual accountable for managing a specific AI risk, ensuring that controls are in place, and reporting on risk status. Risk owners are typically the AI System Owner or Department Head sponsoring the use case.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Likelihood</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probability that an AI risk event will occur, rated on a 1 (Rare) to 5 (Almost Certain) scale for the purposes of this policy's risk matrix.</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Impact</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severity of consequences if an AI risk event occurs, rated on a 1 (Negligible) to 5 (Catastrophic) scale, considering financial, reputational, operational, and regulatory dimensions.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Tier 1 AI Tool</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 commercially available, enterprise-grade AI platform that provides user-directed AI capabilities (e.g., generation, summarization, analysis, code assistance) and is used via an organizational account or license. Examples include Microsoft Copilot, ChatGPT Enterprise, Google Gemini for Workspace, and Claude.</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Use Case Risk Rating</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composite risk rating (Critical, High, Medium, or Low) assigned to a specific AI use case based on the 5x5 likelihood-impact matrix defined in Section 6.3.</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Control Effectiveness</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 qualitative assessment (Strong, Moderate, Weak, or None) of how well existing controls reduce the inherent risk of an AI use case.</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Risk Acceptance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 formal decision to retain a risk without further treatment. Risk acceptance must be documented, time-bounded, and approved at the appropriate level (Section 6.6).</w:t>
            </w:r>
          </w:p>
        </w:tc>
      </w:tr>
    </w:tbl>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5. Roles and Responsibilities</w:t>
      </w:r>
    </w:p>
    <w:p>
      <w:pPr>
        <w:spacing w:after="120" w:before="40"/>
      </w:pPr>
      <w:r>
        <w:rPr>
          <w:rFonts w:ascii="Arial" w:cs="Arial" w:eastAsia="Arial" w:hAnsi="Arial"/>
          <w:i/>
          <w:iCs/>
          <w:color w:val="5A6A8A"/>
          <w:sz w:val="16"/>
          <w:szCs w:val="16"/>
        </w:rPr>
        <w:t xml:space="preserve">ISO 42001 Ref: 5.3 Organizational roles, responsibilities and authorities  |  NIST AI RMF Ref: GOVERN 1.2, GOVERN 2.2</w:t>
      </w:r>
    </w:p>
    <w:p>
      <w:pPr>
        <w:pStyle w:val="Heading2"/>
        <w:spacing w:after="80" w:before="240"/>
      </w:pPr>
      <w:r>
        <w:rPr>
          <w:rFonts w:ascii="Arial" w:cs="Arial" w:eastAsia="Arial" w:hAnsi="Arial"/>
          <w:b/>
          <w:bCs/>
          <w:color w:val="152168"/>
          <w:sz w:val="22"/>
          <w:szCs w:val="22"/>
        </w:rPr>
        <w:t xml:space="preserve">5.1 AI Governance Committee (AIGC)</w:t>
      </w:r>
    </w:p>
    <w:p>
      <w:pPr>
        <w:spacing w:after="100" w:before="60"/>
      </w:pPr>
      <w:r>
        <w:rPr>
          <w:rFonts w:ascii="Arial" w:cs="Arial" w:eastAsia="Arial" w:hAnsi="Arial"/>
          <w:color w:val="1A2340"/>
          <w:sz w:val="20"/>
          <w:szCs w:val="20"/>
        </w:rPr>
        <w:t xml:space="preserve">The AIGC is the senior governance body for AI risk. Its responsibilities include:</w:t>
      </w:r>
    </w:p>
    <w:p>
      <w:pPr>
        <w:pStyle w:val="ListParagraph"/>
        <w:numPr>
          <w:ilvl w:val="0"/>
          <w:numId w:val="2"/>
        </w:numPr>
        <w:spacing w:after="60" w:before="40"/>
      </w:pPr>
      <w:r>
        <w:rPr>
          <w:rFonts w:ascii="Arial" w:cs="Arial" w:eastAsia="Arial" w:hAnsi="Arial"/>
          <w:color w:val="1A2340"/>
          <w:sz w:val="20"/>
          <w:szCs w:val="20"/>
        </w:rPr>
        <w:t xml:space="preserve">Setting, reviewing, and communicating the organizational AI risk appetite annually.</w:t>
      </w:r>
    </w:p>
    <w:p>
      <w:pPr>
        <w:pStyle w:val="ListParagraph"/>
        <w:numPr>
          <w:ilvl w:val="0"/>
          <w:numId w:val="2"/>
        </w:numPr>
        <w:spacing w:after="60" w:before="40"/>
      </w:pPr>
      <w:r>
        <w:rPr>
          <w:rFonts w:ascii="Arial" w:cs="Arial" w:eastAsia="Arial" w:hAnsi="Arial"/>
          <w:color w:val="1A2340"/>
          <w:sz w:val="20"/>
          <w:szCs w:val="20"/>
        </w:rPr>
        <w:t xml:space="preserve">Providing oversight of the AI Risk Register and challenging risk ratings, treatment plans, and risk acceptance decisions.</w:t>
      </w:r>
    </w:p>
    <w:p>
      <w:pPr>
        <w:pStyle w:val="ListParagraph"/>
        <w:numPr>
          <w:ilvl w:val="0"/>
          <w:numId w:val="2"/>
        </w:numPr>
        <w:spacing w:after="60" w:before="40"/>
      </w:pPr>
      <w:r>
        <w:rPr>
          <w:rFonts w:ascii="Arial" w:cs="Arial" w:eastAsia="Arial" w:hAnsi="Arial"/>
          <w:color w:val="1A2340"/>
          <w:sz w:val="20"/>
          <w:szCs w:val="20"/>
        </w:rPr>
        <w:t xml:space="preserve">Approving risk acceptance for all High and Critical rated AI use cases.</w:t>
      </w:r>
    </w:p>
    <w:p>
      <w:pPr>
        <w:pStyle w:val="ListParagraph"/>
        <w:numPr>
          <w:ilvl w:val="0"/>
          <w:numId w:val="2"/>
        </w:numPr>
        <w:spacing w:after="60" w:before="40"/>
      </w:pPr>
      <w:r>
        <w:rPr>
          <w:rFonts w:ascii="Arial" w:cs="Arial" w:eastAsia="Arial" w:hAnsi="Arial"/>
          <w:color w:val="1A2340"/>
          <w:sz w:val="20"/>
          <w:szCs w:val="20"/>
        </w:rPr>
        <w:t xml:space="preserve">Reviewing quarterly AI risk reports from the CISO/vCISO.</w:t>
      </w:r>
    </w:p>
    <w:p>
      <w:pPr>
        <w:pStyle w:val="ListParagraph"/>
        <w:numPr>
          <w:ilvl w:val="0"/>
          <w:numId w:val="2"/>
        </w:numPr>
        <w:spacing w:after="60" w:before="40"/>
      </w:pPr>
      <w:r>
        <w:rPr>
          <w:rFonts w:ascii="Arial" w:cs="Arial" w:eastAsia="Arial" w:hAnsi="Arial"/>
          <w:color w:val="1A2340"/>
          <w:sz w:val="20"/>
          <w:szCs w:val="20"/>
        </w:rPr>
        <w:t xml:space="preserve">Approving this policy and all material amendments.</w:t>
      </w:r>
    </w:p>
    <w:p>
      <w:pPr>
        <w:pStyle w:val="ListParagraph"/>
        <w:numPr>
          <w:ilvl w:val="0"/>
          <w:numId w:val="2"/>
        </w:numPr>
        <w:spacing w:after="60" w:before="40"/>
      </w:pPr>
      <w:r>
        <w:rPr>
          <w:rFonts w:ascii="Arial" w:cs="Arial" w:eastAsia="Arial" w:hAnsi="Arial"/>
          <w:color w:val="1A2340"/>
          <w:sz w:val="20"/>
          <w:szCs w:val="20"/>
        </w:rPr>
        <w:t xml:space="preserve">Commissioning independent assessments of the AI risk management framework when warranted.</w:t>
      </w:r>
    </w:p>
    <w:p>
      <w:pPr>
        <w:pStyle w:val="Heading2"/>
        <w:spacing w:after="80" w:before="240"/>
      </w:pPr>
      <w:r>
        <w:rPr>
          <w:rFonts w:ascii="Arial" w:cs="Arial" w:eastAsia="Arial" w:hAnsi="Arial"/>
          <w:b/>
          <w:bCs/>
          <w:color w:val="152168"/>
          <w:sz w:val="22"/>
          <w:szCs w:val="22"/>
        </w:rPr>
        <w:t xml:space="preserve">5.2 CISO / vCISO</w:t>
      </w:r>
    </w:p>
    <w:p>
      <w:pPr>
        <w:spacing w:after="100" w:before="60"/>
      </w:pPr>
      <w:r>
        <w:rPr>
          <w:rFonts w:ascii="Arial" w:cs="Arial" w:eastAsia="Arial" w:hAnsi="Arial"/>
          <w:color w:val="1A2340"/>
          <w:sz w:val="20"/>
          <w:szCs w:val="20"/>
        </w:rPr>
        <w:t xml:space="preserve">The CISO or vCISO is the operational owner of AI risk management. Responsibilities include:</w:t>
      </w:r>
    </w:p>
    <w:p>
      <w:pPr>
        <w:pStyle w:val="ListParagraph"/>
        <w:numPr>
          <w:ilvl w:val="0"/>
          <w:numId w:val="2"/>
        </w:numPr>
        <w:spacing w:after="60" w:before="40"/>
      </w:pPr>
      <w:r>
        <w:rPr>
          <w:rFonts w:ascii="Arial" w:cs="Arial" w:eastAsia="Arial" w:hAnsi="Arial"/>
          <w:color w:val="1A2340"/>
          <w:sz w:val="20"/>
          <w:szCs w:val="20"/>
        </w:rPr>
        <w:t xml:space="preserve">Conducting or overseeing AI risk assessments for new use cases and periodic reassessments.</w:t>
      </w:r>
    </w:p>
    <w:p>
      <w:pPr>
        <w:pStyle w:val="ListParagraph"/>
        <w:numPr>
          <w:ilvl w:val="0"/>
          <w:numId w:val="2"/>
        </w:numPr>
        <w:spacing w:after="60" w:before="40"/>
      </w:pPr>
      <w:r>
        <w:rPr>
          <w:rFonts w:ascii="Arial" w:cs="Arial" w:eastAsia="Arial" w:hAnsi="Arial"/>
          <w:color w:val="1A2340"/>
          <w:sz w:val="20"/>
          <w:szCs w:val="20"/>
        </w:rPr>
        <w:t xml:space="preserve">Maintaining and updating the AI Risk Register.</w:t>
      </w:r>
    </w:p>
    <w:p>
      <w:pPr>
        <w:pStyle w:val="ListParagraph"/>
        <w:numPr>
          <w:ilvl w:val="0"/>
          <w:numId w:val="2"/>
        </w:numPr>
        <w:spacing w:after="60" w:before="40"/>
      </w:pPr>
      <w:r>
        <w:rPr>
          <w:rFonts w:ascii="Arial" w:cs="Arial" w:eastAsia="Arial" w:hAnsi="Arial"/>
          <w:color w:val="1A2340"/>
          <w:sz w:val="20"/>
          <w:szCs w:val="20"/>
        </w:rPr>
        <w:t xml:space="preserve">Coordinating with Risk Owners to ensure treatment plans are implemented and effective.</w:t>
      </w:r>
    </w:p>
    <w:p>
      <w:pPr>
        <w:pStyle w:val="ListParagraph"/>
        <w:numPr>
          <w:ilvl w:val="0"/>
          <w:numId w:val="2"/>
        </w:numPr>
        <w:spacing w:after="60" w:before="40"/>
      </w:pPr>
      <w:r>
        <w:rPr>
          <w:rFonts w:ascii="Arial" w:cs="Arial" w:eastAsia="Arial" w:hAnsi="Arial"/>
          <w:color w:val="1A2340"/>
          <w:sz w:val="20"/>
          <w:szCs w:val="20"/>
        </w:rPr>
        <w:t xml:space="preserve">Monitoring AI risk indicators and escalating material changes in the risk environment to the AIGC.</w:t>
      </w:r>
    </w:p>
    <w:p>
      <w:pPr>
        <w:pStyle w:val="ListParagraph"/>
        <w:numPr>
          <w:ilvl w:val="0"/>
          <w:numId w:val="2"/>
        </w:numPr>
        <w:spacing w:after="60" w:before="40"/>
      </w:pPr>
      <w:r>
        <w:rPr>
          <w:rFonts w:ascii="Arial" w:cs="Arial" w:eastAsia="Arial" w:hAnsi="Arial"/>
          <w:color w:val="1A2340"/>
          <w:sz w:val="20"/>
          <w:szCs w:val="20"/>
        </w:rPr>
        <w:t xml:space="preserve">Conducting or overseeing annual vendor reviews for all Tier 1 AI tools in use.</w:t>
      </w:r>
    </w:p>
    <w:p>
      <w:pPr>
        <w:pStyle w:val="ListParagraph"/>
        <w:numPr>
          <w:ilvl w:val="0"/>
          <w:numId w:val="2"/>
        </w:numPr>
        <w:spacing w:after="60" w:before="40"/>
      </w:pPr>
      <w:r>
        <w:rPr>
          <w:rFonts w:ascii="Arial" w:cs="Arial" w:eastAsia="Arial" w:hAnsi="Arial"/>
          <w:color w:val="1A2340"/>
          <w:sz w:val="20"/>
          <w:szCs w:val="20"/>
        </w:rPr>
        <w:t xml:space="preserve">Reporting quarterly to the AIGC on AI risk status.</w:t>
      </w:r>
    </w:p>
    <w:p>
      <w:pPr>
        <w:pStyle w:val="Heading2"/>
        <w:spacing w:after="80" w:before="240"/>
      </w:pPr>
      <w:r>
        <w:rPr>
          <w:rFonts w:ascii="Arial" w:cs="Arial" w:eastAsia="Arial" w:hAnsi="Arial"/>
          <w:b/>
          <w:bCs/>
          <w:color w:val="152168"/>
          <w:sz w:val="22"/>
          <w:szCs w:val="22"/>
        </w:rPr>
        <w:t xml:space="preserve">5.3 AI System Owners</w:t>
      </w:r>
    </w:p>
    <w:p>
      <w:pPr>
        <w:spacing w:after="100" w:before="60"/>
      </w:pPr>
      <w:r>
        <w:rPr>
          <w:rFonts w:ascii="Arial" w:cs="Arial" w:eastAsia="Arial" w:hAnsi="Arial"/>
          <w:color w:val="1A2340"/>
          <w:sz w:val="20"/>
          <w:szCs w:val="20"/>
        </w:rPr>
        <w:t xml:space="preserve">An AI System Owner is designated for each approved AI tool or use case. Responsibilities include:</w:t>
      </w:r>
    </w:p>
    <w:p>
      <w:pPr>
        <w:pStyle w:val="ListParagraph"/>
        <w:numPr>
          <w:ilvl w:val="0"/>
          <w:numId w:val="2"/>
        </w:numPr>
        <w:spacing w:after="60" w:before="40"/>
      </w:pPr>
      <w:r>
        <w:rPr>
          <w:rFonts w:ascii="Arial" w:cs="Arial" w:eastAsia="Arial" w:hAnsi="Arial"/>
          <w:color w:val="1A2340"/>
          <w:sz w:val="20"/>
          <w:szCs w:val="20"/>
        </w:rPr>
        <w:t xml:space="preserve">Serving as the primary Risk Owner for AI risks associated with their tool or use case.</w:t>
      </w:r>
    </w:p>
    <w:p>
      <w:pPr>
        <w:pStyle w:val="ListParagraph"/>
        <w:numPr>
          <w:ilvl w:val="0"/>
          <w:numId w:val="2"/>
        </w:numPr>
        <w:spacing w:after="60" w:before="40"/>
      </w:pPr>
      <w:r>
        <w:rPr>
          <w:rFonts w:ascii="Arial" w:cs="Arial" w:eastAsia="Arial" w:hAnsi="Arial"/>
          <w:color w:val="1A2340"/>
          <w:sz w:val="20"/>
          <w:szCs w:val="20"/>
        </w:rPr>
        <w:t xml:space="preserve">Ensuring that employees under their supervision are trained on approved use guidelines.</w:t>
      </w:r>
    </w:p>
    <w:p>
      <w:pPr>
        <w:pStyle w:val="ListParagraph"/>
        <w:numPr>
          <w:ilvl w:val="0"/>
          <w:numId w:val="2"/>
        </w:numPr>
        <w:spacing w:after="60" w:before="40"/>
      </w:pPr>
      <w:r>
        <w:rPr>
          <w:rFonts w:ascii="Arial" w:cs="Arial" w:eastAsia="Arial" w:hAnsi="Arial"/>
          <w:color w:val="1A2340"/>
          <w:sz w:val="20"/>
          <w:szCs w:val="20"/>
        </w:rPr>
        <w:t xml:space="preserve">Reporting anomalies, near-misses, and incidents involving AI tools to the CISO/vCISO.</w:t>
      </w:r>
    </w:p>
    <w:p>
      <w:pPr>
        <w:pStyle w:val="ListParagraph"/>
        <w:numPr>
          <w:ilvl w:val="0"/>
          <w:numId w:val="2"/>
        </w:numPr>
        <w:spacing w:after="60" w:before="40"/>
      </w:pPr>
      <w:r>
        <w:rPr>
          <w:rFonts w:ascii="Arial" w:cs="Arial" w:eastAsia="Arial" w:hAnsi="Arial"/>
          <w:color w:val="1A2340"/>
          <w:sz w:val="20"/>
          <w:szCs w:val="20"/>
        </w:rPr>
        <w:t xml:space="preserve">Ensuring that access to AI tools is provisioned, reviewed, and deprovisioned in alignment with organizational access management standards.</w:t>
      </w:r>
    </w:p>
    <w:p>
      <w:pPr>
        <w:pStyle w:val="ListParagraph"/>
        <w:numPr>
          <w:ilvl w:val="0"/>
          <w:numId w:val="2"/>
        </w:numPr>
        <w:spacing w:after="60" w:before="40"/>
      </w:pPr>
      <w:r>
        <w:rPr>
          <w:rFonts w:ascii="Arial" w:cs="Arial" w:eastAsia="Arial" w:hAnsi="Arial"/>
          <w:color w:val="1A2340"/>
          <w:sz w:val="20"/>
          <w:szCs w:val="20"/>
        </w:rPr>
        <w:t xml:space="preserve">Participating in risk assessments and validating that proposed controls are practical and effective.</w:t>
      </w:r>
    </w:p>
    <w:p>
      <w:pPr>
        <w:pStyle w:val="Heading2"/>
        <w:spacing w:after="80" w:before="240"/>
      </w:pPr>
      <w:r>
        <w:rPr>
          <w:rFonts w:ascii="Arial" w:cs="Arial" w:eastAsia="Arial" w:hAnsi="Arial"/>
          <w:b/>
          <w:bCs/>
          <w:color w:val="152168"/>
          <w:sz w:val="22"/>
          <w:szCs w:val="22"/>
        </w:rPr>
        <w:t xml:space="preserve">5.4 Department Heads</w:t>
      </w:r>
    </w:p>
    <w:p>
      <w:pPr>
        <w:spacing w:after="100" w:before="60"/>
      </w:pPr>
      <w:r>
        <w:rPr>
          <w:rFonts w:ascii="Arial" w:cs="Arial" w:eastAsia="Arial" w:hAnsi="Arial"/>
          <w:color w:val="1A2340"/>
          <w:sz w:val="20"/>
          <w:szCs w:val="20"/>
        </w:rPr>
        <w:t xml:space="preserve">Department Heads are responsible for:</w:t>
      </w:r>
    </w:p>
    <w:p>
      <w:pPr>
        <w:pStyle w:val="ListParagraph"/>
        <w:numPr>
          <w:ilvl w:val="0"/>
          <w:numId w:val="2"/>
        </w:numPr>
        <w:spacing w:after="60" w:before="40"/>
      </w:pPr>
      <w:r>
        <w:rPr>
          <w:rFonts w:ascii="Arial" w:cs="Arial" w:eastAsia="Arial" w:hAnsi="Arial"/>
          <w:color w:val="1A2340"/>
          <w:sz w:val="20"/>
          <w:szCs w:val="20"/>
        </w:rPr>
        <w:t xml:space="preserve">Ensuring AI tool use within their department complies with this policy.</w:t>
      </w:r>
    </w:p>
    <w:p>
      <w:pPr>
        <w:pStyle w:val="ListParagraph"/>
        <w:numPr>
          <w:ilvl w:val="0"/>
          <w:numId w:val="2"/>
        </w:numPr>
        <w:spacing w:after="60" w:before="40"/>
      </w:pPr>
      <w:r>
        <w:rPr>
          <w:rFonts w:ascii="Arial" w:cs="Arial" w:eastAsia="Arial" w:hAnsi="Arial"/>
          <w:color w:val="1A2340"/>
          <w:sz w:val="20"/>
          <w:szCs w:val="20"/>
        </w:rPr>
        <w:t xml:space="preserve">Escalating requests to use AI tools for high-sensitivity use cases through the approved risk assessment process.</w:t>
      </w:r>
    </w:p>
    <w:p>
      <w:pPr>
        <w:pStyle w:val="ListParagraph"/>
        <w:numPr>
          <w:ilvl w:val="0"/>
          <w:numId w:val="2"/>
        </w:numPr>
        <w:spacing w:after="60" w:before="40"/>
      </w:pPr>
      <w:r>
        <w:rPr>
          <w:rFonts w:ascii="Arial" w:cs="Arial" w:eastAsia="Arial" w:hAnsi="Arial"/>
          <w:color w:val="1A2340"/>
          <w:sz w:val="20"/>
          <w:szCs w:val="20"/>
        </w:rPr>
        <w:t xml:space="preserve">Supporting the CISO/vCISO in implementing and monitoring risk controls within their area.</w:t>
      </w:r>
    </w:p>
    <w:p>
      <w:pPr>
        <w:pStyle w:val="Heading2"/>
        <w:spacing w:after="80" w:before="240"/>
      </w:pPr>
      <w:r>
        <w:rPr>
          <w:rFonts w:ascii="Arial" w:cs="Arial" w:eastAsia="Arial" w:hAnsi="Arial"/>
          <w:b/>
          <w:bCs/>
          <w:color w:val="152168"/>
          <w:sz w:val="22"/>
          <w:szCs w:val="22"/>
        </w:rPr>
        <w:t xml:space="preserve">5.5 All Users</w:t>
      </w:r>
    </w:p>
    <w:p>
      <w:pPr>
        <w:spacing w:after="100" w:before="60"/>
      </w:pPr>
      <w:r>
        <w:rPr>
          <w:rFonts w:ascii="Arial" w:cs="Arial" w:eastAsia="Arial" w:hAnsi="Arial"/>
          <w:color w:val="1A2340"/>
          <w:sz w:val="20"/>
          <w:szCs w:val="20"/>
        </w:rPr>
        <w:t xml:space="preserve">All employees and contractors using Tier 1 AI tools are responsible for:</w:t>
      </w:r>
    </w:p>
    <w:p>
      <w:pPr>
        <w:pStyle w:val="ListParagraph"/>
        <w:numPr>
          <w:ilvl w:val="0"/>
          <w:numId w:val="2"/>
        </w:numPr>
        <w:spacing w:after="60" w:before="40"/>
      </w:pPr>
      <w:r>
        <w:rPr>
          <w:rFonts w:ascii="Arial" w:cs="Arial" w:eastAsia="Arial" w:hAnsi="Arial"/>
          <w:color w:val="1A2340"/>
          <w:sz w:val="20"/>
          <w:szCs w:val="20"/>
        </w:rPr>
        <w:t xml:space="preserve">Using AI tools only for approved purposes and within approved use case parameters.</w:t>
      </w:r>
    </w:p>
    <w:p>
      <w:pPr>
        <w:pStyle w:val="ListParagraph"/>
        <w:numPr>
          <w:ilvl w:val="0"/>
          <w:numId w:val="2"/>
        </w:numPr>
        <w:spacing w:after="60" w:before="40"/>
      </w:pPr>
      <w:r>
        <w:rPr>
          <w:rFonts w:ascii="Arial" w:cs="Arial" w:eastAsia="Arial" w:hAnsi="Arial"/>
          <w:color w:val="1A2340"/>
          <w:sz w:val="20"/>
          <w:szCs w:val="20"/>
        </w:rPr>
        <w:t xml:space="preserve">Reporting suspected AI anomalies, unexpected outputs, or potential data exposures to their manager and the CISO/vCISO.</w:t>
      </w:r>
    </w:p>
    <w:p>
      <w:pPr>
        <w:pStyle w:val="ListParagraph"/>
        <w:numPr>
          <w:ilvl w:val="0"/>
          <w:numId w:val="2"/>
        </w:numPr>
        <w:spacing w:after="60" w:before="40"/>
      </w:pPr>
      <w:r>
        <w:rPr>
          <w:rFonts w:ascii="Arial" w:cs="Arial" w:eastAsia="Arial" w:hAnsi="Arial"/>
          <w:color w:val="1A2340"/>
          <w:sz w:val="20"/>
          <w:szCs w:val="20"/>
        </w:rPr>
        <w:t xml:space="preserve">Completing mandatory AI risk and acceptable use training before using any Tier 1 AI tool.</w:t>
      </w:r>
    </w:p>
    <w:p>
      <w:pPr>
        <w:pStyle w:val="ListParagraph"/>
        <w:numPr>
          <w:ilvl w:val="0"/>
          <w:numId w:val="2"/>
        </w:numPr>
        <w:spacing w:after="60" w:before="40"/>
      </w:pPr>
      <w:r>
        <w:rPr>
          <w:rFonts w:ascii="Arial" w:cs="Arial" w:eastAsia="Arial" w:hAnsi="Arial"/>
          <w:color w:val="1A2340"/>
          <w:sz w:val="20"/>
          <w:szCs w:val="20"/>
        </w:rPr>
        <w:t xml:space="preserve">Not entering personal data, confidential client data, or sensitive organizational information into AI tools except where explicitly permitted under an approved use case.</w:t>
      </w:r>
    </w:p>
    <w:p>
      <w:pPr>
        <w:pBdr>
          <w:bottom w:val="single" w:color="DDE3EF" w:sz="4"/>
        </w:pBdr>
        <w:spacing w:after="180" w:before="180"/>
      </w:pPr>
      <w:r>
        <w:t xml:space="preserve"/>
      </w:r>
    </w:p>
    <w:p>
      <w:r>
        <w:br w:type="page"/>
      </w:r>
    </w:p>
    <w:p>
      <w:pPr>
        <w:pStyle w:val="Heading1"/>
        <w:pBdr>
          <w:bottom w:val="single" w:color="07B4D9" w:sz="6"/>
        </w:pBdr>
        <w:spacing w:after="120" w:before="360"/>
      </w:pPr>
      <w:r>
        <w:rPr>
          <w:rFonts w:ascii="Arial" w:cs="Arial" w:eastAsia="Arial" w:hAnsi="Arial"/>
          <w:b/>
          <w:bCs/>
          <w:color w:val="152168"/>
          <w:sz w:val="26"/>
          <w:szCs w:val="26"/>
        </w:rPr>
        <w:t xml:space="preserve">6. Policy Requirements</w:t>
      </w:r>
    </w:p>
    <w:p>
      <w:pPr>
        <w:pStyle w:val="Heading2"/>
        <w:spacing w:after="80" w:before="240"/>
      </w:pPr>
      <w:r>
        <w:rPr>
          <w:rFonts w:ascii="Arial" w:cs="Arial" w:eastAsia="Arial" w:hAnsi="Arial"/>
          <w:b/>
          <w:bCs/>
          <w:color w:val="152168"/>
          <w:sz w:val="22"/>
          <w:szCs w:val="22"/>
        </w:rPr>
        <w:t xml:space="preserve">6.1 Risk Appetite and Tolerance Statement</w:t>
      </w:r>
    </w:p>
    <w:p>
      <w:pPr>
        <w:spacing w:after="120" w:before="40"/>
      </w:pPr>
      <w:r>
        <w:rPr>
          <w:rFonts w:ascii="Arial" w:cs="Arial" w:eastAsia="Arial" w:hAnsi="Arial"/>
          <w:i/>
          <w:iCs/>
          <w:color w:val="5A6A8A"/>
          <w:sz w:val="16"/>
          <w:szCs w:val="16"/>
        </w:rPr>
        <w:t xml:space="preserve">ISO 42001 Ref: 6.1.2 Risk criteria  |  NIST AI RMF Ref: GOVERN 1.4</w:t>
      </w:r>
    </w:p>
    <w:p>
      <w:pPr>
        <w:spacing w:after="100" w:before="60"/>
      </w:pPr>
      <w:r>
        <w:rPr>
          <w:rFonts w:ascii="Arial" w:cs="Arial" w:eastAsia="Arial" w:hAnsi="Arial"/>
          <w:color w:val="1A2340"/>
          <w:sz w:val="20"/>
          <w:szCs w:val="20"/>
        </w:rPr>
        <w:t xml:space="preserve">The AIGC will define and publish the AI risk appetite statement annually. The risk appetite statement will specify:</w:t>
      </w:r>
    </w:p>
    <w:p>
      <w:pPr>
        <w:pStyle w:val="ListParagraph"/>
        <w:numPr>
          <w:ilvl w:val="0"/>
          <w:numId w:val="2"/>
        </w:numPr>
        <w:spacing w:after="60" w:before="40"/>
      </w:pPr>
      <w:r>
        <w:rPr>
          <w:rFonts w:ascii="Arial" w:cs="Arial" w:eastAsia="Arial" w:hAnsi="Arial"/>
          <w:color w:val="1A2340"/>
          <w:sz w:val="20"/>
          <w:szCs w:val="20"/>
        </w:rPr>
        <w:t xml:space="preserve">The maximum aggregate residual risk rating the organization is willing to carry across all AI use cases.</w:t>
      </w:r>
    </w:p>
    <w:p>
      <w:pPr>
        <w:pStyle w:val="ListParagraph"/>
        <w:numPr>
          <w:ilvl w:val="0"/>
          <w:numId w:val="2"/>
        </w:numPr>
        <w:spacing w:after="60" w:before="40"/>
      </w:pPr>
      <w:r>
        <w:rPr>
          <w:rFonts w:ascii="Arial" w:cs="Arial" w:eastAsia="Arial" w:hAnsi="Arial"/>
          <w:color w:val="1A2340"/>
          <w:sz w:val="20"/>
          <w:szCs w:val="20"/>
        </w:rPr>
        <w:t xml:space="preserve">The categories of AI use that are explicitly within appetite (approved with standard controls).</w:t>
      </w:r>
    </w:p>
    <w:p>
      <w:pPr>
        <w:pStyle w:val="ListParagraph"/>
        <w:numPr>
          <w:ilvl w:val="0"/>
          <w:numId w:val="2"/>
        </w:numPr>
        <w:spacing w:after="60" w:before="40"/>
      </w:pPr>
      <w:r>
        <w:rPr>
          <w:rFonts w:ascii="Arial" w:cs="Arial" w:eastAsia="Arial" w:hAnsi="Arial"/>
          <w:color w:val="1A2340"/>
          <w:sz w:val="20"/>
          <w:szCs w:val="20"/>
        </w:rPr>
        <w:t xml:space="preserve">The categories of AI use that require elevated controls before proceeding.</w:t>
      </w:r>
    </w:p>
    <w:p>
      <w:pPr>
        <w:pStyle w:val="ListParagraph"/>
        <w:numPr>
          <w:ilvl w:val="0"/>
          <w:numId w:val="2"/>
        </w:numPr>
        <w:spacing w:after="60" w:before="40"/>
      </w:pPr>
      <w:r>
        <w:rPr>
          <w:rFonts w:ascii="Arial" w:cs="Arial" w:eastAsia="Arial" w:hAnsi="Arial"/>
          <w:color w:val="1A2340"/>
          <w:sz w:val="20"/>
          <w:szCs w:val="20"/>
        </w:rPr>
        <w:t xml:space="preserve">The categories of AI use that are outside appetite and require AIGC approval on a case-by-case basis.</w:t>
      </w:r>
    </w:p>
    <w:p>
      <w:pPr>
        <w:spacing w:after="80" w:before="0"/>
      </w:pPr>
      <w:r>
        <w:t xml:space="preserve"/>
      </w:r>
    </w:p>
    <w:p>
      <w:pPr>
        <w:spacing w:after="100" w:before="60"/>
      </w:pPr>
      <w:r>
        <w:rPr>
          <w:rFonts w:ascii="Arial" w:cs="Arial" w:eastAsia="Arial" w:hAnsi="Arial"/>
          <w:color w:val="1A2340"/>
          <w:sz w:val="20"/>
          <w:szCs w:val="20"/>
        </w:rPr>
        <w:t xml:space="preserve">Illustrative examples of risk appetite boundaries: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Within Appetite</w:t>
            </w:r>
          </w:p>
        </w:tc>
        <w:tc>
          <w:tcPr>
            <w:tcW w:type="dxa" w:w="4680"/>
            <w:tcBorders>
              <w:top w:val="single" w:color="DDE3EF" w:sz="4"/>
              <w:left w:val="single" w:color="DDE3EF" w:sz="4"/>
              <w:bottom w:val="single" w:color="DDE3EF" w:sz="4"/>
              <w:right w:val="single" w:color="DDE3EF" w:sz="4"/>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Requires AIGC Approval</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Using Copilot to draft internal communications</w:t>
            </w:r>
          </w:p>
        </w:tc>
        <w:tc>
          <w:tcPr>
            <w:tcW w:type="dxa" w:w="468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Using AI to generate customer-facing legal or compliance content</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AI-assisted research and summarization of public information</w:t>
            </w:r>
          </w:p>
        </w:tc>
        <w:tc>
          <w:tcPr>
            <w:tcW w:type="dxa" w:w="468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Entering personally identifiable information (PII) into any AI prompt</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Code generation assistance for internal tooling (with developer review)</w:t>
            </w:r>
          </w:p>
        </w:tc>
        <w:tc>
          <w:tcPr>
            <w:tcW w:type="dxa" w:w="468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Using AI outputs to make consequential HR or access decisions without human review</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Summarizing meeting notes using Copilot in Teams</w:t>
            </w:r>
          </w:p>
        </w:tc>
        <w:tc>
          <w:tcPr>
            <w:tcW w:type="dxa" w:w="468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Using unsanctioned or personal AI accounts for work tasks involving confidential data</w:t>
            </w:r>
          </w:p>
        </w:tc>
      </w:tr>
    </w:tbl>
    <w:p>
      <w:pPr>
        <w:spacing w:after="160" w:before="0"/>
      </w:pPr>
      <w:r>
        <w:t xml:space="preserve"/>
      </w:r>
    </w:p>
    <w:p>
      <w:pPr>
        <w:pStyle w:val="Heading2"/>
        <w:spacing w:after="80" w:before="240"/>
      </w:pPr>
      <w:r>
        <w:rPr>
          <w:rFonts w:ascii="Arial" w:cs="Arial" w:eastAsia="Arial" w:hAnsi="Arial"/>
          <w:b/>
          <w:bCs/>
          <w:color w:val="152168"/>
          <w:sz w:val="22"/>
          <w:szCs w:val="22"/>
        </w:rPr>
        <w:t xml:space="preserve">6.2 Risk Identification</w:t>
      </w:r>
    </w:p>
    <w:p>
      <w:pPr>
        <w:spacing w:after="120" w:before="40"/>
      </w:pPr>
      <w:r>
        <w:rPr>
          <w:rFonts w:ascii="Arial" w:cs="Arial" w:eastAsia="Arial" w:hAnsi="Arial"/>
          <w:i/>
          <w:iCs/>
          <w:color w:val="5A6A8A"/>
          <w:sz w:val="16"/>
          <w:szCs w:val="16"/>
        </w:rPr>
        <w:t xml:space="preserve">ISO 42001 Ref: 6.1.2 Risk assessment, 8.4 AI risk identification  |  NIST AI RMF Ref: MAP 1.1, MAP 2.1, MAP 3.5</w:t>
      </w:r>
    </w:p>
    <w:p>
      <w:pPr>
        <w:spacing w:after="100" w:before="60"/>
      </w:pPr>
      <w:r>
        <w:rPr>
          <w:rFonts w:ascii="Arial" w:cs="Arial" w:eastAsia="Arial" w:hAnsi="Arial"/>
          <w:color w:val="1A2340"/>
          <w:sz w:val="20"/>
          <w:szCs w:val="20"/>
        </w:rPr>
        <w:t xml:space="preserve">Organizations consuming Tier 1 AI tools are exposed to a distinctive set of risks. The following risk sources must be considered during every AI use case risk assessment: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Category</w:t>
            </w:r>
          </w:p>
        </w:tc>
        <w:tc>
          <w:tcPr>
            <w:tcW w:type="dxa" w:w="7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Hallucination</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AI tools generate plausible but factually incorrect outputs. Users may act on false information without realizing it is incorrect.</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Data Leakage via Prompt</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Sensitive data entered into AI prompts may be retained by the vendor, used to train future models, or exposed through model inversion attacks, depending on the product configuration.</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Over-Reliance</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Users may defer to AI outputs without applying appropriate judgment, particularly in high-stakes decisions. This creates accountability gaps and increases the risk of error.</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Vendor Dependency</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organization becomes dependent on the AI vendor's infrastructure, pricing, data policies, and decisions about model updates. Vendor changes can disrupt workflows or alter the risk profile without notice.</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Regulatory Non-Compliance</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AI-processed data may be subject to GDPR, PIPEDA, HIPAA, or sector-specific regulations. Unauthorized processing or cross-border data transfers via AI tools can trigger compliance obligations.</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Bias in Output</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AI models reflect biases in their training data. Outputs used in decisions affecting people (hiring, credit, service delivery) may produce discriminatory results.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Credential and Access Misuse</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AI tools with broad access permissions (e.g., Copilot integrated with Microsoft 365) can surface confidential information beyond the user's normal access scope if permissions are not correctly configured.</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Shadow AI</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Employees may use unapproved, personal, or free-tier AI tools for work tasks, bypassing organizational controls and creating unmanaged data exposure.</w:t>
            </w:r>
          </w:p>
        </w:tc>
      </w:tr>
    </w:tbl>
    <w:p>
      <w:pPr>
        <w:spacing w:after="160" w:before="0"/>
      </w:pPr>
      <w:r>
        <w:t xml:space="preserve"/>
      </w:r>
    </w:p>
    <w:p>
      <w:pPr>
        <w:pStyle w:val="Heading2"/>
        <w:spacing w:after="80" w:before="240"/>
      </w:pPr>
      <w:r>
        <w:rPr>
          <w:rFonts w:ascii="Arial" w:cs="Arial" w:eastAsia="Arial" w:hAnsi="Arial"/>
          <w:b/>
          <w:bCs/>
          <w:color w:val="152168"/>
          <w:sz w:val="22"/>
          <w:szCs w:val="22"/>
        </w:rPr>
        <w:t xml:space="preserve">6.3 Risk Assessment Process</w:t>
      </w:r>
    </w:p>
    <w:p>
      <w:pPr>
        <w:spacing w:after="120" w:before="40"/>
      </w:pPr>
      <w:r>
        <w:rPr>
          <w:rFonts w:ascii="Arial" w:cs="Arial" w:eastAsia="Arial" w:hAnsi="Arial"/>
          <w:i/>
          <w:iCs/>
          <w:color w:val="5A6A8A"/>
          <w:sz w:val="16"/>
          <w:szCs w:val="16"/>
        </w:rPr>
        <w:t xml:space="preserve">ISO 42001 Ref: 6.1.2 Risk assessment  |  NIST AI RMF Ref: MAP 1.5, MAP 5.1, MEASURE 1.1</w:t>
      </w:r>
    </w:p>
    <w:p>
      <w:pPr>
        <w:spacing w:after="100" w:before="60"/>
      </w:pPr>
      <w:r>
        <w:rPr>
          <w:rFonts w:ascii="Arial" w:cs="Arial" w:eastAsia="Arial" w:hAnsi="Arial"/>
          <w:color w:val="1A2340"/>
          <w:sz w:val="20"/>
          <w:szCs w:val="20"/>
        </w:rPr>
        <w:t xml:space="preserve">All new AI use cases must undergo a risk assessment before approval for use. The assessment process uses a 5x5 likelihood-impact matrix to produce a risk rating. The matrix is defined in Appendix B and summarized below.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rPr>
          <w:tblHeader/>
        </w:trPr>
        <w:tc>
          <w:tcPr>
            <w:tcW w:type="dxa" w:w="14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Rating</w:t>
            </w:r>
          </w:p>
        </w:tc>
        <w:tc>
          <w:tcPr>
            <w:tcW w:type="dxa" w:w="26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dxa" w:w="26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Approval Required</w:t>
            </w:r>
          </w:p>
        </w:tc>
        <w:tc>
          <w:tcPr>
            <w:tcW w:type="dxa" w:w="26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Treatment Timeframe</w:t>
            </w:r>
          </w:p>
        </w:tc>
      </w:tr>
      <w:tr>
        <w:tc>
          <w:tcPr>
            <w:tcW w:type="dxa" w:w="144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bCs/>
                <w:color w:val="9C0006"/>
                <w:sz w:val="18"/>
                <w:szCs w:val="18"/>
              </w:rPr>
              <w:t xml:space="preserve">Critical</w:t>
            </w:r>
          </w:p>
        </w:tc>
        <w:tc>
          <w:tcPr>
            <w:tcW w:type="dxa" w:w="264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15-25</w:t>
            </w:r>
          </w:p>
        </w:tc>
        <w:tc>
          <w:tcPr>
            <w:tcW w:type="dxa" w:w="264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AIGC + Board/Executive notification</w:t>
            </w:r>
          </w:p>
        </w:tc>
        <w:tc>
          <w:tcPr>
            <w:tcW w:type="dxa" w:w="264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Immediate - treat before deployment</w:t>
            </w:r>
          </w:p>
        </w:tc>
      </w:tr>
      <w:tr>
        <w:tc>
          <w:tcPr>
            <w:tcW w:type="dxa" w:w="144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bCs/>
                <w:color w:val="7B3700"/>
                <w:sz w:val="18"/>
                <w:szCs w:val="18"/>
              </w:rPr>
              <w:t xml:space="preserve">High</w:t>
            </w:r>
          </w:p>
        </w:tc>
        <w:tc>
          <w:tcPr>
            <w:tcW w:type="dxa" w:w="264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val="false"/>
                <w:bCs w:val="false"/>
                <w:color w:val="7B3700"/>
                <w:sz w:val="18"/>
                <w:szCs w:val="18"/>
              </w:rPr>
              <w:t xml:space="preserve">8-14</w:t>
            </w:r>
          </w:p>
        </w:tc>
        <w:tc>
          <w:tcPr>
            <w:tcW w:type="dxa" w:w="264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val="false"/>
                <w:bCs w:val="false"/>
                <w:color w:val="7B3700"/>
                <w:sz w:val="18"/>
                <w:szCs w:val="18"/>
              </w:rPr>
              <w:t xml:space="preserve">AIGC sign-off required</w:t>
            </w:r>
          </w:p>
        </w:tc>
        <w:tc>
          <w:tcPr>
            <w:tcW w:type="dxa" w:w="264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val="false"/>
                <w:bCs w:val="false"/>
                <w:color w:val="7B3700"/>
                <w:sz w:val="18"/>
                <w:szCs w:val="18"/>
              </w:rPr>
              <w:t xml:space="preserve">Treatment plan within 30 days</w:t>
            </w:r>
          </w:p>
        </w:tc>
      </w:tr>
      <w:tr>
        <w:tc>
          <w:tcPr>
            <w:tcW w:type="dxa" w:w="1440"/>
            <w:tcBorders>
              <w:top w:val="single" w:color="DDE3EF" w:sz="4"/>
              <w:left w:val="single" w:color="DDE3EF" w:sz="4"/>
              <w:bottom w:val="single" w:color="DDE3EF" w:sz="4"/>
              <w:right w:val="single" w:color="DDE3EF" w:sz="4"/>
            </w:tcBorders>
            <w:shd w:fill="FFEB9C" w:val="clear"/>
            <w:tcMar>
              <w:top w:type="dxa" w:w="80"/>
              <w:left w:type="dxa" w:w="120"/>
              <w:bottom w:type="dxa" w:w="80"/>
              <w:right w:type="dxa" w:w="120"/>
            </w:tcMar>
            <w:vAlign w:val="center"/>
          </w:tcPr>
          <w:p>
            <w:pPr>
              <w:jc w:val="left"/>
            </w:pPr>
            <w:r>
              <w:rPr>
                <w:rFonts w:ascii="Arial" w:cs="Arial" w:eastAsia="Arial" w:hAnsi="Arial"/>
                <w:b/>
                <w:bCs/>
                <w:color w:val="7B4700"/>
                <w:sz w:val="18"/>
                <w:szCs w:val="18"/>
              </w:rPr>
              <w:t xml:space="preserve">Medium</w:t>
            </w:r>
          </w:p>
        </w:tc>
        <w:tc>
          <w:tcPr>
            <w:tcW w:type="dxa" w:w="2640"/>
            <w:tcBorders>
              <w:top w:val="single" w:color="DDE3EF" w:sz="4"/>
              <w:left w:val="single" w:color="DDE3EF" w:sz="4"/>
              <w:bottom w:val="single" w:color="DDE3EF" w:sz="4"/>
              <w:right w:val="single" w:color="DDE3EF"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7B4700"/>
                <w:sz w:val="18"/>
                <w:szCs w:val="18"/>
              </w:rPr>
              <w:t xml:space="preserve">4-7</w:t>
            </w:r>
          </w:p>
        </w:tc>
        <w:tc>
          <w:tcPr>
            <w:tcW w:type="dxa" w:w="2640"/>
            <w:tcBorders>
              <w:top w:val="single" w:color="DDE3EF" w:sz="4"/>
              <w:left w:val="single" w:color="DDE3EF" w:sz="4"/>
              <w:bottom w:val="single" w:color="DDE3EF" w:sz="4"/>
              <w:right w:val="single" w:color="DDE3EF"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7B4700"/>
                <w:sz w:val="18"/>
                <w:szCs w:val="18"/>
              </w:rPr>
              <w:t xml:space="preserve">Department Head + CISO review</w:t>
            </w:r>
          </w:p>
        </w:tc>
        <w:tc>
          <w:tcPr>
            <w:tcW w:type="dxa" w:w="2640"/>
            <w:tcBorders>
              <w:top w:val="single" w:color="DDE3EF" w:sz="4"/>
              <w:left w:val="single" w:color="DDE3EF" w:sz="4"/>
              <w:bottom w:val="single" w:color="DDE3EF" w:sz="4"/>
              <w:right w:val="single" w:color="DDE3EF"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7B4700"/>
                <w:sz w:val="18"/>
                <w:szCs w:val="18"/>
              </w:rPr>
              <w:t xml:space="preserve">Controls within 90 days</w:t>
            </w:r>
          </w:p>
        </w:tc>
      </w:tr>
      <w:tr>
        <w:tc>
          <w:tcPr>
            <w:tcW w:type="dxa" w:w="1440"/>
            <w:tcBorders>
              <w:top w:val="single" w:color="DDE3EF" w:sz="4"/>
              <w:left w:val="single" w:color="DDE3EF" w:sz="4"/>
              <w:bottom w:val="single" w:color="DDE3EF" w:sz="4"/>
              <w:right w:val="single" w:color="DDE3EF" w:sz="4"/>
            </w:tcBorders>
            <w:shd w:fill="C6EFCE"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Low</w:t>
            </w:r>
          </w:p>
        </w:tc>
        <w:tc>
          <w:tcPr>
            <w:tcW w:type="dxa" w:w="2640"/>
            <w:tcBorders>
              <w:top w:val="single" w:color="DDE3EF" w:sz="4"/>
              <w:left w:val="single" w:color="DDE3EF" w:sz="4"/>
              <w:bottom w:val="single" w:color="DDE3EF" w:sz="4"/>
              <w:right w:val="single" w:color="DDE3EF" w:sz="4"/>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1-3</w:t>
            </w:r>
          </w:p>
        </w:tc>
        <w:tc>
          <w:tcPr>
            <w:tcW w:type="dxa" w:w="2640"/>
            <w:tcBorders>
              <w:top w:val="single" w:color="DDE3EF" w:sz="4"/>
              <w:left w:val="single" w:color="DDE3EF" w:sz="4"/>
              <w:bottom w:val="single" w:color="DDE3EF" w:sz="4"/>
              <w:right w:val="single" w:color="DDE3EF" w:sz="4"/>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AI System Owner approval</w:t>
            </w:r>
          </w:p>
        </w:tc>
        <w:tc>
          <w:tcPr>
            <w:tcW w:type="dxa" w:w="2640"/>
            <w:tcBorders>
              <w:top w:val="single" w:color="DDE3EF" w:sz="4"/>
              <w:left w:val="single" w:color="DDE3EF" w:sz="4"/>
              <w:bottom w:val="single" w:color="DDE3EF" w:sz="4"/>
              <w:right w:val="single" w:color="DDE3EF" w:sz="4"/>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Document and monitor</w:t>
            </w:r>
          </w:p>
        </w:tc>
      </w:tr>
    </w:tbl>
    <w:p>
      <w:pPr>
        <w:spacing w:after="120" w:before="0"/>
      </w:pPr>
      <w:r>
        <w:t xml:space="preserve"/>
      </w:r>
    </w:p>
    <w:p>
      <w:pPr>
        <w:spacing w:after="100" w:before="60"/>
      </w:pPr>
      <w:r>
        <w:rPr>
          <w:rFonts w:ascii="Arial" w:cs="Arial" w:eastAsia="Arial" w:hAnsi="Arial"/>
          <w:color w:val="1A2340"/>
          <w:sz w:val="20"/>
          <w:szCs w:val="20"/>
        </w:rPr>
        <w:t xml:space="preserve">Tier 1 AI tool consumers must also consider the following risk factors that are unique to commercial AI tool use:</w:t>
      </w:r>
    </w:p>
    <w:p>
      <w:pPr>
        <w:pStyle w:val="ListParagraph"/>
        <w:numPr>
          <w:ilvl w:val="0"/>
          <w:numId w:val="2"/>
        </w:numPr>
        <w:spacing w:after="60" w:before="40"/>
      </w:pPr>
      <w:r>
        <w:rPr>
          <w:rFonts w:ascii="Arial" w:cs="Arial" w:eastAsia="Arial" w:hAnsi="Arial"/>
          <w:b/>
          <w:bCs/>
          <w:color w:val="1A2340"/>
          <w:sz w:val="20"/>
          <w:szCs w:val="20"/>
        </w:rPr>
        <w:t xml:space="preserve">No Control Over Training Data: </w:t>
      </w:r>
      <w:r>
        <w:rPr>
          <w:rFonts w:ascii="Arial" w:cs="Arial" w:eastAsia="Arial" w:hAnsi="Arial"/>
          <w:color w:val="1A2340"/>
          <w:sz w:val="20"/>
          <w:szCs w:val="20"/>
        </w:rPr>
        <w:t xml:space="preserve">The organization has no visibility into or control over the data used to train Tier 1 AI models. Biases, knowledge gaps, or inaccuracies in training data can affect output quality in unpredictable ways.</w:t>
      </w:r>
    </w:p>
    <w:p>
      <w:pPr>
        <w:pStyle w:val="ListParagraph"/>
        <w:numPr>
          <w:ilvl w:val="0"/>
          <w:numId w:val="2"/>
        </w:numPr>
        <w:spacing w:after="60" w:before="40"/>
      </w:pPr>
      <w:r>
        <w:rPr>
          <w:rFonts w:ascii="Arial" w:cs="Arial" w:eastAsia="Arial" w:hAnsi="Arial"/>
          <w:b/>
          <w:bCs/>
          <w:color w:val="1A2340"/>
          <w:sz w:val="20"/>
          <w:szCs w:val="20"/>
        </w:rPr>
        <w:t xml:space="preserve">No SLA on Output Accuracy: </w:t>
      </w:r>
      <w:r>
        <w:rPr>
          <w:rFonts w:ascii="Arial" w:cs="Arial" w:eastAsia="Arial" w:hAnsi="Arial"/>
          <w:color w:val="1A2340"/>
          <w:sz w:val="20"/>
          <w:szCs w:val="20"/>
        </w:rPr>
        <w:t xml:space="preserve">Unlike traditional software, Tier 1 AI tools do not guarantee the accuracy, completeness, or consistency of outputs. Service Level Agreements cover availability and performance, not output correctness.</w:t>
      </w:r>
    </w:p>
    <w:p>
      <w:pPr>
        <w:pStyle w:val="ListParagraph"/>
        <w:numPr>
          <w:ilvl w:val="0"/>
          <w:numId w:val="2"/>
        </w:numPr>
        <w:spacing w:after="60" w:before="40"/>
      </w:pPr>
      <w:r>
        <w:rPr>
          <w:rFonts w:ascii="Arial" w:cs="Arial" w:eastAsia="Arial" w:hAnsi="Arial"/>
          <w:b/>
          <w:bCs/>
          <w:color w:val="1A2340"/>
          <w:sz w:val="20"/>
          <w:szCs w:val="20"/>
        </w:rPr>
        <w:t xml:space="preserve">Model Updates Without Notice: </w:t>
      </w:r>
      <w:r>
        <w:rPr>
          <w:rFonts w:ascii="Arial" w:cs="Arial" w:eastAsia="Arial" w:hAnsi="Arial"/>
          <w:color w:val="1A2340"/>
          <w:sz w:val="20"/>
          <w:szCs w:val="20"/>
        </w:rPr>
        <w:t xml:space="preserve">Vendors may update underlying AI models without notice, potentially changing the behavior, accuracy, or risk profile of the tool. Approved use cases must be periodically reassessed to reflect model changes.</w:t>
      </w:r>
    </w:p>
    <w:p>
      <w:pPr>
        <w:spacing w:after="160" w:before="0"/>
      </w:pPr>
      <w:r>
        <w:t xml:space="preserve"/>
      </w:r>
    </w:p>
    <w:p>
      <w:pPr>
        <w:pStyle w:val="Heading2"/>
        <w:spacing w:after="80" w:before="240"/>
      </w:pPr>
      <w:r>
        <w:rPr>
          <w:rFonts w:ascii="Arial" w:cs="Arial" w:eastAsia="Arial" w:hAnsi="Arial"/>
          <w:b/>
          <w:bCs/>
          <w:color w:val="152168"/>
          <w:sz w:val="22"/>
          <w:szCs w:val="22"/>
        </w:rPr>
        <w:t xml:space="preserve">6.4 AI Risk Register</w:t>
      </w:r>
    </w:p>
    <w:p>
      <w:pPr>
        <w:spacing w:after="120" w:before="40"/>
      </w:pPr>
      <w:r>
        <w:rPr>
          <w:rFonts w:ascii="Arial" w:cs="Arial" w:eastAsia="Arial" w:hAnsi="Arial"/>
          <w:i/>
          <w:iCs/>
          <w:color w:val="5A6A8A"/>
          <w:sz w:val="16"/>
          <w:szCs w:val="16"/>
        </w:rPr>
        <w:t xml:space="preserve">ISO 42001 Ref: 6.1.2 Risk register  |  NIST AI RMF Ref: GOVERN 1.4, MANAGE 1.3</w:t>
      </w:r>
    </w:p>
    <w:p>
      <w:pPr>
        <w:spacing w:after="100" w:before="60"/>
      </w:pPr>
      <w:r>
        <w:rPr>
          <w:rFonts w:ascii="Arial" w:cs="Arial" w:eastAsia="Arial" w:hAnsi="Arial"/>
          <w:color w:val="1A2340"/>
          <w:sz w:val="20"/>
          <w:szCs w:val="20"/>
        </w:rPr>
        <w:t xml:space="preserve">The organization must maintain an AI Risk Register as the central record of all identified AI risks. The register must be maintained by the CISO/vCISO, reviewed quarterly by the AIGC, and updated within 10 business days of any material change. The mandatory fields for each register entry are: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6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Use Case ID</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 unique identifier for the AI use case (e.g., UC-001).</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Tool</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Tier 1 AI tool used in this use case (e.g., Microsoft Copilot, ChatGPT Enterprise).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Department</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department or team using the AI tool for this use case.</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Risk Description</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 plain-language description of the risk, including the risk source, the potential event, and the expected consequence.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Likelihood (1-5)</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rated probability of the risk event occurring (1=Rare, 5=Almost Certain).</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Impact (1-5)</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rated severity of consequences if the risk event occurs (1=Negligible, 5=Catastrophic).</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Risk Rating</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composite risk rating (Critical/High/Medium/Low) from the 5x5 matrix.</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Current Controls</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 description of controls currently in place that reduce the inherent risk.</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Residual Risk</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estimated risk level remaining after current controls, rated using the same scale.</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Risk Owner</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named individual accountable for managing this risk and ensuring controls are maintained.</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Last Reviewed</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date on which this risk entry was most recently reviewed and validated.</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Status</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Current treatment status: Open / In Treatment / Accepted / Closed.</w:t>
            </w:r>
          </w:p>
        </w:tc>
      </w:tr>
    </w:tbl>
    <w:p>
      <w:pPr>
        <w:spacing w:after="160" w:before="0"/>
      </w:pPr>
      <w:r>
        <w:t xml:space="preserve"/>
      </w:r>
    </w:p>
    <w:p>
      <w:pPr>
        <w:pStyle w:val="Heading2"/>
        <w:spacing w:after="80" w:before="240"/>
      </w:pPr>
      <w:r>
        <w:rPr>
          <w:rFonts w:ascii="Arial" w:cs="Arial" w:eastAsia="Arial" w:hAnsi="Arial"/>
          <w:b/>
          <w:bCs/>
          <w:color w:val="152168"/>
          <w:sz w:val="22"/>
          <w:szCs w:val="22"/>
        </w:rPr>
        <w:t xml:space="preserve">6.5 Risk Treatment Options</w:t>
      </w:r>
    </w:p>
    <w:p>
      <w:pPr>
        <w:spacing w:after="120" w:before="40"/>
      </w:pPr>
      <w:r>
        <w:rPr>
          <w:rFonts w:ascii="Arial" w:cs="Arial" w:eastAsia="Arial" w:hAnsi="Arial"/>
          <w:i/>
          <w:iCs/>
          <w:color w:val="5A6A8A"/>
          <w:sz w:val="16"/>
          <w:szCs w:val="16"/>
        </w:rPr>
        <w:t xml:space="preserve">ISO 42001 Ref: 6.1.3 Risk treatment  |  NIST AI RMF Ref: MANAGE 2.2, MANAGE 3.1</w:t>
      </w:r>
    </w:p>
    <w:p>
      <w:pPr>
        <w:spacing w:after="100" w:before="60"/>
      </w:pPr>
      <w:r>
        <w:rPr>
          <w:rFonts w:ascii="Arial" w:cs="Arial" w:eastAsia="Arial" w:hAnsi="Arial"/>
          <w:color w:val="1A2340"/>
          <w:sz w:val="20"/>
          <w:szCs w:val="20"/>
        </w:rPr>
        <w:t xml:space="preserve">Upon identifying and rating an AI risk, the Risk Owner must select an appropriate treatment option:</w:t>
      </w:r>
    </w:p>
    <w:p>
      <w:pPr>
        <w:pStyle w:val="ListParagraph"/>
        <w:numPr>
          <w:ilvl w:val="0"/>
          <w:numId w:val="2"/>
        </w:numPr>
        <w:spacing w:after="60" w:before="40"/>
      </w:pPr>
      <w:r>
        <w:rPr>
          <w:rFonts w:ascii="Arial" w:cs="Arial" w:eastAsia="Arial" w:hAnsi="Arial"/>
          <w:b/>
          <w:bCs/>
          <w:color w:val="1A2340"/>
          <w:sz w:val="20"/>
          <w:szCs w:val="20"/>
        </w:rPr>
        <w:t xml:space="preserve">Mitigate: </w:t>
      </w:r>
      <w:r>
        <w:rPr>
          <w:rFonts w:ascii="Arial" w:cs="Arial" w:eastAsia="Arial" w:hAnsi="Arial"/>
          <w:color w:val="1A2340"/>
          <w:sz w:val="20"/>
          <w:szCs w:val="20"/>
        </w:rPr>
        <w:t xml:space="preserve">Apply controls to reduce the likelihood of the risk event occurring, the impact if it does occur, or both. Mitigation is the preferred treatment for High and Critical risks.</w:t>
      </w:r>
    </w:p>
    <w:p>
      <w:pPr>
        <w:pStyle w:val="ListParagraph"/>
        <w:numPr>
          <w:ilvl w:val="0"/>
          <w:numId w:val="2"/>
        </w:numPr>
        <w:spacing w:after="60" w:before="40"/>
      </w:pPr>
      <w:r>
        <w:rPr>
          <w:rFonts w:ascii="Arial" w:cs="Arial" w:eastAsia="Arial" w:hAnsi="Arial"/>
          <w:b/>
          <w:bCs/>
          <w:color w:val="1A2340"/>
          <w:sz w:val="20"/>
          <w:szCs w:val="20"/>
        </w:rPr>
        <w:t xml:space="preserve">Transfer: </w:t>
      </w:r>
      <w:r>
        <w:rPr>
          <w:rFonts w:ascii="Arial" w:cs="Arial" w:eastAsia="Arial" w:hAnsi="Arial"/>
          <w:color w:val="1A2340"/>
          <w:sz w:val="20"/>
          <w:szCs w:val="20"/>
        </w:rPr>
        <w:t xml:space="preserve">Shift the financial consequences of the risk to a third party, typically through cyber insurance or contractual indemnification. Transfer does not remove the risk itself and is typically used in conjunction with mitigation.</w:t>
      </w:r>
    </w:p>
    <w:p>
      <w:pPr>
        <w:pStyle w:val="ListParagraph"/>
        <w:numPr>
          <w:ilvl w:val="0"/>
          <w:numId w:val="2"/>
        </w:numPr>
        <w:spacing w:after="60" w:before="40"/>
      </w:pPr>
      <w:r>
        <w:rPr>
          <w:rFonts w:ascii="Arial" w:cs="Arial" w:eastAsia="Arial" w:hAnsi="Arial"/>
          <w:b/>
          <w:bCs/>
          <w:color w:val="1A2340"/>
          <w:sz w:val="20"/>
          <w:szCs w:val="20"/>
        </w:rPr>
        <w:t xml:space="preserve">Avoid: </w:t>
      </w:r>
      <w:r>
        <w:rPr>
          <w:rFonts w:ascii="Arial" w:cs="Arial" w:eastAsia="Arial" w:hAnsi="Arial"/>
          <w:color w:val="1A2340"/>
          <w:sz w:val="20"/>
          <w:szCs w:val="20"/>
        </w:rPr>
        <w:t xml:space="preserve">Discontinue or decline to proceed with the AI use case that gives rise to the risk. Avoidance is appropriate where the inherent risk cannot be reduced to within appetite through practicable controls.</w:t>
      </w:r>
    </w:p>
    <w:p>
      <w:pPr>
        <w:pStyle w:val="ListParagraph"/>
        <w:numPr>
          <w:ilvl w:val="0"/>
          <w:numId w:val="2"/>
        </w:numPr>
        <w:spacing w:after="60" w:before="40"/>
      </w:pPr>
      <w:r>
        <w:rPr>
          <w:rFonts w:ascii="Arial" w:cs="Arial" w:eastAsia="Arial" w:hAnsi="Arial"/>
          <w:b/>
          <w:bCs/>
          <w:color w:val="1A2340"/>
          <w:sz w:val="20"/>
          <w:szCs w:val="20"/>
        </w:rPr>
        <w:t xml:space="preserve">Accept: </w:t>
      </w:r>
      <w:r>
        <w:rPr>
          <w:rFonts w:ascii="Arial" w:cs="Arial" w:eastAsia="Arial" w:hAnsi="Arial"/>
          <w:color w:val="1A2340"/>
          <w:sz w:val="20"/>
          <w:szCs w:val="20"/>
        </w:rPr>
        <w:t xml:space="preserve">Formally acknowledge the risk and decide to proceed without additional controls. Acceptance is appropriate only for Low residual risks, and for Medium residual risks with explicit CISO/vCISO documentation. High and Critical residual risks may be accepted only by the AIGC, with a time limit and a mandatory review trigger.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Residual Risk</w:t>
            </w:r>
          </w:p>
        </w:tc>
        <w:tc>
          <w:tcPr>
            <w:tcW w:type="dxa" w:w="3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Preferred Treatment</w:t>
            </w:r>
          </w:p>
        </w:tc>
        <w:tc>
          <w:tcPr>
            <w:tcW w:type="dxa" w:w="3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Permitted?</w:t>
            </w:r>
          </w:p>
        </w:tc>
      </w:tr>
      <w:tr>
        <w:tc>
          <w:tcPr>
            <w:tcW w:type="dxa" w:w="144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bCs/>
                <w:color w:val="9C0006"/>
                <w:sz w:val="18"/>
                <w:szCs w:val="18"/>
              </w:rPr>
              <w:t xml:space="preserve">Critical</w:t>
            </w:r>
          </w:p>
        </w:tc>
        <w:tc>
          <w:tcPr>
            <w:tcW w:type="dxa" w:w="396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Avoid or Mitigate to High before deployment</w:t>
            </w:r>
          </w:p>
        </w:tc>
        <w:tc>
          <w:tcPr>
            <w:tcW w:type="dxa" w:w="396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No - use case must be redesigned or abandoned</w:t>
            </w:r>
          </w:p>
        </w:tc>
      </w:tr>
      <w:tr>
        <w:tc>
          <w:tcPr>
            <w:tcW w:type="dxa" w:w="144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bCs/>
                <w:color w:val="7B3700"/>
                <w:sz w:val="18"/>
                <w:szCs w:val="18"/>
              </w:rPr>
              <w:t xml:space="preserve">High</w:t>
            </w:r>
          </w:p>
        </w:tc>
        <w:tc>
          <w:tcPr>
            <w:tcW w:type="dxa" w:w="396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val="false"/>
                <w:bCs w:val="false"/>
                <w:color w:val="7B3700"/>
                <w:sz w:val="18"/>
                <w:szCs w:val="18"/>
              </w:rPr>
              <w:t xml:space="preserve">Mitigate + Transfer (insurance)</w:t>
            </w:r>
          </w:p>
        </w:tc>
        <w:tc>
          <w:tcPr>
            <w:tcW w:type="dxa" w:w="396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val="false"/>
                <w:bCs w:val="false"/>
                <w:color w:val="7B3700"/>
                <w:sz w:val="18"/>
                <w:szCs w:val="18"/>
              </w:rPr>
              <w:t xml:space="preserve">AIGC approval required; annual renewal</w:t>
            </w:r>
          </w:p>
        </w:tc>
      </w:tr>
      <w:tr>
        <w:tc>
          <w:tcPr>
            <w:tcW w:type="dxa" w:w="14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bCs/>
                <w:color w:val="1A2340"/>
                <w:sz w:val="18"/>
                <w:szCs w:val="18"/>
              </w:rPr>
              <w:t xml:space="preserve">Medium</w:t>
            </w:r>
          </w:p>
        </w:tc>
        <w:tc>
          <w:tcPr>
            <w:tcW w:type="dxa" w:w="3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Mitigate; document residual risk</w:t>
            </w:r>
          </w:p>
        </w:tc>
        <w:tc>
          <w:tcPr>
            <w:tcW w:type="dxa" w:w="3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CISO/vCISO approval; 12-month review</w:t>
            </w:r>
          </w:p>
        </w:tc>
      </w:tr>
      <w:tr>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center"/>
          </w:tcPr>
          <w:p>
            <w:pPr>
              <w:jc w:val="left"/>
            </w:pPr>
            <w:r>
              <w:rPr>
                <w:rFonts w:ascii="Arial" w:cs="Arial" w:eastAsia="Arial" w:hAnsi="Arial"/>
                <w:b/>
                <w:bCs/>
                <w:color w:val="1A2340"/>
                <w:sz w:val="18"/>
                <w:szCs w:val="18"/>
              </w:rPr>
              <w:t xml:space="preserve">Low</w:t>
            </w:r>
          </w:p>
        </w:tc>
        <w:tc>
          <w:tcPr>
            <w:tcW w:type="dxa" w:w="3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Accept with monitoring</w:t>
            </w:r>
          </w:p>
        </w:tc>
        <w:tc>
          <w:tcPr>
            <w:tcW w:type="dxa" w:w="3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AI System Owner approval</w:t>
            </w:r>
          </w:p>
        </w:tc>
      </w:tr>
    </w:tbl>
    <w:p>
      <w:pPr>
        <w:spacing w:after="160" w:before="0"/>
      </w:pPr>
      <w:r>
        <w:t xml:space="preserve"/>
      </w:r>
    </w:p>
    <w:p>
      <w:pPr>
        <w:pStyle w:val="Heading2"/>
        <w:spacing w:after="80" w:before="240"/>
      </w:pPr>
      <w:r>
        <w:rPr>
          <w:rFonts w:ascii="Arial" w:cs="Arial" w:eastAsia="Arial" w:hAnsi="Arial"/>
          <w:b/>
          <w:bCs/>
          <w:color w:val="152168"/>
          <w:sz w:val="22"/>
          <w:szCs w:val="22"/>
        </w:rPr>
        <w:t xml:space="preserve">6.6 Risk Acceptance</w:t>
      </w:r>
    </w:p>
    <w:p>
      <w:pPr>
        <w:spacing w:after="120" w:before="40"/>
      </w:pPr>
      <w:r>
        <w:rPr>
          <w:rFonts w:ascii="Arial" w:cs="Arial" w:eastAsia="Arial" w:hAnsi="Arial"/>
          <w:i/>
          <w:iCs/>
          <w:color w:val="5A6A8A"/>
          <w:sz w:val="16"/>
          <w:szCs w:val="16"/>
        </w:rPr>
        <w:t xml:space="preserve">ISO 42001 Ref: 6.1.3 Risk treatment, 9.1 Monitoring  |  NIST AI RMF Ref: MANAGE 4.2</w:t>
      </w:r>
    </w:p>
    <w:p>
      <w:pPr>
        <w:spacing w:after="100" w:before="60"/>
      </w:pPr>
      <w:r>
        <w:rPr>
          <w:rFonts w:ascii="Arial" w:cs="Arial" w:eastAsia="Arial" w:hAnsi="Arial"/>
          <w:color w:val="1A2340"/>
          <w:sz w:val="20"/>
          <w:szCs w:val="20"/>
        </w:rPr>
        <w:t xml:space="preserve">Where a risk cannot be fully mitigated or avoided, the organization may formally accept the residual risk. The following conditions must be met for a valid risk acceptance:</w:t>
      </w:r>
    </w:p>
    <w:p>
      <w:pPr>
        <w:pStyle w:val="ListParagraph"/>
        <w:numPr>
          <w:ilvl w:val="0"/>
          <w:numId w:val="2"/>
        </w:numPr>
        <w:spacing w:after="60" w:before="40"/>
      </w:pPr>
      <w:r>
        <w:rPr>
          <w:rFonts w:ascii="Arial" w:cs="Arial" w:eastAsia="Arial" w:hAnsi="Arial"/>
          <w:color w:val="1A2340"/>
          <w:sz w:val="20"/>
          <w:szCs w:val="20"/>
        </w:rPr>
        <w:t xml:space="preserve">The residual risk has been explicitly assessed and documented in the AI Risk Register.</w:t>
      </w:r>
    </w:p>
    <w:p>
      <w:pPr>
        <w:pStyle w:val="ListParagraph"/>
        <w:numPr>
          <w:ilvl w:val="0"/>
          <w:numId w:val="2"/>
        </w:numPr>
        <w:spacing w:after="60" w:before="40"/>
      </w:pPr>
      <w:r>
        <w:rPr>
          <w:rFonts w:ascii="Arial" w:cs="Arial" w:eastAsia="Arial" w:hAnsi="Arial"/>
          <w:color w:val="1A2340"/>
          <w:sz w:val="20"/>
          <w:szCs w:val="20"/>
        </w:rPr>
        <w:t xml:space="preserve">The Risk Owner has confirmed that no practicable mitigation remains unimplemented.</w:t>
      </w:r>
    </w:p>
    <w:p>
      <w:pPr>
        <w:pStyle w:val="ListParagraph"/>
        <w:numPr>
          <w:ilvl w:val="0"/>
          <w:numId w:val="2"/>
        </w:numPr>
        <w:spacing w:after="60" w:before="40"/>
      </w:pPr>
      <w:r>
        <w:rPr>
          <w:rFonts w:ascii="Arial" w:cs="Arial" w:eastAsia="Arial" w:hAnsi="Arial"/>
          <w:color w:val="1A2340"/>
          <w:sz w:val="20"/>
          <w:szCs w:val="20"/>
        </w:rPr>
        <w:t xml:space="preserve">The acceptance has been approved at the appropriate level (AI System Owner for Low; CISO/vCISO for Medium; AIGC for High or Critical).</w:t>
      </w:r>
    </w:p>
    <w:p>
      <w:pPr>
        <w:pStyle w:val="ListParagraph"/>
        <w:numPr>
          <w:ilvl w:val="0"/>
          <w:numId w:val="2"/>
        </w:numPr>
        <w:spacing w:after="60" w:before="40"/>
      </w:pPr>
      <w:r>
        <w:rPr>
          <w:rFonts w:ascii="Arial" w:cs="Arial" w:eastAsia="Arial" w:hAnsi="Arial"/>
          <w:color w:val="1A2340"/>
          <w:sz w:val="20"/>
          <w:szCs w:val="20"/>
        </w:rPr>
        <w:t xml:space="preserve">The acceptance is time-bounded - no acceptance is open-ended. Maximum acceptance periods: Low: 24 months; Medium: 12 months; High: 6 months.</w:t>
      </w:r>
    </w:p>
    <w:p>
      <w:pPr>
        <w:pStyle w:val="ListParagraph"/>
        <w:numPr>
          <w:ilvl w:val="0"/>
          <w:numId w:val="2"/>
        </w:numPr>
        <w:spacing w:after="60" w:before="40"/>
      </w:pPr>
      <w:r>
        <w:rPr>
          <w:rFonts w:ascii="Arial" w:cs="Arial" w:eastAsia="Arial" w:hAnsi="Arial"/>
          <w:color w:val="1A2340"/>
          <w:sz w:val="20"/>
          <w:szCs w:val="20"/>
        </w:rPr>
        <w:t xml:space="preserve">A trigger event list has been defined - specific events (e.g., a vendor breach, a regulatory change) that would require the acceptance to be reviewed before its expiry.</w:t>
      </w:r>
    </w:p>
    <w:p>
      <w:pPr>
        <w:pStyle w:val="ListParagraph"/>
        <w:numPr>
          <w:ilvl w:val="0"/>
          <w:numId w:val="2"/>
        </w:numPr>
        <w:spacing w:after="60" w:before="40"/>
      </w:pPr>
      <w:r>
        <w:rPr>
          <w:rFonts w:ascii="Arial" w:cs="Arial" w:eastAsia="Arial" w:hAnsi="Arial"/>
          <w:color w:val="1A2340"/>
          <w:sz w:val="20"/>
          <w:szCs w:val="20"/>
        </w:rPr>
        <w:t xml:space="preserve">The acceptance is documented in the AI Risk Register with the approver's name, date, rationale, and expiry date.</w:t>
      </w:r>
    </w:p>
    <w:p>
      <w:pPr>
        <w:spacing w:after="100" w:before="60"/>
      </w:pPr>
      <w:r>
        <w:rPr>
          <w:rFonts w:ascii="Arial" w:cs="Arial" w:eastAsia="Arial" w:hAnsi="Arial"/>
          <w:color w:val="1A2340"/>
          <w:sz w:val="20"/>
          <w:szCs w:val="20"/>
        </w:rPr>
        <w:t xml:space="preserve">AIGC sign-off for High and Critical risk acceptances will be documented in AIGC meeting minutes.</w:t>
      </w:r>
    </w:p>
    <w:p>
      <w:pPr>
        <w:spacing w:after="160" w:before="0"/>
      </w:pPr>
      <w:r>
        <w:t xml:space="preserve"/>
      </w:r>
    </w:p>
    <w:p>
      <w:pPr>
        <w:pStyle w:val="Heading2"/>
        <w:spacing w:after="80" w:before="240"/>
      </w:pPr>
      <w:r>
        <w:rPr>
          <w:rFonts w:ascii="Arial" w:cs="Arial" w:eastAsia="Arial" w:hAnsi="Arial"/>
          <w:b/>
          <w:bCs/>
          <w:color w:val="152168"/>
          <w:sz w:val="22"/>
          <w:szCs w:val="22"/>
        </w:rPr>
        <w:t xml:space="preserve">6.7 Vendor Risk Considerations for Tier 1 Tools</w:t>
      </w:r>
    </w:p>
    <w:p>
      <w:pPr>
        <w:spacing w:after="120" w:before="40"/>
      </w:pPr>
      <w:r>
        <w:rPr>
          <w:rFonts w:ascii="Arial" w:cs="Arial" w:eastAsia="Arial" w:hAnsi="Arial"/>
          <w:i/>
          <w:iCs/>
          <w:color w:val="5A6A8A"/>
          <w:sz w:val="16"/>
          <w:szCs w:val="16"/>
        </w:rPr>
        <w:t xml:space="preserve">ISO 42001 Ref: 8.6 Supply chain, 8.7 Third-party AI  |  NIST AI RMF Ref: GOVERN 6.1, GOVERN 6.2</w:t>
      </w:r>
    </w:p>
    <w:p>
      <w:pPr>
        <w:spacing w:after="100" w:before="60"/>
      </w:pPr>
      <w:r>
        <w:rPr>
          <w:rFonts w:ascii="Arial" w:cs="Arial" w:eastAsia="Arial" w:hAnsi="Arial"/>
          <w:color w:val="1A2340"/>
          <w:sz w:val="20"/>
          <w:szCs w:val="20"/>
        </w:rPr>
        <w:t xml:space="preserve">The CISO/vCISO must conduct an annual vendor review for each Tier 1 AI tool in use. The review must address the following: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Review Item</w:t>
            </w:r>
          </w:p>
        </w:tc>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Evidence Required</w:t>
            </w:r>
          </w:p>
        </w:tc>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Frequency</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SOC 2 Type II report (or equivalent)</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Current report from vendor</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color w:val="1A2340"/>
                <w:sz w:val="18"/>
                <w:szCs w:val="18"/>
              </w:rPr>
              <w:t xml:space="preserve">Annual</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Data Processing Agreement (DPA)</w:t>
            </w:r>
          </w:p>
        </w:tc>
        <w:tc>
          <w:tcPr>
            <w:tcW w:type="dxa" w:w="23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Signed DPA on file; reviewed for scope and data categories</w:t>
            </w:r>
          </w:p>
        </w:tc>
        <w:tc>
          <w:tcPr>
            <w:tcW w:type="dxa" w:w="23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color w:val="1A2340"/>
                <w:sz w:val="18"/>
                <w:szCs w:val="18"/>
              </w:rPr>
              <w:t xml:space="preserve">Annual or on change</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No-training-on-data commitment</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Explicit contractual or product documentation confirmation</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color w:val="1A2340"/>
                <w:sz w:val="18"/>
                <w:szCs w:val="18"/>
              </w:rPr>
              <w:t xml:space="preserve">Annual</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Data residency and storage location</w:t>
            </w:r>
          </w:p>
        </w:tc>
        <w:tc>
          <w:tcPr>
            <w:tcW w:type="dxa" w:w="23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Documented in vendor DPA or supplementary disclosure</w:t>
            </w:r>
          </w:p>
        </w:tc>
        <w:tc>
          <w:tcPr>
            <w:tcW w:type="dxa" w:w="23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color w:val="1A2340"/>
                <w:sz w:val="18"/>
                <w:szCs w:val="18"/>
              </w:rPr>
              <w:t xml:space="preserve">Annual</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Breach notification SLA</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Contractual commitment to notify within defined period (e.g., 72 hours)</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color w:val="1A2340"/>
                <w:sz w:val="18"/>
                <w:szCs w:val="18"/>
              </w:rPr>
              <w:t xml:space="preserve">Annual</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Subprocessor transparency</w:t>
            </w:r>
          </w:p>
        </w:tc>
        <w:tc>
          <w:tcPr>
            <w:tcW w:type="dxa" w:w="23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Vendor's published subprocessor list reviewed and accepted</w:t>
            </w:r>
          </w:p>
        </w:tc>
        <w:tc>
          <w:tcPr>
            <w:tcW w:type="dxa" w:w="23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color w:val="1A2340"/>
                <w:sz w:val="18"/>
                <w:szCs w:val="18"/>
              </w:rPr>
              <w:t xml:space="preserve">Annual or on change</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AI-specific security controls</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Vendor's published AI security documentation (model access controls, prompt injection mitigations)</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color w:val="1A2340"/>
                <w:sz w:val="18"/>
                <w:szCs w:val="18"/>
              </w:rPr>
              <w:t xml:space="preserve">Annual</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Regulatory compliance posture</w:t>
            </w:r>
          </w:p>
        </w:tc>
        <w:tc>
          <w:tcPr>
            <w:tcW w:type="dxa" w:w="23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Vendor documentation on GDPR, PIPEDA, CCPA, or applicable regional compliance</w:t>
            </w:r>
          </w:p>
        </w:tc>
        <w:tc>
          <w:tcPr>
            <w:tcW w:type="dxa" w:w="23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color w:val="1A2340"/>
                <w:sz w:val="18"/>
                <w:szCs w:val="18"/>
              </w:rPr>
              <w:t xml:space="preserve">Annual</w:t>
            </w:r>
          </w:p>
        </w:tc>
      </w:tr>
    </w:tbl>
    <w:p>
      <w:pPr>
        <w:spacing w:after="160" w:before="0"/>
      </w:pPr>
      <w:r>
        <w:t xml:space="preserve"/>
      </w:r>
    </w:p>
    <w:p>
      <w:pPr>
        <w:pStyle w:val="Heading2"/>
        <w:spacing w:after="80" w:before="240"/>
      </w:pPr>
      <w:r>
        <w:rPr>
          <w:rFonts w:ascii="Arial" w:cs="Arial" w:eastAsia="Arial" w:hAnsi="Arial"/>
          <w:b/>
          <w:bCs/>
          <w:color w:val="152168"/>
          <w:sz w:val="22"/>
          <w:szCs w:val="22"/>
        </w:rPr>
        <w:t xml:space="preserve">6.8 Monitoring and Review</w:t>
      </w:r>
    </w:p>
    <w:p>
      <w:pPr>
        <w:spacing w:after="120" w:before="40"/>
      </w:pPr>
      <w:r>
        <w:rPr>
          <w:rFonts w:ascii="Arial" w:cs="Arial" w:eastAsia="Arial" w:hAnsi="Arial"/>
          <w:i/>
          <w:iCs/>
          <w:color w:val="5A6A8A"/>
          <w:sz w:val="16"/>
          <w:szCs w:val="16"/>
        </w:rPr>
        <w:t xml:space="preserve">ISO 42001 Ref: 9.1 Monitoring, measurement, analysis and evaluation  |  NIST AI RMF Ref: MEASURE 2.5, MANAGE 4.1</w:t>
      </w:r>
    </w:p>
    <w:p>
      <w:pPr>
        <w:spacing w:after="100" w:before="60"/>
      </w:pPr>
      <w:r>
        <w:rPr>
          <w:rFonts w:ascii="Arial" w:cs="Arial" w:eastAsia="Arial" w:hAnsi="Arial"/>
          <w:color w:val="1A2340"/>
          <w:sz w:val="20"/>
          <w:szCs w:val="20"/>
        </w:rPr>
        <w:t xml:space="preserve">AI risk management is a continuous process. The organization will monitor AI risks and review the AI Risk Register on the following cadence:</w:t>
      </w:r>
    </w:p>
    <w:p>
      <w:pPr>
        <w:pStyle w:val="ListParagraph"/>
        <w:numPr>
          <w:ilvl w:val="0"/>
          <w:numId w:val="2"/>
        </w:numPr>
        <w:spacing w:after="60" w:before="40"/>
      </w:pPr>
      <w:r>
        <w:rPr>
          <w:rFonts w:ascii="Arial" w:cs="Arial" w:eastAsia="Arial" w:hAnsi="Arial"/>
          <w:color w:val="1A2340"/>
          <w:sz w:val="20"/>
          <w:szCs w:val="20"/>
        </w:rPr>
        <w:t xml:space="preserve">Quarterly review of the AI Risk Register by the CISO/vCISO, with summary report to the AIGC.</w:t>
      </w:r>
    </w:p>
    <w:p>
      <w:pPr>
        <w:pStyle w:val="ListParagraph"/>
        <w:numPr>
          <w:ilvl w:val="0"/>
          <w:numId w:val="2"/>
        </w:numPr>
        <w:spacing w:after="60" w:before="40"/>
      </w:pPr>
      <w:r>
        <w:rPr>
          <w:rFonts w:ascii="Arial" w:cs="Arial" w:eastAsia="Arial" w:hAnsi="Arial"/>
          <w:color w:val="1A2340"/>
          <w:sz w:val="20"/>
          <w:szCs w:val="20"/>
        </w:rPr>
        <w:t xml:space="preserve">Annual review of this policy and the organizational risk appetite statement.</w:t>
      </w:r>
    </w:p>
    <w:p>
      <w:pPr>
        <w:pStyle w:val="ListParagraph"/>
        <w:numPr>
          <w:ilvl w:val="0"/>
          <w:numId w:val="2"/>
        </w:numPr>
        <w:spacing w:after="60" w:before="40"/>
      </w:pPr>
      <w:r>
        <w:rPr>
          <w:rFonts w:ascii="Arial" w:cs="Arial" w:eastAsia="Arial" w:hAnsi="Arial"/>
          <w:color w:val="1A2340"/>
          <w:sz w:val="20"/>
          <w:szCs w:val="20"/>
        </w:rPr>
        <w:t xml:space="preserve">Annual vendor review for each Tier 1 AI tool (Section 6.7).</w:t>
      </w:r>
    </w:p>
    <w:p>
      <w:pPr>
        <w:spacing w:after="80" w:before="0"/>
      </w:pPr>
      <w:r>
        <w:t xml:space="preserve"/>
      </w:r>
    </w:p>
    <w:p>
      <w:pPr>
        <w:spacing w:after="100" w:before="60"/>
      </w:pPr>
      <w:r>
        <w:rPr>
          <w:rFonts w:ascii="Arial" w:cs="Arial" w:eastAsia="Arial" w:hAnsi="Arial"/>
          <w:color w:val="1A2340"/>
          <w:sz w:val="20"/>
          <w:szCs w:val="20"/>
        </w:rPr>
        <w:t xml:space="preserve">In addition to scheduled reviews, the following trigger events require an immediate risk reassessment:</w:t>
      </w:r>
    </w:p>
    <w:p>
      <w:pPr>
        <w:pStyle w:val="ListParagraph"/>
        <w:numPr>
          <w:ilvl w:val="0"/>
          <w:numId w:val="2"/>
        </w:numPr>
        <w:spacing w:after="60" w:before="40"/>
      </w:pPr>
      <w:r>
        <w:rPr>
          <w:rFonts w:ascii="Arial" w:cs="Arial" w:eastAsia="Arial" w:hAnsi="Arial"/>
          <w:b/>
          <w:bCs/>
          <w:color w:val="1A2340"/>
          <w:sz w:val="20"/>
          <w:szCs w:val="20"/>
        </w:rPr>
        <w:t xml:space="preserve">Vendor security incident: </w:t>
      </w:r>
      <w:r>
        <w:rPr>
          <w:rFonts w:ascii="Arial" w:cs="Arial" w:eastAsia="Arial" w:hAnsi="Arial"/>
          <w:color w:val="1A2340"/>
          <w:sz w:val="20"/>
          <w:szCs w:val="20"/>
        </w:rPr>
        <w:t xml:space="preserve">Any reported breach, data exposure, or security incident affecting a Tier 1 AI vendor.</w:t>
      </w:r>
    </w:p>
    <w:p>
      <w:pPr>
        <w:pStyle w:val="ListParagraph"/>
        <w:numPr>
          <w:ilvl w:val="0"/>
          <w:numId w:val="2"/>
        </w:numPr>
        <w:spacing w:after="60" w:before="40"/>
      </w:pPr>
      <w:r>
        <w:rPr>
          <w:rFonts w:ascii="Arial" w:cs="Arial" w:eastAsia="Arial" w:hAnsi="Arial"/>
          <w:b/>
          <w:bCs/>
          <w:color w:val="1A2340"/>
          <w:sz w:val="20"/>
          <w:szCs w:val="20"/>
        </w:rPr>
        <w:t xml:space="preserve">Material vendor change: </w:t>
      </w:r>
      <w:r>
        <w:rPr>
          <w:rFonts w:ascii="Arial" w:cs="Arial" w:eastAsia="Arial" w:hAnsi="Arial"/>
          <w:color w:val="1A2340"/>
          <w:sz w:val="20"/>
          <w:szCs w:val="20"/>
        </w:rPr>
        <w:t xml:space="preserve">Changes to vendor data handling policies, model architecture, subprocessors, or terms of service.</w:t>
      </w:r>
    </w:p>
    <w:p>
      <w:pPr>
        <w:pStyle w:val="ListParagraph"/>
        <w:numPr>
          <w:ilvl w:val="0"/>
          <w:numId w:val="2"/>
        </w:numPr>
        <w:spacing w:after="60" w:before="40"/>
      </w:pPr>
      <w:r>
        <w:rPr>
          <w:rFonts w:ascii="Arial" w:cs="Arial" w:eastAsia="Arial" w:hAnsi="Arial"/>
          <w:b/>
          <w:bCs/>
          <w:color w:val="1A2340"/>
          <w:sz w:val="20"/>
          <w:szCs w:val="20"/>
        </w:rPr>
        <w:t xml:space="preserve">Regulatory change: </w:t>
      </w:r>
      <w:r>
        <w:rPr>
          <w:rFonts w:ascii="Arial" w:cs="Arial" w:eastAsia="Arial" w:hAnsi="Arial"/>
          <w:color w:val="1A2340"/>
          <w:sz w:val="20"/>
          <w:szCs w:val="20"/>
        </w:rPr>
        <w:t xml:space="preserve">New or amended regulations affecting AI use or AI-processed data in jurisdictions where the organization operates.</w:t>
      </w:r>
    </w:p>
    <w:p>
      <w:pPr>
        <w:pStyle w:val="ListParagraph"/>
        <w:numPr>
          <w:ilvl w:val="0"/>
          <w:numId w:val="2"/>
        </w:numPr>
        <w:spacing w:after="60" w:before="40"/>
      </w:pPr>
      <w:r>
        <w:rPr>
          <w:rFonts w:ascii="Arial" w:cs="Arial" w:eastAsia="Arial" w:hAnsi="Arial"/>
          <w:b/>
          <w:bCs/>
          <w:color w:val="1A2340"/>
          <w:sz w:val="20"/>
          <w:szCs w:val="20"/>
        </w:rPr>
        <w:t xml:space="preserve">Internal incident: </w:t>
      </w:r>
      <w:r>
        <w:rPr>
          <w:rFonts w:ascii="Arial" w:cs="Arial" w:eastAsia="Arial" w:hAnsi="Arial"/>
          <w:color w:val="1A2340"/>
          <w:sz w:val="20"/>
          <w:szCs w:val="20"/>
        </w:rPr>
        <w:t xml:space="preserve">Any incident in which AI-generated output contributed to an error, near-miss, data exposure, or customer harm.</w:t>
      </w:r>
    </w:p>
    <w:p>
      <w:pPr>
        <w:pStyle w:val="ListParagraph"/>
        <w:numPr>
          <w:ilvl w:val="0"/>
          <w:numId w:val="2"/>
        </w:numPr>
        <w:spacing w:after="60" w:before="40"/>
      </w:pPr>
      <w:r>
        <w:rPr>
          <w:rFonts w:ascii="Arial" w:cs="Arial" w:eastAsia="Arial" w:hAnsi="Arial"/>
          <w:b/>
          <w:bCs/>
          <w:color w:val="1A2340"/>
          <w:sz w:val="20"/>
          <w:szCs w:val="20"/>
        </w:rPr>
        <w:t xml:space="preserve">Significant expansion of use: </w:t>
      </w:r>
      <w:r>
        <w:rPr>
          <w:rFonts w:ascii="Arial" w:cs="Arial" w:eastAsia="Arial" w:hAnsi="Arial"/>
          <w:color w:val="1A2340"/>
          <w:sz w:val="20"/>
          <w:szCs w:val="20"/>
        </w:rPr>
        <w:t xml:space="preserve">Material expansion of an approved use case beyond its originally assessed parameters.</w:t>
      </w:r>
    </w:p>
    <w:p>
      <w:pPr>
        <w:spacing w:after="80" w:before="0"/>
      </w:pPr>
      <w:r>
        <w:t xml:space="preserve"/>
      </w:r>
    </w:p>
    <w:p>
      <w:pPr>
        <w:spacing w:after="100" w:before="60"/>
      </w:pPr>
      <w:r>
        <w:rPr>
          <w:rFonts w:ascii="Arial" w:cs="Arial" w:eastAsia="Arial" w:hAnsi="Arial"/>
          <w:color w:val="1A2340"/>
          <w:sz w:val="20"/>
          <w:szCs w:val="20"/>
        </w:rPr>
        <w:t xml:space="preserve">Key Risk Indicators (KRIs) tracked and reported to the AIGC quarterly: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gridCol w:w="3600"/>
      </w:tblGrid>
      <w:tr>
        <w:trPr>
          <w:tblHeader/>
        </w:trPr>
        <w:tc>
          <w:tcPr>
            <w:tcW w:type="dxa" w:w="31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KRI</w:t>
            </w:r>
          </w:p>
        </w:tc>
        <w:tc>
          <w:tcPr>
            <w:tcW w:type="dxa" w:w="26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Threshold</w:t>
            </w:r>
          </w:p>
        </w:tc>
        <w:tc>
          <w:tcPr>
            <w:tcW w:type="dxa" w:w="3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Escalation Trigger</w:t>
            </w:r>
          </w:p>
        </w:tc>
      </w:tr>
      <w:tr>
        <w:tc>
          <w:tcPr>
            <w:tcW w:type="dxa" w:w="31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Number of AI use cases rated High or Critical with open risk treatments</w:t>
            </w:r>
          </w:p>
        </w:tc>
        <w:tc>
          <w:tcPr>
            <w:tcW w:type="dxa" w:w="26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bCs/>
                <w:color w:val="1A2340"/>
                <w:sz w:val="18"/>
                <w:szCs w:val="18"/>
              </w:rPr>
              <w:t xml:space="preserve">0</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Any open High/Critical risk past treatment deadline</w:t>
            </w:r>
          </w:p>
        </w:tc>
      </w:tr>
      <w:tr>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Number of overdue risk register reviews</w:t>
            </w:r>
          </w:p>
        </w:tc>
        <w:tc>
          <w:tcPr>
            <w:tcW w:type="dxa" w:w="26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bCs/>
                <w:color w:val="1A2340"/>
                <w:sz w:val="18"/>
                <w:szCs w:val="18"/>
              </w:rPr>
              <w:t xml:space="preserve">0</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Any entry not reviewed within 12 months</w:t>
            </w:r>
          </w:p>
        </w:tc>
      </w:tr>
      <w:tr>
        <w:tc>
          <w:tcPr>
            <w:tcW w:type="dxa" w:w="31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Number of shadow AI incidents reported</w:t>
            </w:r>
          </w:p>
        </w:tc>
        <w:tc>
          <w:tcPr>
            <w:tcW w:type="dxa" w:w="26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bCs/>
                <w:color w:val="1A2340"/>
                <w:sz w:val="18"/>
                <w:szCs w:val="18"/>
              </w:rPr>
              <w:t xml:space="preserve">0</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Any confirmed use of unapproved AI tool with organizational data</w:t>
            </w:r>
          </w:p>
        </w:tc>
      </w:tr>
      <w:tr>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Number of Tier 1 vendor reviews overdue</w:t>
            </w:r>
          </w:p>
        </w:tc>
        <w:tc>
          <w:tcPr>
            <w:tcW w:type="dxa" w:w="26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bCs/>
                <w:color w:val="1A2340"/>
                <w:sz w:val="18"/>
                <w:szCs w:val="18"/>
              </w:rPr>
              <w:t xml:space="preserve">0</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Any vendor not reviewed in past 12 months</w:t>
            </w:r>
          </w:p>
        </w:tc>
      </w:tr>
      <w:tr>
        <w:tc>
          <w:tcPr>
            <w:tcW w:type="dxa" w:w="31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Number of AI-related incidents in the quarter</w:t>
            </w:r>
          </w:p>
        </w:tc>
        <w:tc>
          <w:tcPr>
            <w:tcW w:type="dxa" w:w="26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bCs/>
                <w:color w:val="1A2340"/>
                <w:sz w:val="18"/>
                <w:szCs w:val="18"/>
              </w:rPr>
              <w:t xml:space="preserve">0</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Any incident involving AI output contributing to error or data exposure</w:t>
            </w:r>
          </w:p>
        </w:tc>
      </w:tr>
      <w:tr>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Percentage of risk acceptances approaching expiry</w:t>
            </w:r>
          </w:p>
        </w:tc>
        <w:tc>
          <w:tcPr>
            <w:tcW w:type="dxa" w:w="26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bCs/>
                <w:color w:val="1A2340"/>
                <w:sz w:val="18"/>
                <w:szCs w:val="18"/>
              </w:rPr>
              <w:t xml:space="preserve">&lt; 10%</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Any High/Critical acceptance within 60 days of expiry without renewal plan</w:t>
            </w:r>
          </w:p>
        </w:tc>
      </w:tr>
    </w:tbl>
    <w:p>
      <w:pPr>
        <w:spacing w:after="160" w:before="0"/>
      </w:pPr>
      <w:r>
        <w:t xml:space="preserve"/>
      </w:r>
    </w:p>
    <w:p>
      <w:pPr>
        <w:pStyle w:val="Heading2"/>
        <w:spacing w:after="80" w:before="240"/>
      </w:pPr>
      <w:r>
        <w:rPr>
          <w:rFonts w:ascii="Arial" w:cs="Arial" w:eastAsia="Arial" w:hAnsi="Arial"/>
          <w:b/>
          <w:bCs/>
          <w:color w:val="152168"/>
          <w:sz w:val="22"/>
          <w:szCs w:val="22"/>
        </w:rPr>
        <w:t xml:space="preserve">6.9 Risk Reporting</w:t>
      </w:r>
    </w:p>
    <w:p>
      <w:pPr>
        <w:spacing w:after="120" w:before="40"/>
      </w:pPr>
      <w:r>
        <w:rPr>
          <w:rFonts w:ascii="Arial" w:cs="Arial" w:eastAsia="Arial" w:hAnsi="Arial"/>
          <w:i/>
          <w:iCs/>
          <w:color w:val="5A6A8A"/>
          <w:sz w:val="16"/>
          <w:szCs w:val="16"/>
        </w:rPr>
        <w:t xml:space="preserve">ISO 42001 Ref: 9.1 Monitoring, 9.3 Management review  |  NIST AI RMF Ref: GOVERN 5.1, GOVERN 5.2</w:t>
      </w:r>
    </w:p>
    <w:p>
      <w:pPr>
        <w:spacing w:after="100" w:before="60"/>
      </w:pPr>
      <w:r>
        <w:rPr>
          <w:rFonts w:ascii="Arial" w:cs="Arial" w:eastAsia="Arial" w:hAnsi="Arial"/>
          <w:color w:val="1A2340"/>
          <w:sz w:val="20"/>
          <w:szCs w:val="20"/>
        </w:rPr>
        <w:t xml:space="preserve">The CISO/vCISO will prepare a quarterly AI risk report for the AIGC. The report will include:</w:t>
      </w:r>
    </w:p>
    <w:p>
      <w:pPr>
        <w:pStyle w:val="ListParagraph"/>
        <w:numPr>
          <w:ilvl w:val="0"/>
          <w:numId w:val="2"/>
        </w:numPr>
        <w:spacing w:after="60" w:before="40"/>
      </w:pPr>
      <w:r>
        <w:rPr>
          <w:rFonts w:ascii="Arial" w:cs="Arial" w:eastAsia="Arial" w:hAnsi="Arial"/>
          <w:color w:val="1A2340"/>
          <w:sz w:val="20"/>
          <w:szCs w:val="20"/>
        </w:rPr>
        <w:t xml:space="preserve">Summary of the current AI Risk Register: total entries by rating, new risks added, risks closed.</w:t>
      </w:r>
    </w:p>
    <w:p>
      <w:pPr>
        <w:pStyle w:val="ListParagraph"/>
        <w:numPr>
          <w:ilvl w:val="0"/>
          <w:numId w:val="2"/>
        </w:numPr>
        <w:spacing w:after="60" w:before="40"/>
      </w:pPr>
      <w:r>
        <w:rPr>
          <w:rFonts w:ascii="Arial" w:cs="Arial" w:eastAsia="Arial" w:hAnsi="Arial"/>
          <w:color w:val="1A2340"/>
          <w:sz w:val="20"/>
          <w:szCs w:val="20"/>
        </w:rPr>
        <w:t xml:space="preserve">Status of all open risk treatments: on-track, overdue, or blocked.</w:t>
      </w:r>
    </w:p>
    <w:p>
      <w:pPr>
        <w:pStyle w:val="ListParagraph"/>
        <w:numPr>
          <w:ilvl w:val="0"/>
          <w:numId w:val="2"/>
        </w:numPr>
        <w:spacing w:after="60" w:before="40"/>
      </w:pPr>
      <w:r>
        <w:rPr>
          <w:rFonts w:ascii="Arial" w:cs="Arial" w:eastAsia="Arial" w:hAnsi="Arial"/>
          <w:color w:val="1A2340"/>
          <w:sz w:val="20"/>
          <w:szCs w:val="20"/>
        </w:rPr>
        <w:t xml:space="preserve">KRI dashboard against defined thresholds.</w:t>
      </w:r>
    </w:p>
    <w:p>
      <w:pPr>
        <w:pStyle w:val="ListParagraph"/>
        <w:numPr>
          <w:ilvl w:val="0"/>
          <w:numId w:val="2"/>
        </w:numPr>
        <w:spacing w:after="60" w:before="40"/>
      </w:pPr>
      <w:r>
        <w:rPr>
          <w:rFonts w:ascii="Arial" w:cs="Arial" w:eastAsia="Arial" w:hAnsi="Arial"/>
          <w:color w:val="1A2340"/>
          <w:sz w:val="20"/>
          <w:szCs w:val="20"/>
        </w:rPr>
        <w:t xml:space="preserve">Summary of any incidents, near-misses, or anomalies involving AI tools in the quarter.</w:t>
      </w:r>
    </w:p>
    <w:p>
      <w:pPr>
        <w:pStyle w:val="ListParagraph"/>
        <w:numPr>
          <w:ilvl w:val="0"/>
          <w:numId w:val="2"/>
        </w:numPr>
        <w:spacing w:after="60" w:before="40"/>
      </w:pPr>
      <w:r>
        <w:rPr>
          <w:rFonts w:ascii="Arial" w:cs="Arial" w:eastAsia="Arial" w:hAnsi="Arial"/>
          <w:color w:val="1A2340"/>
          <w:sz w:val="20"/>
          <w:szCs w:val="20"/>
        </w:rPr>
        <w:t xml:space="preserve">Vendor review status: outstanding reviews, material changes identified.</w:t>
      </w:r>
    </w:p>
    <w:p>
      <w:pPr>
        <w:pStyle w:val="ListParagraph"/>
        <w:numPr>
          <w:ilvl w:val="0"/>
          <w:numId w:val="2"/>
        </w:numPr>
        <w:spacing w:after="60" w:before="40"/>
      </w:pPr>
      <w:r>
        <w:rPr>
          <w:rFonts w:ascii="Arial" w:cs="Arial" w:eastAsia="Arial" w:hAnsi="Arial"/>
          <w:color w:val="1A2340"/>
          <w:sz w:val="20"/>
          <w:szCs w:val="20"/>
        </w:rPr>
        <w:t xml:space="preserve">Regulatory horizon: material AI-related regulatory developments in the quarter.</w:t>
      </w:r>
    </w:p>
    <w:p>
      <w:pPr>
        <w:pStyle w:val="ListParagraph"/>
        <w:numPr>
          <w:ilvl w:val="0"/>
          <w:numId w:val="2"/>
        </w:numPr>
        <w:spacing w:after="60" w:before="40"/>
      </w:pPr>
      <w:r>
        <w:rPr>
          <w:rFonts w:ascii="Arial" w:cs="Arial" w:eastAsia="Arial" w:hAnsi="Arial"/>
          <w:color w:val="1A2340"/>
          <w:sz w:val="20"/>
          <w:szCs w:val="20"/>
        </w:rPr>
        <w:t xml:space="preserve">Recommended actions for AIGC consideration.</w:t>
      </w:r>
    </w:p>
    <w:p>
      <w:pPr>
        <w:spacing w:after="80" w:before="0"/>
      </w:pPr>
      <w:r>
        <w:t xml:space="preserve"/>
      </w:r>
    </w:p>
    <w:p>
      <w:pPr>
        <w:spacing w:after="100" w:before="60"/>
      </w:pPr>
      <w:r>
        <w:rPr>
          <w:rFonts w:ascii="Arial" w:cs="Arial" w:eastAsia="Arial" w:hAnsi="Arial"/>
          <w:color w:val="1A2340"/>
          <w:sz w:val="20"/>
          <w:szCs w:val="20"/>
        </w:rPr>
        <w:t xml:space="preserve">Escalation thresholds - the CISO/vCISO will escalate immediately to the AIGC when:</w:t>
      </w:r>
    </w:p>
    <w:p>
      <w:pPr>
        <w:pStyle w:val="ListParagraph"/>
        <w:numPr>
          <w:ilvl w:val="0"/>
          <w:numId w:val="2"/>
        </w:numPr>
        <w:spacing w:after="60" w:before="40"/>
      </w:pPr>
      <w:r>
        <w:rPr>
          <w:rFonts w:ascii="Arial" w:cs="Arial" w:eastAsia="Arial" w:hAnsi="Arial"/>
          <w:color w:val="1A2340"/>
          <w:sz w:val="20"/>
          <w:szCs w:val="20"/>
        </w:rPr>
        <w:t xml:space="preserve">A new AI risk is rated Critical.</w:t>
      </w:r>
    </w:p>
    <w:p>
      <w:pPr>
        <w:pStyle w:val="ListParagraph"/>
        <w:numPr>
          <w:ilvl w:val="0"/>
          <w:numId w:val="2"/>
        </w:numPr>
        <w:spacing w:after="60" w:before="40"/>
      </w:pPr>
      <w:r>
        <w:rPr>
          <w:rFonts w:ascii="Arial" w:cs="Arial" w:eastAsia="Arial" w:hAnsi="Arial"/>
          <w:color w:val="1A2340"/>
          <w:sz w:val="20"/>
          <w:szCs w:val="20"/>
        </w:rPr>
        <w:t xml:space="preserve">An AI-related incident results in confirmed data exposure or regulatory notification obligation.</w:t>
      </w:r>
    </w:p>
    <w:p>
      <w:pPr>
        <w:pStyle w:val="ListParagraph"/>
        <w:numPr>
          <w:ilvl w:val="0"/>
          <w:numId w:val="2"/>
        </w:numPr>
        <w:spacing w:after="60" w:before="40"/>
      </w:pPr>
      <w:r>
        <w:rPr>
          <w:rFonts w:ascii="Arial" w:cs="Arial" w:eastAsia="Arial" w:hAnsi="Arial"/>
          <w:color w:val="1A2340"/>
          <w:sz w:val="20"/>
          <w:szCs w:val="20"/>
        </w:rPr>
        <w:t xml:space="preserve">A Tier 1 vendor suffers a confirmed security breach.</w:t>
      </w:r>
    </w:p>
    <w:p>
      <w:pPr>
        <w:pStyle w:val="ListParagraph"/>
        <w:numPr>
          <w:ilvl w:val="0"/>
          <w:numId w:val="2"/>
        </w:numPr>
        <w:spacing w:after="60" w:before="40"/>
      </w:pPr>
      <w:r>
        <w:rPr>
          <w:rFonts w:ascii="Arial" w:cs="Arial" w:eastAsia="Arial" w:hAnsi="Arial"/>
          <w:color w:val="1A2340"/>
          <w:sz w:val="20"/>
          <w:szCs w:val="20"/>
        </w:rPr>
        <w:t xml:space="preserve">Any KRI exceeds its escalation trigger.</w:t>
      </w:r>
    </w:p>
    <w:p>
      <w:pPr>
        <w:pBdr>
          <w:bottom w:val="single" w:color="DDE3EF" w:sz="4"/>
        </w:pBdr>
        <w:spacing w:after="180" w:before="180"/>
      </w:pPr>
      <w:r>
        <w:t xml:space="preserve"/>
      </w:r>
    </w:p>
    <w:p>
      <w:r>
        <w:br w:type="page"/>
      </w:r>
    </w:p>
    <w:p>
      <w:pPr>
        <w:pStyle w:val="Heading1"/>
        <w:pBdr>
          <w:bottom w:val="single" w:color="07B4D9" w:sz="6"/>
        </w:pBdr>
        <w:spacing w:after="120" w:before="360"/>
      </w:pPr>
      <w:r>
        <w:rPr>
          <w:rFonts w:ascii="Arial" w:cs="Arial" w:eastAsia="Arial" w:hAnsi="Arial"/>
          <w:b/>
          <w:bCs/>
          <w:color w:val="152168"/>
          <w:sz w:val="26"/>
          <w:szCs w:val="26"/>
        </w:rPr>
        <w:t xml:space="preserve">7. Compliance and Enforcement</w:t>
      </w:r>
    </w:p>
    <w:p>
      <w:pPr>
        <w:spacing w:after="120" w:before="40"/>
      </w:pPr>
      <w:r>
        <w:rPr>
          <w:rFonts w:ascii="Arial" w:cs="Arial" w:eastAsia="Arial" w:hAnsi="Arial"/>
          <w:i/>
          <w:iCs/>
          <w:color w:val="5A6A8A"/>
          <w:sz w:val="16"/>
          <w:szCs w:val="16"/>
        </w:rPr>
        <w:t xml:space="preserve">ISO 42001 Ref: 9.1 Evaluation of compliance  |  NIST AI RMF Ref: GOVERN 1.4</w:t>
      </w:r>
    </w:p>
    <w:p>
      <w:pPr>
        <w:spacing w:after="100" w:before="60"/>
      </w:pPr>
      <w:r>
        <w:rPr>
          <w:rFonts w:ascii="Arial" w:cs="Arial" w:eastAsia="Arial" w:hAnsi="Arial"/>
          <w:color w:val="1A2340"/>
          <w:sz w:val="20"/>
          <w:szCs w:val="20"/>
        </w:rPr>
        <w:t xml:space="preserve">All personnel within scope of this policy are required to comply with its requirements. Non-compliance may result in disciplinary action up to and including termination.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rPr>
          <w:tblHeader/>
        </w:trPr>
        <w:tc>
          <w:tcPr>
            <w:tcW w:type="dxa" w:w="2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Violation Category</w:t>
            </w:r>
          </w:p>
        </w:tc>
        <w:tc>
          <w:tcPr>
            <w:tcW w:type="dxa" w:w="3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Examples</w:t>
            </w:r>
          </w:p>
        </w:tc>
        <w:tc>
          <w:tcPr>
            <w:tcW w:type="dxa" w:w="32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Potential Consequence</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Minor</w:t>
            </w:r>
          </w:p>
        </w:tc>
        <w:tc>
          <w:tcPr>
            <w:tcW w:type="dxa" w:w="3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Failure to complete AI training; use of an approved AI tool outside its approved parameters without malicious intent.</w:t>
            </w:r>
          </w:p>
        </w:tc>
        <w:tc>
          <w:tcPr>
            <w:tcW w:type="dxa" w:w="32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Verbal or written warning; mandatory remediation training.</w:t>
            </w:r>
          </w:p>
        </w:tc>
      </w:tr>
      <w:tr>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Moderate</w:t>
            </w:r>
          </w:p>
        </w:tc>
        <w:tc>
          <w:tcPr>
            <w:tcW w:type="dxa" w:w="3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Use of an unapproved AI tool for work tasks; entering confidential data into an AI tool without authorization; failure to report a known AI incident.</w:t>
            </w:r>
          </w:p>
        </w:tc>
        <w:tc>
          <w:tcPr>
            <w:tcW w:type="dxa" w:w="32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Formal written warning; revocation of AI tool access; disciplinary process per HR policy.</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9C0006"/>
                <w:sz w:val="18"/>
                <w:szCs w:val="18"/>
              </w:rPr>
              <w:t xml:space="preserve">Serious</w:t>
            </w:r>
          </w:p>
        </w:tc>
        <w:tc>
          <w:tcPr>
            <w:tcW w:type="dxa" w:w="3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Deliberate misuse of AI tools; intentional exfiltration of data via AI prompts; concealing an AI-related incident.</w:t>
            </w:r>
          </w:p>
        </w:tc>
        <w:tc>
          <w:tcPr>
            <w:tcW w:type="dxa" w:w="32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Termination of employment or contract; potential legal action; notification to regulators where required.</w:t>
            </w:r>
          </w:p>
        </w:tc>
      </w:tr>
    </w:tbl>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8. Related Documents</w:t>
      </w:r>
    </w:p>
    <w:p>
      <w:pPr>
        <w:pStyle w:val="ListParagraph"/>
        <w:numPr>
          <w:ilvl w:val="0"/>
          <w:numId w:val="2"/>
        </w:numPr>
        <w:spacing w:after="60" w:before="40"/>
      </w:pPr>
      <w:r>
        <w:rPr>
          <w:rFonts w:ascii="Arial" w:cs="Arial" w:eastAsia="Arial" w:hAnsi="Arial"/>
          <w:color w:val="1A2340"/>
          <w:sz w:val="20"/>
          <w:szCs w:val="20"/>
        </w:rPr>
        <w:t xml:space="preserve">AI Acceptable Use Policy (ENT-POL-AUP)</w:t>
      </w:r>
    </w:p>
    <w:p>
      <w:pPr>
        <w:pStyle w:val="ListParagraph"/>
        <w:numPr>
          <w:ilvl w:val="0"/>
          <w:numId w:val="2"/>
        </w:numPr>
        <w:spacing w:after="60" w:before="40"/>
      </w:pPr>
      <w:r>
        <w:rPr>
          <w:rFonts w:ascii="Arial" w:cs="Arial" w:eastAsia="Arial" w:hAnsi="Arial"/>
          <w:color w:val="1A2340"/>
          <w:sz w:val="20"/>
          <w:szCs w:val="20"/>
        </w:rPr>
        <w:t xml:space="preserve">Information Security Policy</w:t>
      </w:r>
    </w:p>
    <w:p>
      <w:pPr>
        <w:pStyle w:val="ListParagraph"/>
        <w:numPr>
          <w:ilvl w:val="0"/>
          <w:numId w:val="2"/>
        </w:numPr>
        <w:spacing w:after="60" w:before="40"/>
      </w:pPr>
      <w:r>
        <w:rPr>
          <w:rFonts w:ascii="Arial" w:cs="Arial" w:eastAsia="Arial" w:hAnsi="Arial"/>
          <w:color w:val="1A2340"/>
          <w:sz w:val="20"/>
          <w:szCs w:val="20"/>
        </w:rPr>
        <w:t xml:space="preserve">Data Classification Policy</w:t>
      </w:r>
    </w:p>
    <w:p>
      <w:pPr>
        <w:pStyle w:val="ListParagraph"/>
        <w:numPr>
          <w:ilvl w:val="0"/>
          <w:numId w:val="2"/>
        </w:numPr>
        <w:spacing w:after="60" w:before="40"/>
      </w:pPr>
      <w:r>
        <w:rPr>
          <w:rFonts w:ascii="Arial" w:cs="Arial" w:eastAsia="Arial" w:hAnsi="Arial"/>
          <w:color w:val="1A2340"/>
          <w:sz w:val="20"/>
          <w:szCs w:val="20"/>
        </w:rPr>
        <w:t xml:space="preserve">Third-Party / Vendor Risk Management Policy</w:t>
      </w:r>
    </w:p>
    <w:p>
      <w:pPr>
        <w:pStyle w:val="ListParagraph"/>
        <w:numPr>
          <w:ilvl w:val="0"/>
          <w:numId w:val="2"/>
        </w:numPr>
        <w:spacing w:after="60" w:before="40"/>
      </w:pPr>
      <w:r>
        <w:rPr>
          <w:rFonts w:ascii="Arial" w:cs="Arial" w:eastAsia="Arial" w:hAnsi="Arial"/>
          <w:color w:val="1A2340"/>
          <w:sz w:val="20"/>
          <w:szCs w:val="20"/>
        </w:rPr>
        <w:t xml:space="preserve">Incident Response Policy and Procedure</w:t>
      </w:r>
    </w:p>
    <w:p>
      <w:pPr>
        <w:pStyle w:val="ListParagraph"/>
        <w:numPr>
          <w:ilvl w:val="0"/>
          <w:numId w:val="2"/>
        </w:numPr>
        <w:spacing w:after="60" w:before="40"/>
      </w:pPr>
      <w:r>
        <w:rPr>
          <w:rFonts w:ascii="Arial" w:cs="Arial" w:eastAsia="Arial" w:hAnsi="Arial"/>
          <w:color w:val="1A2340"/>
          <w:sz w:val="20"/>
          <w:szCs w:val="20"/>
        </w:rPr>
        <w:t xml:space="preserve">Privacy and Data Protection Policy</w:t>
      </w:r>
    </w:p>
    <w:p>
      <w:pPr>
        <w:pStyle w:val="ListParagraph"/>
        <w:numPr>
          <w:ilvl w:val="0"/>
          <w:numId w:val="2"/>
        </w:numPr>
        <w:spacing w:after="60" w:before="40"/>
      </w:pPr>
      <w:r>
        <w:rPr>
          <w:rFonts w:ascii="Arial" w:cs="Arial" w:eastAsia="Arial" w:hAnsi="Arial"/>
          <w:color w:val="1A2340"/>
          <w:sz w:val="20"/>
          <w:szCs w:val="20"/>
        </w:rPr>
        <w:t xml:space="preserve">Change Management Policy</w:t>
      </w:r>
    </w:p>
    <w:p>
      <w:pPr>
        <w:pStyle w:val="ListParagraph"/>
        <w:numPr>
          <w:ilvl w:val="0"/>
          <w:numId w:val="2"/>
        </w:numPr>
        <w:spacing w:after="60" w:before="40"/>
      </w:pPr>
      <w:r>
        <w:rPr>
          <w:rFonts w:ascii="Arial" w:cs="Arial" w:eastAsia="Arial" w:hAnsi="Arial"/>
          <w:color w:val="1A2340"/>
          <w:sz w:val="20"/>
          <w:szCs w:val="20"/>
        </w:rPr>
        <w:t xml:space="preserve">Business Continuity Policy</w:t>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2160"/>
        <w:gridCol w:w="3480"/>
      </w:tblGrid>
      <w:tr>
        <w:trPr>
          <w:tblHeader/>
        </w:trPr>
        <w:tc>
          <w:tcPr>
            <w:tcW w:type="dxa" w:w="1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2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w:t>
            </w:r>
          </w:p>
        </w:tc>
        <w:tc>
          <w:tcPr>
            <w:tcW w:type="dxa" w:w="34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 Summary</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Draft 1.0</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[INSERT DATE]</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[AUTHOR]</w:t>
            </w:r>
          </w:p>
        </w:tc>
        <w:tc>
          <w:tcPr>
            <w:tcW w:type="dxa" w:w="3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Initial draft</w:t>
            </w:r>
          </w:p>
        </w:tc>
      </w:tr>
    </w:tbl>
    <w:p>
      <w:pPr>
        <w:spacing w:after="120" w:before="0"/>
      </w:pPr>
      <w:r>
        <w:t xml:space="preserve"/>
      </w:r>
    </w:p>
    <w:p>
      <w:pPr>
        <w:spacing w:after="100" w:before="60"/>
      </w:pPr>
      <w:r>
        <w:rPr>
          <w:rFonts w:ascii="Arial" w:cs="Arial" w:eastAsia="Arial" w:hAnsi="Arial"/>
          <w:color w:val="1A2340"/>
          <w:sz w:val="20"/>
          <w:szCs w:val="20"/>
        </w:rPr>
        <w:t xml:space="preserve">This policy must be reviewed annually or following any material change to the organization's AI tool portfolio, risk environment, or applicable regulatory landscape.</w:t>
      </w:r>
    </w:p>
    <w:p>
      <w:pPr>
        <w:pBdr>
          <w:bottom w:val="single" w:color="DDE3EF" w:sz="4"/>
        </w:pBdr>
        <w:spacing w:after="180" w:before="180"/>
      </w:pPr>
      <w:r>
        <w:t xml:space="preserve"/>
      </w:r>
    </w:p>
    <w:p>
      <w:r>
        <w:br w:type="page"/>
      </w:r>
    </w:p>
    <w:p>
      <w:pPr>
        <w:pStyle w:val="Heading1"/>
        <w:pBdr>
          <w:bottom w:val="single" w:color="07B4D9" w:sz="6"/>
        </w:pBdr>
        <w:spacing w:after="120" w:before="360"/>
      </w:pPr>
      <w:r>
        <w:rPr>
          <w:rFonts w:ascii="Arial" w:cs="Arial" w:eastAsia="Arial" w:hAnsi="Arial"/>
          <w:b/>
          <w:bCs/>
          <w:color w:val="152168"/>
          <w:sz w:val="26"/>
          <w:szCs w:val="26"/>
        </w:rPr>
        <w:t xml:space="preserve">Appendix A: AI Risk Register Template</w:t>
      </w:r>
    </w:p>
    <w:p>
      <w:pPr>
        <w:spacing w:after="100" w:before="60"/>
      </w:pPr>
      <w:r>
        <w:rPr>
          <w:rFonts w:ascii="Arial" w:cs="Arial" w:eastAsia="Arial" w:hAnsi="Arial"/>
          <w:color w:val="1A2340"/>
          <w:sz w:val="20"/>
          <w:szCs w:val="20"/>
        </w:rPr>
        <w:t xml:space="preserve">This template defines the mandatory structure for the organization's AI Risk Register. Maintain a copy in the organization's designated risk management system or document repository.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170"/>
        <w:gridCol w:w="1170"/>
        <w:gridCol w:w="1560"/>
        <w:gridCol w:w="624"/>
        <w:gridCol w:w="624"/>
        <w:gridCol w:w="780"/>
        <w:gridCol w:w="1326"/>
        <w:gridCol w:w="1326"/>
      </w:tblGrid>
      <w:tr>
        <w:trPr>
          <w:tblHeader/>
        </w:trPr>
        <w:tc>
          <w:tcPr>
            <w:tcW w:type="dxa" w:w="7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 ID</w:t>
            </w:r>
          </w:p>
        </w:tc>
        <w:tc>
          <w:tcPr>
            <w:tcW w:type="dxa" w:w="117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w:t>
            </w:r>
          </w:p>
        </w:tc>
        <w:tc>
          <w:tcPr>
            <w:tcW w:type="dxa" w:w="117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Department</w:t>
            </w:r>
          </w:p>
        </w:tc>
        <w:tc>
          <w:tcPr>
            <w:tcW w:type="dxa" w:w="1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Description</w:t>
            </w:r>
          </w:p>
        </w:tc>
        <w:tc>
          <w:tcPr>
            <w:tcW w:type="dxa" w:w="624"/>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w:t>
            </w:r>
          </w:p>
        </w:tc>
        <w:tc>
          <w:tcPr>
            <w:tcW w:type="dxa" w:w="624"/>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w:t>
            </w:r>
          </w:p>
        </w:tc>
        <w:tc>
          <w:tcPr>
            <w:tcW w:type="dxa" w:w="7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Rating</w:t>
            </w:r>
          </w:p>
        </w:tc>
        <w:tc>
          <w:tcPr>
            <w:tcW w:type="dxa" w:w="1326"/>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Controls</w:t>
            </w:r>
          </w:p>
        </w:tc>
        <w:tc>
          <w:tcPr>
            <w:tcW w:type="dxa" w:w="1326"/>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Residual Risk</w:t>
            </w:r>
          </w:p>
        </w:tc>
      </w:tr>
      <w:tr>
        <w:tc>
          <w:tcPr>
            <w:tcW w:type="dxa" w:w="7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17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17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5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624"/>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624"/>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7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326"/>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326"/>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r>
      <w:tr>
        <w:tc>
          <w:tcPr>
            <w:tcW w:type="dxa" w:w="7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17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17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5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624"/>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624"/>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7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326"/>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326"/>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r>
      <w:tr>
        <w:tc>
          <w:tcPr>
            <w:tcW w:type="dxa" w:w="7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17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17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5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624"/>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624"/>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7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326"/>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326"/>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r>
      <w:tr>
        <w:tc>
          <w:tcPr>
            <w:tcW w:type="dxa" w:w="7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17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17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5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624"/>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624"/>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7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326"/>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326"/>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r>
      <w:tr>
        <w:tc>
          <w:tcPr>
            <w:tcW w:type="dxa" w:w="7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17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17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5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624"/>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624"/>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7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326"/>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326"/>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r>
    </w:tbl>
    <w:p>
      <w:pPr>
        <w:spacing w:after="100" w:before="60"/>
      </w:pPr>
      <w:r>
        <w:rPr>
          <w:rFonts w:ascii="Arial" w:cs="Arial" w:eastAsia="Arial" w:hAnsi="Arial"/>
          <w:color w:val="1A2340"/>
          <w:sz w:val="20"/>
          <w:szCs w:val="20"/>
        </w:rPr>
        <w:t xml:space="preserve">Additional fields: Risk Owner | Last Reviewed | Status</w:t>
      </w:r>
    </w:p>
    <w:p>
      <w:pPr>
        <w:spacing w:after="80" w:before="0"/>
      </w:pPr>
      <w:r>
        <w:t xml:space="preserve"/>
      </w:r>
    </w:p>
    <w:p>
      <w:r>
        <w:br w:type="page"/>
      </w:r>
    </w:p>
    <w:p>
      <w:pPr>
        <w:pStyle w:val="Heading1"/>
        <w:pBdr>
          <w:bottom w:val="single" w:color="07B4D9" w:sz="6"/>
        </w:pBdr>
        <w:spacing w:after="120" w:before="360"/>
      </w:pPr>
      <w:r>
        <w:rPr>
          <w:rFonts w:ascii="Arial" w:cs="Arial" w:eastAsia="Arial" w:hAnsi="Arial"/>
          <w:b/>
          <w:bCs/>
          <w:color w:val="152168"/>
          <w:sz w:val="26"/>
          <w:szCs w:val="26"/>
        </w:rPr>
        <w:t xml:space="preserve">Appendix B: 5x5 Risk Rating Matrix</w:t>
      </w:r>
    </w:p>
    <w:p>
      <w:pPr>
        <w:spacing w:after="100" w:before="60"/>
      </w:pPr>
      <w:r>
        <w:rPr>
          <w:rFonts w:ascii="Arial" w:cs="Arial" w:eastAsia="Arial" w:hAnsi="Arial"/>
          <w:color w:val="1A2340"/>
          <w:sz w:val="20"/>
          <w:szCs w:val="20"/>
        </w:rPr>
        <w:t xml:space="preserve">Use this matrix to rate all AI use case risks. Multiply the Likelihood score (rows) by the Impact score (columns) to determine the composite score and rating.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680"/>
        <w:gridCol w:w="1680"/>
        <w:gridCol w:w="1680"/>
        <w:gridCol w:w="1680"/>
        <w:gridCol w:w="1680"/>
      </w:tblGrid>
      <w:tr>
        <w:tc>
          <w:tcPr>
            <w:tcW w:type="dxa" w:w="960"/>
            <w:tcBorders>
              <w:top w:val="single" w:color="AAAAAA" w:sz="4"/>
              <w:left w:val="single" w:color="AAAAAA" w:sz="4"/>
              <w:bottom w:val="single" w:color="AAAAAA" w:sz="4"/>
              <w:right w:val="single" w:color="AAAAAA" w:sz="4"/>
            </w:tcBorders>
            <w:shd w:fill="152168" w:val="clear"/>
            <w:tcMar>
              <w:top w:type="dxa" w:w="60"/>
              <w:left w:type="dxa" w:w="80"/>
              <w:bottom w:type="dxa" w:w="60"/>
              <w:right w:type="dxa" w:w="80"/>
            </w:tcMar>
          </w:tcPr>
          <w:p>
            <w:r>
              <w:rPr>
                <w:rFonts w:ascii="Arial" w:cs="Arial" w:eastAsia="Arial" w:hAnsi="Arial"/>
                <w:b/>
                <w:bCs/>
                <w:color w:val="FFFFFF"/>
                <w:sz w:val="14"/>
                <w:szCs w:val="14"/>
              </w:rPr>
              <w:t xml:space="preserve">Likelihood</w:t>
            </w:r>
          </w:p>
          <w:p>
            <w:r>
              <w:rPr>
                <w:rFonts w:ascii="Arial" w:cs="Arial" w:eastAsia="Arial" w:hAnsi="Arial"/>
                <w:b/>
                <w:bCs/>
                <w:color w:val="07B4D9"/>
                <w:sz w:val="14"/>
                <w:szCs w:val="14"/>
              </w:rPr>
              <w:t xml:space="preserve">Impact -&gt;</w:t>
            </w:r>
          </w:p>
        </w:tc>
        <w:tc>
          <w:tcPr>
            <w:tcW w:type="dxa" w:w="1680"/>
            <w:tcBorders>
              <w:top w:val="single" w:color="AAAAAA" w:sz="4"/>
              <w:left w:val="single" w:color="AAAAAA" w:sz="4"/>
              <w:bottom w:val="single" w:color="AAAAAA" w:sz="4"/>
              <w:right w:val="single" w:color="AAAAAA" w:sz="4"/>
            </w:tcBorders>
            <w:shd w:fill="152168"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5
Catastrophic</w:t>
            </w:r>
          </w:p>
        </w:tc>
        <w:tc>
          <w:tcPr>
            <w:tcW w:type="dxa" w:w="1680"/>
            <w:tcBorders>
              <w:top w:val="single" w:color="AAAAAA" w:sz="4"/>
              <w:left w:val="single" w:color="AAAAAA" w:sz="4"/>
              <w:bottom w:val="single" w:color="AAAAAA" w:sz="4"/>
              <w:right w:val="single" w:color="AAAAAA" w:sz="4"/>
            </w:tcBorders>
            <w:shd w:fill="152168"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4
Major</w:t>
            </w:r>
          </w:p>
        </w:tc>
        <w:tc>
          <w:tcPr>
            <w:tcW w:type="dxa" w:w="1680"/>
            <w:tcBorders>
              <w:top w:val="single" w:color="AAAAAA" w:sz="4"/>
              <w:left w:val="single" w:color="AAAAAA" w:sz="4"/>
              <w:bottom w:val="single" w:color="AAAAAA" w:sz="4"/>
              <w:right w:val="single" w:color="AAAAAA" w:sz="4"/>
            </w:tcBorders>
            <w:shd w:fill="152168"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3
Moderate</w:t>
            </w:r>
          </w:p>
        </w:tc>
        <w:tc>
          <w:tcPr>
            <w:tcW w:type="dxa" w:w="1680"/>
            <w:tcBorders>
              <w:top w:val="single" w:color="AAAAAA" w:sz="4"/>
              <w:left w:val="single" w:color="AAAAAA" w:sz="4"/>
              <w:bottom w:val="single" w:color="AAAAAA" w:sz="4"/>
              <w:right w:val="single" w:color="AAAAAA" w:sz="4"/>
            </w:tcBorders>
            <w:shd w:fill="152168"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2
Minor</w:t>
            </w:r>
          </w:p>
        </w:tc>
        <w:tc>
          <w:tcPr>
            <w:tcW w:type="dxa" w:w="1680"/>
            <w:tcBorders>
              <w:top w:val="single" w:color="AAAAAA" w:sz="4"/>
              <w:left w:val="single" w:color="AAAAAA" w:sz="4"/>
              <w:bottom w:val="single" w:color="AAAAAA" w:sz="4"/>
              <w:right w:val="single" w:color="AAAAAA" w:sz="4"/>
            </w:tcBorders>
            <w:shd w:fill="152168"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1
Negligible</w:t>
            </w:r>
          </w:p>
        </w:tc>
      </w:tr>
      <w:tr>
        <w:tc>
          <w:tcPr>
            <w:tcW w:type="dxa" w:w="960"/>
            <w:tcBorders>
              <w:top w:val="single" w:color="AAAAAA" w:sz="4"/>
              <w:left w:val="single" w:color="AAAAAA" w:sz="4"/>
              <w:bottom w:val="single" w:color="AAAAAA" w:sz="4"/>
              <w:right w:val="single" w:color="AAAAAA" w:sz="4"/>
            </w:tcBorders>
            <w:shd w:fill="EBF0FA" w:val="clear"/>
            <w:tcMar>
              <w:top w:type="dxa" w:w="60"/>
              <w:left w:type="dxa" w:w="80"/>
              <w:bottom w:type="dxa" w:w="60"/>
              <w:right w:type="dxa" w:w="80"/>
            </w:tcMar>
            <w:vAlign w:val="center"/>
          </w:tcPr>
          <w:p>
            <w:pPr>
              <w:jc w:val="center"/>
            </w:pPr>
            <w:r>
              <w:rPr>
                <w:rFonts w:ascii="Arial" w:cs="Arial" w:eastAsia="Arial" w:hAnsi="Arial"/>
                <w:b/>
                <w:bCs/>
                <w:color w:val="1A2340"/>
                <w:sz w:val="15"/>
                <w:szCs w:val="15"/>
              </w:rPr>
              <w:t xml:space="preserve">5 - Almost Certain</w:t>
            </w:r>
          </w:p>
        </w:tc>
        <w:tc>
          <w:tcPr>
            <w:tcW w:type="dxa" w:w="1680"/>
            <w:tcBorders>
              <w:top w:val="single" w:color="AAAAAA" w:sz="4"/>
              <w:left w:val="single" w:color="AAAAAA" w:sz="4"/>
              <w:bottom w:val="single" w:color="AAAAAA" w:sz="4"/>
              <w:right w:val="single" w:color="AAAAAA" w:sz="4"/>
            </w:tcBorders>
            <w:shd w:fill="FFC7CE" w:val="clear"/>
            <w:tcMar>
              <w:top w:type="dxa" w:w="60"/>
              <w:left w:type="dxa" w:w="80"/>
              <w:bottom w:type="dxa" w:w="60"/>
              <w:right w:type="dxa" w:w="80"/>
            </w:tcMar>
            <w:vAlign w:val="center"/>
          </w:tcPr>
          <w:p>
            <w:pPr>
              <w:jc w:val="center"/>
            </w:pPr>
            <w:r>
              <w:rPr>
                <w:rFonts w:ascii="Arial" w:cs="Arial" w:eastAsia="Arial" w:hAnsi="Arial"/>
                <w:b/>
                <w:bCs/>
                <w:color w:val="9C0006"/>
                <w:sz w:val="16"/>
                <w:szCs w:val="16"/>
              </w:rPr>
              <w:t xml:space="preserve">25</w:t>
            </w:r>
          </w:p>
          <w:p>
            <w:pPr>
              <w:jc w:val="center"/>
            </w:pPr>
            <w:r>
              <w:rPr>
                <w:rFonts w:ascii="Arial" w:cs="Arial" w:eastAsia="Arial" w:hAnsi="Arial"/>
                <w:color w:val="9C0006"/>
                <w:sz w:val="14"/>
                <w:szCs w:val="14"/>
              </w:rPr>
              <w:t xml:space="preserve">Critical</w:t>
            </w:r>
          </w:p>
        </w:tc>
        <w:tc>
          <w:tcPr>
            <w:tcW w:type="dxa" w:w="1680"/>
            <w:tcBorders>
              <w:top w:val="single" w:color="AAAAAA" w:sz="4"/>
              <w:left w:val="single" w:color="AAAAAA" w:sz="4"/>
              <w:bottom w:val="single" w:color="AAAAAA" w:sz="4"/>
              <w:right w:val="single" w:color="AAAAAA" w:sz="4"/>
            </w:tcBorders>
            <w:shd w:fill="FFC7CE" w:val="clear"/>
            <w:tcMar>
              <w:top w:type="dxa" w:w="60"/>
              <w:left w:type="dxa" w:w="80"/>
              <w:bottom w:type="dxa" w:w="60"/>
              <w:right w:type="dxa" w:w="80"/>
            </w:tcMar>
            <w:vAlign w:val="center"/>
          </w:tcPr>
          <w:p>
            <w:pPr>
              <w:jc w:val="center"/>
            </w:pPr>
            <w:r>
              <w:rPr>
                <w:rFonts w:ascii="Arial" w:cs="Arial" w:eastAsia="Arial" w:hAnsi="Arial"/>
                <w:b/>
                <w:bCs/>
                <w:color w:val="9C0006"/>
                <w:sz w:val="16"/>
                <w:szCs w:val="16"/>
              </w:rPr>
              <w:t xml:space="preserve">20</w:t>
            </w:r>
          </w:p>
          <w:p>
            <w:pPr>
              <w:jc w:val="center"/>
            </w:pPr>
            <w:r>
              <w:rPr>
                <w:rFonts w:ascii="Arial" w:cs="Arial" w:eastAsia="Arial" w:hAnsi="Arial"/>
                <w:color w:val="9C0006"/>
                <w:sz w:val="14"/>
                <w:szCs w:val="14"/>
              </w:rPr>
              <w:t xml:space="preserve">Critical</w:t>
            </w:r>
          </w:p>
        </w:tc>
        <w:tc>
          <w:tcPr>
            <w:tcW w:type="dxa" w:w="1680"/>
            <w:tcBorders>
              <w:top w:val="single" w:color="AAAAAA" w:sz="4"/>
              <w:left w:val="single" w:color="AAAAAA" w:sz="4"/>
              <w:bottom w:val="single" w:color="AAAAAA" w:sz="4"/>
              <w:right w:val="single" w:color="AAAAAA" w:sz="4"/>
            </w:tcBorders>
            <w:shd w:fill="FFC7CE" w:val="clear"/>
            <w:tcMar>
              <w:top w:type="dxa" w:w="60"/>
              <w:left w:type="dxa" w:w="80"/>
              <w:bottom w:type="dxa" w:w="60"/>
              <w:right w:type="dxa" w:w="80"/>
            </w:tcMar>
            <w:vAlign w:val="center"/>
          </w:tcPr>
          <w:p>
            <w:pPr>
              <w:jc w:val="center"/>
            </w:pPr>
            <w:r>
              <w:rPr>
                <w:rFonts w:ascii="Arial" w:cs="Arial" w:eastAsia="Arial" w:hAnsi="Arial"/>
                <w:b/>
                <w:bCs/>
                <w:color w:val="9C0006"/>
                <w:sz w:val="16"/>
                <w:szCs w:val="16"/>
              </w:rPr>
              <w:t xml:space="preserve">15</w:t>
            </w:r>
          </w:p>
          <w:p>
            <w:pPr>
              <w:jc w:val="center"/>
            </w:pPr>
            <w:r>
              <w:rPr>
                <w:rFonts w:ascii="Arial" w:cs="Arial" w:eastAsia="Arial" w:hAnsi="Arial"/>
                <w:color w:val="9C0006"/>
                <w:sz w:val="14"/>
                <w:szCs w:val="14"/>
              </w:rPr>
              <w:t xml:space="preserve">Critical</w:t>
            </w:r>
          </w:p>
        </w:tc>
        <w:tc>
          <w:tcPr>
            <w:tcW w:type="dxa" w:w="1680"/>
            <w:tcBorders>
              <w:top w:val="single" w:color="AAAAAA" w:sz="4"/>
              <w:left w:val="single" w:color="AAAAAA" w:sz="4"/>
              <w:bottom w:val="single" w:color="AAAAAA" w:sz="4"/>
              <w:right w:val="single" w:color="AAAAAA" w:sz="4"/>
            </w:tcBorders>
            <w:shd w:fill="FFCC99" w:val="clear"/>
            <w:tcMar>
              <w:top w:type="dxa" w:w="60"/>
              <w:left w:type="dxa" w:w="80"/>
              <w:bottom w:type="dxa" w:w="60"/>
              <w:right w:type="dxa" w:w="80"/>
            </w:tcMar>
            <w:vAlign w:val="center"/>
          </w:tcPr>
          <w:p>
            <w:pPr>
              <w:jc w:val="center"/>
            </w:pPr>
            <w:r>
              <w:rPr>
                <w:rFonts w:ascii="Arial" w:cs="Arial" w:eastAsia="Arial" w:hAnsi="Arial"/>
                <w:b/>
                <w:bCs/>
                <w:color w:val="7B3700"/>
                <w:sz w:val="16"/>
                <w:szCs w:val="16"/>
              </w:rPr>
              <w:t xml:space="preserve">10</w:t>
            </w:r>
          </w:p>
          <w:p>
            <w:pPr>
              <w:jc w:val="center"/>
            </w:pPr>
            <w:r>
              <w:rPr>
                <w:rFonts w:ascii="Arial" w:cs="Arial" w:eastAsia="Arial" w:hAnsi="Arial"/>
                <w:color w:val="7B3700"/>
                <w:sz w:val="14"/>
                <w:szCs w:val="14"/>
              </w:rPr>
              <w:t xml:space="preserve">High</w:t>
            </w:r>
          </w:p>
        </w:tc>
        <w:tc>
          <w:tcPr>
            <w:tcW w:type="dxa" w:w="1680"/>
            <w:tcBorders>
              <w:top w:val="single" w:color="AAAAAA" w:sz="4"/>
              <w:left w:val="single" w:color="AAAAAA" w:sz="4"/>
              <w:bottom w:val="single" w:color="AAAAAA" w:sz="4"/>
              <w:right w:val="single" w:color="AAAAAA" w:sz="4"/>
            </w:tcBorders>
            <w:shd w:fill="FFEB9C" w:val="clear"/>
            <w:tcMar>
              <w:top w:type="dxa" w:w="60"/>
              <w:left w:type="dxa" w:w="80"/>
              <w:bottom w:type="dxa" w:w="60"/>
              <w:right w:type="dxa" w:w="80"/>
            </w:tcMar>
            <w:vAlign w:val="center"/>
          </w:tcPr>
          <w:p>
            <w:pPr>
              <w:jc w:val="center"/>
            </w:pPr>
            <w:r>
              <w:rPr>
                <w:rFonts w:ascii="Arial" w:cs="Arial" w:eastAsia="Arial" w:hAnsi="Arial"/>
                <w:b/>
                <w:bCs/>
                <w:color w:val="7B4700"/>
                <w:sz w:val="16"/>
                <w:szCs w:val="16"/>
              </w:rPr>
              <w:t xml:space="preserve">5</w:t>
            </w:r>
          </w:p>
          <w:p>
            <w:pPr>
              <w:jc w:val="center"/>
            </w:pPr>
            <w:r>
              <w:rPr>
                <w:rFonts w:ascii="Arial" w:cs="Arial" w:eastAsia="Arial" w:hAnsi="Arial"/>
                <w:color w:val="7B4700"/>
                <w:sz w:val="14"/>
                <w:szCs w:val="14"/>
              </w:rPr>
              <w:t xml:space="preserve">Medium</w:t>
            </w:r>
          </w:p>
        </w:tc>
      </w:tr>
      <w:tr>
        <w:tc>
          <w:tcPr>
            <w:tcW w:type="dxa" w:w="960"/>
            <w:tcBorders>
              <w:top w:val="single" w:color="AAAAAA" w:sz="4"/>
              <w:left w:val="single" w:color="AAAAAA" w:sz="4"/>
              <w:bottom w:val="single" w:color="AAAAAA" w:sz="4"/>
              <w:right w:val="single" w:color="AAAAAA" w:sz="4"/>
            </w:tcBorders>
            <w:shd w:fill="EBF0FA" w:val="clear"/>
            <w:tcMar>
              <w:top w:type="dxa" w:w="60"/>
              <w:left w:type="dxa" w:w="80"/>
              <w:bottom w:type="dxa" w:w="60"/>
              <w:right w:type="dxa" w:w="80"/>
            </w:tcMar>
            <w:vAlign w:val="center"/>
          </w:tcPr>
          <w:p>
            <w:pPr>
              <w:jc w:val="center"/>
            </w:pPr>
            <w:r>
              <w:rPr>
                <w:rFonts w:ascii="Arial" w:cs="Arial" w:eastAsia="Arial" w:hAnsi="Arial"/>
                <w:b/>
                <w:bCs/>
                <w:color w:val="1A2340"/>
                <w:sz w:val="15"/>
                <w:szCs w:val="15"/>
              </w:rPr>
              <w:t xml:space="preserve">4 - Likely</w:t>
            </w:r>
          </w:p>
        </w:tc>
        <w:tc>
          <w:tcPr>
            <w:tcW w:type="dxa" w:w="1680"/>
            <w:tcBorders>
              <w:top w:val="single" w:color="AAAAAA" w:sz="4"/>
              <w:left w:val="single" w:color="AAAAAA" w:sz="4"/>
              <w:bottom w:val="single" w:color="AAAAAA" w:sz="4"/>
              <w:right w:val="single" w:color="AAAAAA" w:sz="4"/>
            </w:tcBorders>
            <w:shd w:fill="FFC7CE" w:val="clear"/>
            <w:tcMar>
              <w:top w:type="dxa" w:w="60"/>
              <w:left w:type="dxa" w:w="80"/>
              <w:bottom w:type="dxa" w:w="60"/>
              <w:right w:type="dxa" w:w="80"/>
            </w:tcMar>
            <w:vAlign w:val="center"/>
          </w:tcPr>
          <w:p>
            <w:pPr>
              <w:jc w:val="center"/>
            </w:pPr>
            <w:r>
              <w:rPr>
                <w:rFonts w:ascii="Arial" w:cs="Arial" w:eastAsia="Arial" w:hAnsi="Arial"/>
                <w:b/>
                <w:bCs/>
                <w:color w:val="9C0006"/>
                <w:sz w:val="16"/>
                <w:szCs w:val="16"/>
              </w:rPr>
              <w:t xml:space="preserve">20</w:t>
            </w:r>
          </w:p>
          <w:p>
            <w:pPr>
              <w:jc w:val="center"/>
            </w:pPr>
            <w:r>
              <w:rPr>
                <w:rFonts w:ascii="Arial" w:cs="Arial" w:eastAsia="Arial" w:hAnsi="Arial"/>
                <w:color w:val="9C0006"/>
                <w:sz w:val="14"/>
                <w:szCs w:val="14"/>
              </w:rPr>
              <w:t xml:space="preserve">Critical</w:t>
            </w:r>
          </w:p>
        </w:tc>
        <w:tc>
          <w:tcPr>
            <w:tcW w:type="dxa" w:w="1680"/>
            <w:tcBorders>
              <w:top w:val="single" w:color="AAAAAA" w:sz="4"/>
              <w:left w:val="single" w:color="AAAAAA" w:sz="4"/>
              <w:bottom w:val="single" w:color="AAAAAA" w:sz="4"/>
              <w:right w:val="single" w:color="AAAAAA" w:sz="4"/>
            </w:tcBorders>
            <w:shd w:fill="FFC7CE" w:val="clear"/>
            <w:tcMar>
              <w:top w:type="dxa" w:w="60"/>
              <w:left w:type="dxa" w:w="80"/>
              <w:bottom w:type="dxa" w:w="60"/>
              <w:right w:type="dxa" w:w="80"/>
            </w:tcMar>
            <w:vAlign w:val="center"/>
          </w:tcPr>
          <w:p>
            <w:pPr>
              <w:jc w:val="center"/>
            </w:pPr>
            <w:r>
              <w:rPr>
                <w:rFonts w:ascii="Arial" w:cs="Arial" w:eastAsia="Arial" w:hAnsi="Arial"/>
                <w:b/>
                <w:bCs/>
                <w:color w:val="9C0006"/>
                <w:sz w:val="16"/>
                <w:szCs w:val="16"/>
              </w:rPr>
              <w:t xml:space="preserve">16</w:t>
            </w:r>
          </w:p>
          <w:p>
            <w:pPr>
              <w:jc w:val="center"/>
            </w:pPr>
            <w:r>
              <w:rPr>
                <w:rFonts w:ascii="Arial" w:cs="Arial" w:eastAsia="Arial" w:hAnsi="Arial"/>
                <w:color w:val="9C0006"/>
                <w:sz w:val="14"/>
                <w:szCs w:val="14"/>
              </w:rPr>
              <w:t xml:space="preserve">Critical</w:t>
            </w:r>
          </w:p>
        </w:tc>
        <w:tc>
          <w:tcPr>
            <w:tcW w:type="dxa" w:w="1680"/>
            <w:tcBorders>
              <w:top w:val="single" w:color="AAAAAA" w:sz="4"/>
              <w:left w:val="single" w:color="AAAAAA" w:sz="4"/>
              <w:bottom w:val="single" w:color="AAAAAA" w:sz="4"/>
              <w:right w:val="single" w:color="AAAAAA" w:sz="4"/>
            </w:tcBorders>
            <w:shd w:fill="FFCC99" w:val="clear"/>
            <w:tcMar>
              <w:top w:type="dxa" w:w="60"/>
              <w:left w:type="dxa" w:w="80"/>
              <w:bottom w:type="dxa" w:w="60"/>
              <w:right w:type="dxa" w:w="80"/>
            </w:tcMar>
            <w:vAlign w:val="center"/>
          </w:tcPr>
          <w:p>
            <w:pPr>
              <w:jc w:val="center"/>
            </w:pPr>
            <w:r>
              <w:rPr>
                <w:rFonts w:ascii="Arial" w:cs="Arial" w:eastAsia="Arial" w:hAnsi="Arial"/>
                <w:b/>
                <w:bCs/>
                <w:color w:val="7B3700"/>
                <w:sz w:val="16"/>
                <w:szCs w:val="16"/>
              </w:rPr>
              <w:t xml:space="preserve">12</w:t>
            </w:r>
          </w:p>
          <w:p>
            <w:pPr>
              <w:jc w:val="center"/>
            </w:pPr>
            <w:r>
              <w:rPr>
                <w:rFonts w:ascii="Arial" w:cs="Arial" w:eastAsia="Arial" w:hAnsi="Arial"/>
                <w:color w:val="7B3700"/>
                <w:sz w:val="14"/>
                <w:szCs w:val="14"/>
              </w:rPr>
              <w:t xml:space="preserve">High</w:t>
            </w:r>
          </w:p>
        </w:tc>
        <w:tc>
          <w:tcPr>
            <w:tcW w:type="dxa" w:w="1680"/>
            <w:tcBorders>
              <w:top w:val="single" w:color="AAAAAA" w:sz="4"/>
              <w:left w:val="single" w:color="AAAAAA" w:sz="4"/>
              <w:bottom w:val="single" w:color="AAAAAA" w:sz="4"/>
              <w:right w:val="single" w:color="AAAAAA" w:sz="4"/>
            </w:tcBorders>
            <w:shd w:fill="FFCC99" w:val="clear"/>
            <w:tcMar>
              <w:top w:type="dxa" w:w="60"/>
              <w:left w:type="dxa" w:w="80"/>
              <w:bottom w:type="dxa" w:w="60"/>
              <w:right w:type="dxa" w:w="80"/>
            </w:tcMar>
            <w:vAlign w:val="center"/>
          </w:tcPr>
          <w:p>
            <w:pPr>
              <w:jc w:val="center"/>
            </w:pPr>
            <w:r>
              <w:rPr>
                <w:rFonts w:ascii="Arial" w:cs="Arial" w:eastAsia="Arial" w:hAnsi="Arial"/>
                <w:b/>
                <w:bCs/>
                <w:color w:val="7B3700"/>
                <w:sz w:val="16"/>
                <w:szCs w:val="16"/>
              </w:rPr>
              <w:t xml:space="preserve">8</w:t>
            </w:r>
          </w:p>
          <w:p>
            <w:pPr>
              <w:jc w:val="center"/>
            </w:pPr>
            <w:r>
              <w:rPr>
                <w:rFonts w:ascii="Arial" w:cs="Arial" w:eastAsia="Arial" w:hAnsi="Arial"/>
                <w:color w:val="7B3700"/>
                <w:sz w:val="14"/>
                <w:szCs w:val="14"/>
              </w:rPr>
              <w:t xml:space="preserve">High</w:t>
            </w:r>
          </w:p>
        </w:tc>
        <w:tc>
          <w:tcPr>
            <w:tcW w:type="dxa" w:w="1680"/>
            <w:tcBorders>
              <w:top w:val="single" w:color="AAAAAA" w:sz="4"/>
              <w:left w:val="single" w:color="AAAAAA" w:sz="4"/>
              <w:bottom w:val="single" w:color="AAAAAA" w:sz="4"/>
              <w:right w:val="single" w:color="AAAAAA" w:sz="4"/>
            </w:tcBorders>
            <w:shd w:fill="FFEB9C" w:val="clear"/>
            <w:tcMar>
              <w:top w:type="dxa" w:w="60"/>
              <w:left w:type="dxa" w:w="80"/>
              <w:bottom w:type="dxa" w:w="60"/>
              <w:right w:type="dxa" w:w="80"/>
            </w:tcMar>
            <w:vAlign w:val="center"/>
          </w:tcPr>
          <w:p>
            <w:pPr>
              <w:jc w:val="center"/>
            </w:pPr>
            <w:r>
              <w:rPr>
                <w:rFonts w:ascii="Arial" w:cs="Arial" w:eastAsia="Arial" w:hAnsi="Arial"/>
                <w:b/>
                <w:bCs/>
                <w:color w:val="7B4700"/>
                <w:sz w:val="16"/>
                <w:szCs w:val="16"/>
              </w:rPr>
              <w:t xml:space="preserve">4</w:t>
            </w:r>
          </w:p>
          <w:p>
            <w:pPr>
              <w:jc w:val="center"/>
            </w:pPr>
            <w:r>
              <w:rPr>
                <w:rFonts w:ascii="Arial" w:cs="Arial" w:eastAsia="Arial" w:hAnsi="Arial"/>
                <w:color w:val="7B4700"/>
                <w:sz w:val="14"/>
                <w:szCs w:val="14"/>
              </w:rPr>
              <w:t xml:space="preserve">Medium</w:t>
            </w:r>
          </w:p>
        </w:tc>
      </w:tr>
      <w:tr>
        <w:tc>
          <w:tcPr>
            <w:tcW w:type="dxa" w:w="960"/>
            <w:tcBorders>
              <w:top w:val="single" w:color="AAAAAA" w:sz="4"/>
              <w:left w:val="single" w:color="AAAAAA" w:sz="4"/>
              <w:bottom w:val="single" w:color="AAAAAA" w:sz="4"/>
              <w:right w:val="single" w:color="AAAAAA" w:sz="4"/>
            </w:tcBorders>
            <w:shd w:fill="EBF0FA" w:val="clear"/>
            <w:tcMar>
              <w:top w:type="dxa" w:w="60"/>
              <w:left w:type="dxa" w:w="80"/>
              <w:bottom w:type="dxa" w:w="60"/>
              <w:right w:type="dxa" w:w="80"/>
            </w:tcMar>
            <w:vAlign w:val="center"/>
          </w:tcPr>
          <w:p>
            <w:pPr>
              <w:jc w:val="center"/>
            </w:pPr>
            <w:r>
              <w:rPr>
                <w:rFonts w:ascii="Arial" w:cs="Arial" w:eastAsia="Arial" w:hAnsi="Arial"/>
                <w:b/>
                <w:bCs/>
                <w:color w:val="1A2340"/>
                <w:sz w:val="15"/>
                <w:szCs w:val="15"/>
              </w:rPr>
              <w:t xml:space="preserve">3 - Possible</w:t>
            </w:r>
          </w:p>
        </w:tc>
        <w:tc>
          <w:tcPr>
            <w:tcW w:type="dxa" w:w="1680"/>
            <w:tcBorders>
              <w:top w:val="single" w:color="AAAAAA" w:sz="4"/>
              <w:left w:val="single" w:color="AAAAAA" w:sz="4"/>
              <w:bottom w:val="single" w:color="AAAAAA" w:sz="4"/>
              <w:right w:val="single" w:color="AAAAAA" w:sz="4"/>
            </w:tcBorders>
            <w:shd w:fill="FFC7CE" w:val="clear"/>
            <w:tcMar>
              <w:top w:type="dxa" w:w="60"/>
              <w:left w:type="dxa" w:w="80"/>
              <w:bottom w:type="dxa" w:w="60"/>
              <w:right w:type="dxa" w:w="80"/>
            </w:tcMar>
            <w:vAlign w:val="center"/>
          </w:tcPr>
          <w:p>
            <w:pPr>
              <w:jc w:val="center"/>
            </w:pPr>
            <w:r>
              <w:rPr>
                <w:rFonts w:ascii="Arial" w:cs="Arial" w:eastAsia="Arial" w:hAnsi="Arial"/>
                <w:b/>
                <w:bCs/>
                <w:color w:val="9C0006"/>
                <w:sz w:val="16"/>
                <w:szCs w:val="16"/>
              </w:rPr>
              <w:t xml:space="preserve">15</w:t>
            </w:r>
          </w:p>
          <w:p>
            <w:pPr>
              <w:jc w:val="center"/>
            </w:pPr>
            <w:r>
              <w:rPr>
                <w:rFonts w:ascii="Arial" w:cs="Arial" w:eastAsia="Arial" w:hAnsi="Arial"/>
                <w:color w:val="9C0006"/>
                <w:sz w:val="14"/>
                <w:szCs w:val="14"/>
              </w:rPr>
              <w:t xml:space="preserve">Critical</w:t>
            </w:r>
          </w:p>
        </w:tc>
        <w:tc>
          <w:tcPr>
            <w:tcW w:type="dxa" w:w="1680"/>
            <w:tcBorders>
              <w:top w:val="single" w:color="AAAAAA" w:sz="4"/>
              <w:left w:val="single" w:color="AAAAAA" w:sz="4"/>
              <w:bottom w:val="single" w:color="AAAAAA" w:sz="4"/>
              <w:right w:val="single" w:color="AAAAAA" w:sz="4"/>
            </w:tcBorders>
            <w:shd w:fill="FFCC99" w:val="clear"/>
            <w:tcMar>
              <w:top w:type="dxa" w:w="60"/>
              <w:left w:type="dxa" w:w="80"/>
              <w:bottom w:type="dxa" w:w="60"/>
              <w:right w:type="dxa" w:w="80"/>
            </w:tcMar>
            <w:vAlign w:val="center"/>
          </w:tcPr>
          <w:p>
            <w:pPr>
              <w:jc w:val="center"/>
            </w:pPr>
            <w:r>
              <w:rPr>
                <w:rFonts w:ascii="Arial" w:cs="Arial" w:eastAsia="Arial" w:hAnsi="Arial"/>
                <w:b/>
                <w:bCs/>
                <w:color w:val="7B3700"/>
                <w:sz w:val="16"/>
                <w:szCs w:val="16"/>
              </w:rPr>
              <w:t xml:space="preserve">12</w:t>
            </w:r>
          </w:p>
          <w:p>
            <w:pPr>
              <w:jc w:val="center"/>
            </w:pPr>
            <w:r>
              <w:rPr>
                <w:rFonts w:ascii="Arial" w:cs="Arial" w:eastAsia="Arial" w:hAnsi="Arial"/>
                <w:color w:val="7B3700"/>
                <w:sz w:val="14"/>
                <w:szCs w:val="14"/>
              </w:rPr>
              <w:t xml:space="preserve">High</w:t>
            </w:r>
          </w:p>
        </w:tc>
        <w:tc>
          <w:tcPr>
            <w:tcW w:type="dxa" w:w="1680"/>
            <w:tcBorders>
              <w:top w:val="single" w:color="AAAAAA" w:sz="4"/>
              <w:left w:val="single" w:color="AAAAAA" w:sz="4"/>
              <w:bottom w:val="single" w:color="AAAAAA" w:sz="4"/>
              <w:right w:val="single" w:color="AAAAAA" w:sz="4"/>
            </w:tcBorders>
            <w:shd w:fill="FFCC99" w:val="clear"/>
            <w:tcMar>
              <w:top w:type="dxa" w:w="60"/>
              <w:left w:type="dxa" w:w="80"/>
              <w:bottom w:type="dxa" w:w="60"/>
              <w:right w:type="dxa" w:w="80"/>
            </w:tcMar>
            <w:vAlign w:val="center"/>
          </w:tcPr>
          <w:p>
            <w:pPr>
              <w:jc w:val="center"/>
            </w:pPr>
            <w:r>
              <w:rPr>
                <w:rFonts w:ascii="Arial" w:cs="Arial" w:eastAsia="Arial" w:hAnsi="Arial"/>
                <w:b/>
                <w:bCs/>
                <w:color w:val="7B3700"/>
                <w:sz w:val="16"/>
                <w:szCs w:val="16"/>
              </w:rPr>
              <w:t xml:space="preserve">9</w:t>
            </w:r>
          </w:p>
          <w:p>
            <w:pPr>
              <w:jc w:val="center"/>
            </w:pPr>
            <w:r>
              <w:rPr>
                <w:rFonts w:ascii="Arial" w:cs="Arial" w:eastAsia="Arial" w:hAnsi="Arial"/>
                <w:color w:val="7B3700"/>
                <w:sz w:val="14"/>
                <w:szCs w:val="14"/>
              </w:rPr>
              <w:t xml:space="preserve">High</w:t>
            </w:r>
          </w:p>
        </w:tc>
        <w:tc>
          <w:tcPr>
            <w:tcW w:type="dxa" w:w="1680"/>
            <w:tcBorders>
              <w:top w:val="single" w:color="AAAAAA" w:sz="4"/>
              <w:left w:val="single" w:color="AAAAAA" w:sz="4"/>
              <w:bottom w:val="single" w:color="AAAAAA" w:sz="4"/>
              <w:right w:val="single" w:color="AAAAAA" w:sz="4"/>
            </w:tcBorders>
            <w:shd w:fill="FFEB9C" w:val="clear"/>
            <w:tcMar>
              <w:top w:type="dxa" w:w="60"/>
              <w:left w:type="dxa" w:w="80"/>
              <w:bottom w:type="dxa" w:w="60"/>
              <w:right w:type="dxa" w:w="80"/>
            </w:tcMar>
            <w:vAlign w:val="center"/>
          </w:tcPr>
          <w:p>
            <w:pPr>
              <w:jc w:val="center"/>
            </w:pPr>
            <w:r>
              <w:rPr>
                <w:rFonts w:ascii="Arial" w:cs="Arial" w:eastAsia="Arial" w:hAnsi="Arial"/>
                <w:b/>
                <w:bCs/>
                <w:color w:val="7B4700"/>
                <w:sz w:val="16"/>
                <w:szCs w:val="16"/>
              </w:rPr>
              <w:t xml:space="preserve">6</w:t>
            </w:r>
          </w:p>
          <w:p>
            <w:pPr>
              <w:jc w:val="center"/>
            </w:pPr>
            <w:r>
              <w:rPr>
                <w:rFonts w:ascii="Arial" w:cs="Arial" w:eastAsia="Arial" w:hAnsi="Arial"/>
                <w:color w:val="7B4700"/>
                <w:sz w:val="14"/>
                <w:szCs w:val="14"/>
              </w:rPr>
              <w:t xml:space="preserve">Medium</w:t>
            </w:r>
          </w:p>
        </w:tc>
        <w:tc>
          <w:tcPr>
            <w:tcW w:type="dxa" w:w="1680"/>
            <w:tcBorders>
              <w:top w:val="single" w:color="AAAAAA" w:sz="4"/>
              <w:left w:val="single" w:color="AAAAAA" w:sz="4"/>
              <w:bottom w:val="single" w:color="AAAAAA" w:sz="4"/>
              <w:right w:val="single" w:color="AAAAAA" w:sz="4"/>
            </w:tcBorders>
            <w:shd w:fill="C6EFCE" w:val="clear"/>
            <w:tcMar>
              <w:top w:type="dxa" w:w="60"/>
              <w:left w:type="dxa" w:w="80"/>
              <w:bottom w:type="dxa" w:w="60"/>
              <w:right w:type="dxa" w:w="80"/>
            </w:tcMar>
            <w:vAlign w:val="center"/>
          </w:tcPr>
          <w:p>
            <w:pPr>
              <w:jc w:val="center"/>
            </w:pPr>
            <w:r>
              <w:rPr>
                <w:rFonts w:ascii="Arial" w:cs="Arial" w:eastAsia="Arial" w:hAnsi="Arial"/>
                <w:b/>
                <w:bCs/>
                <w:color w:val="375623"/>
                <w:sz w:val="16"/>
                <w:szCs w:val="16"/>
              </w:rPr>
              <w:t xml:space="preserve">3</w:t>
            </w:r>
          </w:p>
          <w:p>
            <w:pPr>
              <w:jc w:val="center"/>
            </w:pPr>
            <w:r>
              <w:rPr>
                <w:rFonts w:ascii="Arial" w:cs="Arial" w:eastAsia="Arial" w:hAnsi="Arial"/>
                <w:color w:val="375623"/>
                <w:sz w:val="14"/>
                <w:szCs w:val="14"/>
              </w:rPr>
              <w:t xml:space="preserve">Low</w:t>
            </w:r>
          </w:p>
        </w:tc>
      </w:tr>
      <w:tr>
        <w:tc>
          <w:tcPr>
            <w:tcW w:type="dxa" w:w="960"/>
            <w:tcBorders>
              <w:top w:val="single" w:color="AAAAAA" w:sz="4"/>
              <w:left w:val="single" w:color="AAAAAA" w:sz="4"/>
              <w:bottom w:val="single" w:color="AAAAAA" w:sz="4"/>
              <w:right w:val="single" w:color="AAAAAA" w:sz="4"/>
            </w:tcBorders>
            <w:shd w:fill="EBF0FA" w:val="clear"/>
            <w:tcMar>
              <w:top w:type="dxa" w:w="60"/>
              <w:left w:type="dxa" w:w="80"/>
              <w:bottom w:type="dxa" w:w="60"/>
              <w:right w:type="dxa" w:w="80"/>
            </w:tcMar>
            <w:vAlign w:val="center"/>
          </w:tcPr>
          <w:p>
            <w:pPr>
              <w:jc w:val="center"/>
            </w:pPr>
            <w:r>
              <w:rPr>
                <w:rFonts w:ascii="Arial" w:cs="Arial" w:eastAsia="Arial" w:hAnsi="Arial"/>
                <w:b/>
                <w:bCs/>
                <w:color w:val="1A2340"/>
                <w:sz w:val="15"/>
                <w:szCs w:val="15"/>
              </w:rPr>
              <w:t xml:space="preserve">2 - Unlikely</w:t>
            </w:r>
          </w:p>
        </w:tc>
        <w:tc>
          <w:tcPr>
            <w:tcW w:type="dxa" w:w="1680"/>
            <w:tcBorders>
              <w:top w:val="single" w:color="AAAAAA" w:sz="4"/>
              <w:left w:val="single" w:color="AAAAAA" w:sz="4"/>
              <w:bottom w:val="single" w:color="AAAAAA" w:sz="4"/>
              <w:right w:val="single" w:color="AAAAAA" w:sz="4"/>
            </w:tcBorders>
            <w:shd w:fill="FFCC99" w:val="clear"/>
            <w:tcMar>
              <w:top w:type="dxa" w:w="60"/>
              <w:left w:type="dxa" w:w="80"/>
              <w:bottom w:type="dxa" w:w="60"/>
              <w:right w:type="dxa" w:w="80"/>
            </w:tcMar>
            <w:vAlign w:val="center"/>
          </w:tcPr>
          <w:p>
            <w:pPr>
              <w:jc w:val="center"/>
            </w:pPr>
            <w:r>
              <w:rPr>
                <w:rFonts w:ascii="Arial" w:cs="Arial" w:eastAsia="Arial" w:hAnsi="Arial"/>
                <w:b/>
                <w:bCs/>
                <w:color w:val="7B3700"/>
                <w:sz w:val="16"/>
                <w:szCs w:val="16"/>
              </w:rPr>
              <w:t xml:space="preserve">10</w:t>
            </w:r>
          </w:p>
          <w:p>
            <w:pPr>
              <w:jc w:val="center"/>
            </w:pPr>
            <w:r>
              <w:rPr>
                <w:rFonts w:ascii="Arial" w:cs="Arial" w:eastAsia="Arial" w:hAnsi="Arial"/>
                <w:color w:val="7B3700"/>
                <w:sz w:val="14"/>
                <w:szCs w:val="14"/>
              </w:rPr>
              <w:t xml:space="preserve">High</w:t>
            </w:r>
          </w:p>
        </w:tc>
        <w:tc>
          <w:tcPr>
            <w:tcW w:type="dxa" w:w="1680"/>
            <w:tcBorders>
              <w:top w:val="single" w:color="AAAAAA" w:sz="4"/>
              <w:left w:val="single" w:color="AAAAAA" w:sz="4"/>
              <w:bottom w:val="single" w:color="AAAAAA" w:sz="4"/>
              <w:right w:val="single" w:color="AAAAAA" w:sz="4"/>
            </w:tcBorders>
            <w:shd w:fill="FFCC99" w:val="clear"/>
            <w:tcMar>
              <w:top w:type="dxa" w:w="60"/>
              <w:left w:type="dxa" w:w="80"/>
              <w:bottom w:type="dxa" w:w="60"/>
              <w:right w:type="dxa" w:w="80"/>
            </w:tcMar>
            <w:vAlign w:val="center"/>
          </w:tcPr>
          <w:p>
            <w:pPr>
              <w:jc w:val="center"/>
            </w:pPr>
            <w:r>
              <w:rPr>
                <w:rFonts w:ascii="Arial" w:cs="Arial" w:eastAsia="Arial" w:hAnsi="Arial"/>
                <w:b/>
                <w:bCs/>
                <w:color w:val="7B3700"/>
                <w:sz w:val="16"/>
                <w:szCs w:val="16"/>
              </w:rPr>
              <w:t xml:space="preserve">8</w:t>
            </w:r>
          </w:p>
          <w:p>
            <w:pPr>
              <w:jc w:val="center"/>
            </w:pPr>
            <w:r>
              <w:rPr>
                <w:rFonts w:ascii="Arial" w:cs="Arial" w:eastAsia="Arial" w:hAnsi="Arial"/>
                <w:color w:val="7B3700"/>
                <w:sz w:val="14"/>
                <w:szCs w:val="14"/>
              </w:rPr>
              <w:t xml:space="preserve">High</w:t>
            </w:r>
          </w:p>
        </w:tc>
        <w:tc>
          <w:tcPr>
            <w:tcW w:type="dxa" w:w="1680"/>
            <w:tcBorders>
              <w:top w:val="single" w:color="AAAAAA" w:sz="4"/>
              <w:left w:val="single" w:color="AAAAAA" w:sz="4"/>
              <w:bottom w:val="single" w:color="AAAAAA" w:sz="4"/>
              <w:right w:val="single" w:color="AAAAAA" w:sz="4"/>
            </w:tcBorders>
            <w:shd w:fill="FFEB9C" w:val="clear"/>
            <w:tcMar>
              <w:top w:type="dxa" w:w="60"/>
              <w:left w:type="dxa" w:w="80"/>
              <w:bottom w:type="dxa" w:w="60"/>
              <w:right w:type="dxa" w:w="80"/>
            </w:tcMar>
            <w:vAlign w:val="center"/>
          </w:tcPr>
          <w:p>
            <w:pPr>
              <w:jc w:val="center"/>
            </w:pPr>
            <w:r>
              <w:rPr>
                <w:rFonts w:ascii="Arial" w:cs="Arial" w:eastAsia="Arial" w:hAnsi="Arial"/>
                <w:b/>
                <w:bCs/>
                <w:color w:val="7B4700"/>
                <w:sz w:val="16"/>
                <w:szCs w:val="16"/>
              </w:rPr>
              <w:t xml:space="preserve">6</w:t>
            </w:r>
          </w:p>
          <w:p>
            <w:pPr>
              <w:jc w:val="center"/>
            </w:pPr>
            <w:r>
              <w:rPr>
                <w:rFonts w:ascii="Arial" w:cs="Arial" w:eastAsia="Arial" w:hAnsi="Arial"/>
                <w:color w:val="7B4700"/>
                <w:sz w:val="14"/>
                <w:szCs w:val="14"/>
              </w:rPr>
              <w:t xml:space="preserve">Medium</w:t>
            </w:r>
          </w:p>
        </w:tc>
        <w:tc>
          <w:tcPr>
            <w:tcW w:type="dxa" w:w="1680"/>
            <w:tcBorders>
              <w:top w:val="single" w:color="AAAAAA" w:sz="4"/>
              <w:left w:val="single" w:color="AAAAAA" w:sz="4"/>
              <w:bottom w:val="single" w:color="AAAAAA" w:sz="4"/>
              <w:right w:val="single" w:color="AAAAAA" w:sz="4"/>
            </w:tcBorders>
            <w:shd w:fill="FFEB9C" w:val="clear"/>
            <w:tcMar>
              <w:top w:type="dxa" w:w="60"/>
              <w:left w:type="dxa" w:w="80"/>
              <w:bottom w:type="dxa" w:w="60"/>
              <w:right w:type="dxa" w:w="80"/>
            </w:tcMar>
            <w:vAlign w:val="center"/>
          </w:tcPr>
          <w:p>
            <w:pPr>
              <w:jc w:val="center"/>
            </w:pPr>
            <w:r>
              <w:rPr>
                <w:rFonts w:ascii="Arial" w:cs="Arial" w:eastAsia="Arial" w:hAnsi="Arial"/>
                <w:b/>
                <w:bCs/>
                <w:color w:val="7B4700"/>
                <w:sz w:val="16"/>
                <w:szCs w:val="16"/>
              </w:rPr>
              <w:t xml:space="preserve">4</w:t>
            </w:r>
          </w:p>
          <w:p>
            <w:pPr>
              <w:jc w:val="center"/>
            </w:pPr>
            <w:r>
              <w:rPr>
                <w:rFonts w:ascii="Arial" w:cs="Arial" w:eastAsia="Arial" w:hAnsi="Arial"/>
                <w:color w:val="7B4700"/>
                <w:sz w:val="14"/>
                <w:szCs w:val="14"/>
              </w:rPr>
              <w:t xml:space="preserve">Medium</w:t>
            </w:r>
          </w:p>
        </w:tc>
        <w:tc>
          <w:tcPr>
            <w:tcW w:type="dxa" w:w="1680"/>
            <w:tcBorders>
              <w:top w:val="single" w:color="AAAAAA" w:sz="4"/>
              <w:left w:val="single" w:color="AAAAAA" w:sz="4"/>
              <w:bottom w:val="single" w:color="AAAAAA" w:sz="4"/>
              <w:right w:val="single" w:color="AAAAAA" w:sz="4"/>
            </w:tcBorders>
            <w:shd w:fill="C6EFCE" w:val="clear"/>
            <w:tcMar>
              <w:top w:type="dxa" w:w="60"/>
              <w:left w:type="dxa" w:w="80"/>
              <w:bottom w:type="dxa" w:w="60"/>
              <w:right w:type="dxa" w:w="80"/>
            </w:tcMar>
            <w:vAlign w:val="center"/>
          </w:tcPr>
          <w:p>
            <w:pPr>
              <w:jc w:val="center"/>
            </w:pPr>
            <w:r>
              <w:rPr>
                <w:rFonts w:ascii="Arial" w:cs="Arial" w:eastAsia="Arial" w:hAnsi="Arial"/>
                <w:b/>
                <w:bCs/>
                <w:color w:val="375623"/>
                <w:sz w:val="16"/>
                <w:szCs w:val="16"/>
              </w:rPr>
              <w:t xml:space="preserve">2</w:t>
            </w:r>
          </w:p>
          <w:p>
            <w:pPr>
              <w:jc w:val="center"/>
            </w:pPr>
            <w:r>
              <w:rPr>
                <w:rFonts w:ascii="Arial" w:cs="Arial" w:eastAsia="Arial" w:hAnsi="Arial"/>
                <w:color w:val="375623"/>
                <w:sz w:val="14"/>
                <w:szCs w:val="14"/>
              </w:rPr>
              <w:t xml:space="preserve">Low</w:t>
            </w:r>
          </w:p>
        </w:tc>
      </w:tr>
      <w:tr>
        <w:tc>
          <w:tcPr>
            <w:tcW w:type="dxa" w:w="960"/>
            <w:tcBorders>
              <w:top w:val="single" w:color="AAAAAA" w:sz="4"/>
              <w:left w:val="single" w:color="AAAAAA" w:sz="4"/>
              <w:bottom w:val="single" w:color="AAAAAA" w:sz="4"/>
              <w:right w:val="single" w:color="AAAAAA" w:sz="4"/>
            </w:tcBorders>
            <w:shd w:fill="EBF0FA" w:val="clear"/>
            <w:tcMar>
              <w:top w:type="dxa" w:w="60"/>
              <w:left w:type="dxa" w:w="80"/>
              <w:bottom w:type="dxa" w:w="60"/>
              <w:right w:type="dxa" w:w="80"/>
            </w:tcMar>
            <w:vAlign w:val="center"/>
          </w:tcPr>
          <w:p>
            <w:pPr>
              <w:jc w:val="center"/>
            </w:pPr>
            <w:r>
              <w:rPr>
                <w:rFonts w:ascii="Arial" w:cs="Arial" w:eastAsia="Arial" w:hAnsi="Arial"/>
                <w:b/>
                <w:bCs/>
                <w:color w:val="1A2340"/>
                <w:sz w:val="15"/>
                <w:szCs w:val="15"/>
              </w:rPr>
              <w:t xml:space="preserve">1 - Rare</w:t>
            </w:r>
          </w:p>
        </w:tc>
        <w:tc>
          <w:tcPr>
            <w:tcW w:type="dxa" w:w="1680"/>
            <w:tcBorders>
              <w:top w:val="single" w:color="AAAAAA" w:sz="4"/>
              <w:left w:val="single" w:color="AAAAAA" w:sz="4"/>
              <w:bottom w:val="single" w:color="AAAAAA" w:sz="4"/>
              <w:right w:val="single" w:color="AAAAAA" w:sz="4"/>
            </w:tcBorders>
            <w:shd w:fill="FFEB9C" w:val="clear"/>
            <w:tcMar>
              <w:top w:type="dxa" w:w="60"/>
              <w:left w:type="dxa" w:w="80"/>
              <w:bottom w:type="dxa" w:w="60"/>
              <w:right w:type="dxa" w:w="80"/>
            </w:tcMar>
            <w:vAlign w:val="center"/>
          </w:tcPr>
          <w:p>
            <w:pPr>
              <w:jc w:val="center"/>
            </w:pPr>
            <w:r>
              <w:rPr>
                <w:rFonts w:ascii="Arial" w:cs="Arial" w:eastAsia="Arial" w:hAnsi="Arial"/>
                <w:b/>
                <w:bCs/>
                <w:color w:val="7B4700"/>
                <w:sz w:val="16"/>
                <w:szCs w:val="16"/>
              </w:rPr>
              <w:t xml:space="preserve">5</w:t>
            </w:r>
          </w:p>
          <w:p>
            <w:pPr>
              <w:jc w:val="center"/>
            </w:pPr>
            <w:r>
              <w:rPr>
                <w:rFonts w:ascii="Arial" w:cs="Arial" w:eastAsia="Arial" w:hAnsi="Arial"/>
                <w:color w:val="7B4700"/>
                <w:sz w:val="14"/>
                <w:szCs w:val="14"/>
              </w:rPr>
              <w:t xml:space="preserve">Medium</w:t>
            </w:r>
          </w:p>
        </w:tc>
        <w:tc>
          <w:tcPr>
            <w:tcW w:type="dxa" w:w="1680"/>
            <w:tcBorders>
              <w:top w:val="single" w:color="AAAAAA" w:sz="4"/>
              <w:left w:val="single" w:color="AAAAAA" w:sz="4"/>
              <w:bottom w:val="single" w:color="AAAAAA" w:sz="4"/>
              <w:right w:val="single" w:color="AAAAAA" w:sz="4"/>
            </w:tcBorders>
            <w:shd w:fill="FFEB9C" w:val="clear"/>
            <w:tcMar>
              <w:top w:type="dxa" w:w="60"/>
              <w:left w:type="dxa" w:w="80"/>
              <w:bottom w:type="dxa" w:w="60"/>
              <w:right w:type="dxa" w:w="80"/>
            </w:tcMar>
            <w:vAlign w:val="center"/>
          </w:tcPr>
          <w:p>
            <w:pPr>
              <w:jc w:val="center"/>
            </w:pPr>
            <w:r>
              <w:rPr>
                <w:rFonts w:ascii="Arial" w:cs="Arial" w:eastAsia="Arial" w:hAnsi="Arial"/>
                <w:b/>
                <w:bCs/>
                <w:color w:val="7B4700"/>
                <w:sz w:val="16"/>
                <w:szCs w:val="16"/>
              </w:rPr>
              <w:t xml:space="preserve">4</w:t>
            </w:r>
          </w:p>
          <w:p>
            <w:pPr>
              <w:jc w:val="center"/>
            </w:pPr>
            <w:r>
              <w:rPr>
                <w:rFonts w:ascii="Arial" w:cs="Arial" w:eastAsia="Arial" w:hAnsi="Arial"/>
                <w:color w:val="7B4700"/>
                <w:sz w:val="14"/>
                <w:szCs w:val="14"/>
              </w:rPr>
              <w:t xml:space="preserve">Medium</w:t>
            </w:r>
          </w:p>
        </w:tc>
        <w:tc>
          <w:tcPr>
            <w:tcW w:type="dxa" w:w="1680"/>
            <w:tcBorders>
              <w:top w:val="single" w:color="AAAAAA" w:sz="4"/>
              <w:left w:val="single" w:color="AAAAAA" w:sz="4"/>
              <w:bottom w:val="single" w:color="AAAAAA" w:sz="4"/>
              <w:right w:val="single" w:color="AAAAAA" w:sz="4"/>
            </w:tcBorders>
            <w:shd w:fill="C6EFCE" w:val="clear"/>
            <w:tcMar>
              <w:top w:type="dxa" w:w="60"/>
              <w:left w:type="dxa" w:w="80"/>
              <w:bottom w:type="dxa" w:w="60"/>
              <w:right w:type="dxa" w:w="80"/>
            </w:tcMar>
            <w:vAlign w:val="center"/>
          </w:tcPr>
          <w:p>
            <w:pPr>
              <w:jc w:val="center"/>
            </w:pPr>
            <w:r>
              <w:rPr>
                <w:rFonts w:ascii="Arial" w:cs="Arial" w:eastAsia="Arial" w:hAnsi="Arial"/>
                <w:b/>
                <w:bCs/>
                <w:color w:val="375623"/>
                <w:sz w:val="16"/>
                <w:szCs w:val="16"/>
              </w:rPr>
              <w:t xml:space="preserve">3</w:t>
            </w:r>
          </w:p>
          <w:p>
            <w:pPr>
              <w:jc w:val="center"/>
            </w:pPr>
            <w:r>
              <w:rPr>
                <w:rFonts w:ascii="Arial" w:cs="Arial" w:eastAsia="Arial" w:hAnsi="Arial"/>
                <w:color w:val="375623"/>
                <w:sz w:val="14"/>
                <w:szCs w:val="14"/>
              </w:rPr>
              <w:t xml:space="preserve">Low</w:t>
            </w:r>
          </w:p>
        </w:tc>
        <w:tc>
          <w:tcPr>
            <w:tcW w:type="dxa" w:w="1680"/>
            <w:tcBorders>
              <w:top w:val="single" w:color="AAAAAA" w:sz="4"/>
              <w:left w:val="single" w:color="AAAAAA" w:sz="4"/>
              <w:bottom w:val="single" w:color="AAAAAA" w:sz="4"/>
              <w:right w:val="single" w:color="AAAAAA" w:sz="4"/>
            </w:tcBorders>
            <w:shd w:fill="C6EFCE" w:val="clear"/>
            <w:tcMar>
              <w:top w:type="dxa" w:w="60"/>
              <w:left w:type="dxa" w:w="80"/>
              <w:bottom w:type="dxa" w:w="60"/>
              <w:right w:type="dxa" w:w="80"/>
            </w:tcMar>
            <w:vAlign w:val="center"/>
          </w:tcPr>
          <w:p>
            <w:pPr>
              <w:jc w:val="center"/>
            </w:pPr>
            <w:r>
              <w:rPr>
                <w:rFonts w:ascii="Arial" w:cs="Arial" w:eastAsia="Arial" w:hAnsi="Arial"/>
                <w:b/>
                <w:bCs/>
                <w:color w:val="375623"/>
                <w:sz w:val="16"/>
                <w:szCs w:val="16"/>
              </w:rPr>
              <w:t xml:space="preserve">2</w:t>
            </w:r>
          </w:p>
          <w:p>
            <w:pPr>
              <w:jc w:val="center"/>
            </w:pPr>
            <w:r>
              <w:rPr>
                <w:rFonts w:ascii="Arial" w:cs="Arial" w:eastAsia="Arial" w:hAnsi="Arial"/>
                <w:color w:val="375623"/>
                <w:sz w:val="14"/>
                <w:szCs w:val="14"/>
              </w:rPr>
              <w:t xml:space="preserve">Low</w:t>
            </w:r>
          </w:p>
        </w:tc>
        <w:tc>
          <w:tcPr>
            <w:tcW w:type="dxa" w:w="1680"/>
            <w:tcBorders>
              <w:top w:val="single" w:color="AAAAAA" w:sz="4"/>
              <w:left w:val="single" w:color="AAAAAA" w:sz="4"/>
              <w:bottom w:val="single" w:color="AAAAAA" w:sz="4"/>
              <w:right w:val="single" w:color="AAAAAA" w:sz="4"/>
            </w:tcBorders>
            <w:shd w:fill="C6EFCE" w:val="clear"/>
            <w:tcMar>
              <w:top w:type="dxa" w:w="60"/>
              <w:left w:type="dxa" w:w="80"/>
              <w:bottom w:type="dxa" w:w="60"/>
              <w:right w:type="dxa" w:w="80"/>
            </w:tcMar>
            <w:vAlign w:val="center"/>
          </w:tcPr>
          <w:p>
            <w:pPr>
              <w:jc w:val="center"/>
            </w:pPr>
            <w:r>
              <w:rPr>
                <w:rFonts w:ascii="Arial" w:cs="Arial" w:eastAsia="Arial" w:hAnsi="Arial"/>
                <w:b/>
                <w:bCs/>
                <w:color w:val="375623"/>
                <w:sz w:val="16"/>
                <w:szCs w:val="16"/>
              </w:rPr>
              <w:t xml:space="preserve">1</w:t>
            </w:r>
          </w:p>
          <w:p>
            <w:pPr>
              <w:jc w:val="center"/>
            </w:pPr>
            <w:r>
              <w:rPr>
                <w:rFonts w:ascii="Arial" w:cs="Arial" w:eastAsia="Arial" w:hAnsi="Arial"/>
                <w:color w:val="375623"/>
                <w:sz w:val="14"/>
                <w:szCs w:val="14"/>
              </w:rPr>
              <w:t xml:space="preserve">Low</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6600"/>
      </w:tblGrid>
      <w:tr>
        <w:trPr>
          <w:tblHeader/>
        </w:trPr>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Rating</w:t>
            </w:r>
          </w:p>
        </w:tc>
        <w:tc>
          <w:tcPr>
            <w:tcW w:type="dxa" w:w="1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dxa" w:w="6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r>
      <w:tr>
        <w:tc>
          <w:tcPr>
            <w:tcW w:type="dxa" w:w="120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bCs/>
                <w:color w:val="9C0006"/>
                <w:sz w:val="18"/>
                <w:szCs w:val="18"/>
              </w:rPr>
              <w:t xml:space="preserve">Critical</w:t>
            </w:r>
          </w:p>
        </w:tc>
        <w:tc>
          <w:tcPr>
            <w:tcW w:type="dxa" w:w="156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15-25</w:t>
            </w:r>
          </w:p>
        </w:tc>
        <w:tc>
          <w:tcPr>
            <w:tcW w:type="dxa" w:w="660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Unacceptable risk. Deployment must not proceed. Immediate escalation to AIGC required.</w:t>
            </w:r>
          </w:p>
        </w:tc>
      </w:tr>
      <w:tr>
        <w:tc>
          <w:tcPr>
            <w:tcW w:type="dxa" w:w="120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bCs/>
                <w:color w:val="7B3700"/>
                <w:sz w:val="18"/>
                <w:szCs w:val="18"/>
              </w:rPr>
              <w:t xml:space="preserve">High</w:t>
            </w:r>
          </w:p>
        </w:tc>
        <w:tc>
          <w:tcPr>
            <w:tcW w:type="dxa" w:w="156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val="false"/>
                <w:bCs w:val="false"/>
                <w:color w:val="7B3700"/>
                <w:sz w:val="18"/>
                <w:szCs w:val="18"/>
              </w:rPr>
              <w:t xml:space="preserve">8-14</w:t>
            </w:r>
          </w:p>
        </w:tc>
        <w:tc>
          <w:tcPr>
            <w:tcW w:type="dxa" w:w="660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val="false"/>
                <w:bCs w:val="false"/>
                <w:color w:val="7B3700"/>
                <w:sz w:val="18"/>
                <w:szCs w:val="18"/>
              </w:rPr>
              <w:t xml:space="preserve">Significant risk. AIGC sign-off required before deployment. Mandatory treatment plan within 30 days.</w:t>
            </w:r>
          </w:p>
        </w:tc>
      </w:tr>
      <w:tr>
        <w:tc>
          <w:tcPr>
            <w:tcW w:type="dxa" w:w="1200"/>
            <w:tcBorders>
              <w:top w:val="single" w:color="DDE3EF" w:sz="4"/>
              <w:left w:val="single" w:color="DDE3EF" w:sz="4"/>
              <w:bottom w:val="single" w:color="DDE3EF" w:sz="4"/>
              <w:right w:val="single" w:color="DDE3EF" w:sz="4"/>
            </w:tcBorders>
            <w:shd w:fill="FFEB9C" w:val="clear"/>
            <w:tcMar>
              <w:top w:type="dxa" w:w="80"/>
              <w:left w:type="dxa" w:w="120"/>
              <w:bottom w:type="dxa" w:w="80"/>
              <w:right w:type="dxa" w:w="120"/>
            </w:tcMar>
            <w:vAlign w:val="center"/>
          </w:tcPr>
          <w:p>
            <w:pPr>
              <w:jc w:val="left"/>
            </w:pPr>
            <w:r>
              <w:rPr>
                <w:rFonts w:ascii="Arial" w:cs="Arial" w:eastAsia="Arial" w:hAnsi="Arial"/>
                <w:b/>
                <w:bCs/>
                <w:color w:val="7B4700"/>
                <w:sz w:val="18"/>
                <w:szCs w:val="18"/>
              </w:rPr>
              <w:t xml:space="preserve">Medium</w:t>
            </w:r>
          </w:p>
        </w:tc>
        <w:tc>
          <w:tcPr>
            <w:tcW w:type="dxa" w:w="1560"/>
            <w:tcBorders>
              <w:top w:val="single" w:color="DDE3EF" w:sz="4"/>
              <w:left w:val="single" w:color="DDE3EF" w:sz="4"/>
              <w:bottom w:val="single" w:color="DDE3EF" w:sz="4"/>
              <w:right w:val="single" w:color="DDE3EF"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7B4700"/>
                <w:sz w:val="18"/>
                <w:szCs w:val="18"/>
              </w:rPr>
              <w:t xml:space="preserve">4-7</w:t>
            </w:r>
          </w:p>
        </w:tc>
        <w:tc>
          <w:tcPr>
            <w:tcW w:type="dxa" w:w="6600"/>
            <w:tcBorders>
              <w:top w:val="single" w:color="DDE3EF" w:sz="4"/>
              <w:left w:val="single" w:color="DDE3EF" w:sz="4"/>
              <w:bottom w:val="single" w:color="DDE3EF" w:sz="4"/>
              <w:right w:val="single" w:color="DDE3EF"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7B4700"/>
                <w:sz w:val="18"/>
                <w:szCs w:val="18"/>
              </w:rPr>
              <w:t xml:space="preserve">Elevated risk. Department Head and CISO/vCISO review required. Controls must be in place within 90 days.</w:t>
            </w:r>
          </w:p>
        </w:tc>
      </w:tr>
      <w:tr>
        <w:tc>
          <w:tcPr>
            <w:tcW w:type="dxa" w:w="1200"/>
            <w:tcBorders>
              <w:top w:val="single" w:color="DDE3EF" w:sz="4"/>
              <w:left w:val="single" w:color="DDE3EF" w:sz="4"/>
              <w:bottom w:val="single" w:color="DDE3EF" w:sz="4"/>
              <w:right w:val="single" w:color="DDE3EF" w:sz="4"/>
            </w:tcBorders>
            <w:shd w:fill="C6EFCE"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Low</w:t>
            </w:r>
          </w:p>
        </w:tc>
        <w:tc>
          <w:tcPr>
            <w:tcW w:type="dxa" w:w="1560"/>
            <w:tcBorders>
              <w:top w:val="single" w:color="DDE3EF" w:sz="4"/>
              <w:left w:val="single" w:color="DDE3EF" w:sz="4"/>
              <w:bottom w:val="single" w:color="DDE3EF" w:sz="4"/>
              <w:right w:val="single" w:color="DDE3EF" w:sz="4"/>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1-3</w:t>
            </w:r>
          </w:p>
        </w:tc>
        <w:tc>
          <w:tcPr>
            <w:tcW w:type="dxa" w:w="6600"/>
            <w:tcBorders>
              <w:top w:val="single" w:color="DDE3EF" w:sz="4"/>
              <w:left w:val="single" w:color="DDE3EF" w:sz="4"/>
              <w:bottom w:val="single" w:color="DDE3EF" w:sz="4"/>
              <w:right w:val="single" w:color="DDE3EF" w:sz="4"/>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Acceptable risk with standard controls. AI System Owner approval sufficient. Document and monitor.</w:t>
            </w:r>
          </w:p>
        </w:tc>
      </w:tr>
    </w:tbl>
    <w:p>
      <w:r>
        <w:br w:type="page"/>
      </w:r>
    </w:p>
    <w:p>
      <w:pPr>
        <w:pStyle w:val="Heading1"/>
        <w:pBdr>
          <w:bottom w:val="single" w:color="07B4D9" w:sz="6"/>
        </w:pBdr>
        <w:spacing w:after="120" w:before="360"/>
      </w:pPr>
      <w:r>
        <w:rPr>
          <w:rFonts w:ascii="Arial" w:cs="Arial" w:eastAsia="Arial" w:hAnsi="Arial"/>
          <w:b/>
          <w:bCs/>
          <w:color w:val="152168"/>
          <w:sz w:val="26"/>
          <w:szCs w:val="26"/>
        </w:rPr>
        <w:t xml:space="preserve">Appendix C: Tier 1 AI Tool Vendor Review Checklist</w:t>
      </w:r>
    </w:p>
    <w:p>
      <w:pPr>
        <w:spacing w:after="100" w:before="60"/>
      </w:pPr>
      <w:r>
        <w:rPr>
          <w:rFonts w:ascii="Arial" w:cs="Arial" w:eastAsia="Arial" w:hAnsi="Arial"/>
          <w:color w:val="1A2340"/>
          <w:sz w:val="20"/>
          <w:szCs w:val="20"/>
        </w:rPr>
        <w:t xml:space="preserve">Complete this checklist annually for each Tier 1 AI tool in use. File the completed checklist in the vendor risk management record for the tool.</w:t>
      </w:r>
    </w:p>
    <w:p>
      <w:pPr>
        <w:spacing w:after="80" w:before="0"/>
      </w:pPr>
      <w:r>
        <w:t xml:space="preserve"/>
      </w:r>
    </w:p>
    <w:p>
      <w:pPr>
        <w:spacing w:after="80" w:before="60"/>
      </w:pPr>
      <w:r>
        <w:rPr>
          <w:rFonts w:ascii="Arial" w:cs="Arial" w:eastAsia="Arial" w:hAnsi="Arial"/>
          <w:color w:val="1A2340"/>
          <w:sz w:val="18"/>
          <w:szCs w:val="18"/>
        </w:rPr>
        <w:t xml:space="preserve">Vendor: _________________________  Tool: _________________________  Review Date: ___________  Reviewer: _________________________</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Checklist Item</w:t>
            </w:r>
          </w:p>
        </w:tc>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w:t>
            </w:r>
          </w:p>
        </w:tc>
      </w:tr>
      <w:tr>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Current SOC 2 Type II report obtained and reviewed</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Data Processing Agreement (DPA) signed and on file</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DPA explicitly covers the data categories we share with this tool</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Vendor confirms no use of our data to train AI models (contractually or in product documentation)</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Data residency and storage location documented and acceptable</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Breach notification SLA confirmed (specify: _____ hours)</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Subprocessor list reviewed and accepted</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AI-specific security documentation reviewed (prompt injection controls, model access management)</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Applicable regulatory compliance posture verified (GDPR / PIPEDA / CCPA / other: _____)</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Incident history reviewed - no material security incidents in past 12 months</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Terms of service changes reviewed since last annual review</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Model update notification process confirmed with vendor</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Access control configuration reviewed (MFA, SSO, user provisioning)</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Data deletion / retention policy confirmed for AI-processed data</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bl>
    <w:p>
      <w:pPr>
        <w:spacing w:after="120" w:before="0"/>
      </w:pPr>
      <w:r>
        <w:t xml:space="preserve"/>
      </w:r>
    </w:p>
    <w:p>
      <w:pPr>
        <w:spacing w:after="100" w:before="60"/>
      </w:pPr>
      <w:r>
        <w:rPr>
          <w:rFonts w:ascii="Arial" w:cs="Arial" w:eastAsia="Arial" w:hAnsi="Arial"/>
          <w:color w:val="1A2340"/>
          <w:sz w:val="20"/>
          <w:szCs w:val="20"/>
        </w:rPr>
        <w:t xml:space="preserve">Notes / Findings: _______________________________________________________________</w:t>
      </w:r>
    </w:p>
    <w:p>
      <w:pPr>
        <w:spacing w:after="60" w:before="0"/>
      </w:pPr>
      <w:r>
        <w:t xml:space="preserve"/>
      </w:r>
    </w:p>
    <w:p>
      <w:pPr>
        <w:spacing w:after="100" w:before="60"/>
      </w:pPr>
      <w:r>
        <w:rPr>
          <w:rFonts w:ascii="Arial" w:cs="Arial" w:eastAsia="Arial" w:hAnsi="Arial"/>
          <w:color w:val="1A2340"/>
          <w:sz w:val="20"/>
          <w:szCs w:val="20"/>
        </w:rPr>
        <w:t xml:space="preserve">Overall Assessment:  [ ] Approved for continued use  [ ] Conditional approval (see notes)  [ ] Escalate to AIGC</w:t>
      </w:r>
    </w:p>
    <w:p>
      <w:pPr>
        <w:spacing w:after="60" w:before="0"/>
      </w:pPr>
      <w:r>
        <w:t xml:space="preserve"/>
      </w:r>
    </w:p>
    <w:p>
      <w:pPr>
        <w:spacing w:after="100" w:before="60"/>
      </w:pPr>
      <w:r>
        <w:rPr>
          <w:rFonts w:ascii="Arial" w:cs="Arial" w:eastAsia="Arial" w:hAnsi="Arial"/>
          <w:color w:val="1A2340"/>
          <w:sz w:val="20"/>
          <w:szCs w:val="20"/>
        </w:rPr>
        <w:t xml:space="preserve">Reviewer Signature: ___________________________  Date: ___________________________</w:t>
      </w:r>
    </w:p>
    <w:p>
      <w:r>
        <w:br w:type="page"/>
      </w:r>
    </w:p>
    <w:p>
      <w:pPr>
        <w:pStyle w:val="Heading1"/>
        <w:pBdr>
          <w:bottom w:val="single" w:color="07B4D9" w:sz="6"/>
        </w:pBdr>
        <w:spacing w:after="120" w:before="360"/>
      </w:pPr>
      <w:r>
        <w:rPr>
          <w:rFonts w:ascii="Arial" w:cs="Arial" w:eastAsia="Arial" w:hAnsi="Arial"/>
          <w:b/>
          <w:bCs/>
          <w:color w:val="152168"/>
          <w:sz w:val="26"/>
          <w:szCs w:val="26"/>
        </w:rPr>
        <w:t xml:space="preserve">Appendix D: NIST AI RMF / ISO 42001 / ISO 31000 Mapping</w:t>
      </w:r>
    </w:p>
    <w:p>
      <w:pPr>
        <w:spacing w:after="100" w:before="60"/>
      </w:pPr>
      <w:r>
        <w:rPr>
          <w:rFonts w:ascii="Arial" w:cs="Arial" w:eastAsia="Arial" w:hAnsi="Arial"/>
          <w:color w:val="1A2340"/>
          <w:sz w:val="20"/>
          <w:szCs w:val="20"/>
        </w:rPr>
        <w:t xml:space="preserve">The following table maps the key requirements of this policy to the relevant functions and categories of the NIST AI Risk Management Framework 1.0, ISO/IEC 42001:2023, and ISO 31000:2018.</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520"/>
        <w:gridCol w:w="2520"/>
        <w:gridCol w:w="2760"/>
      </w:tblGrid>
      <w:tr>
        <w:trPr>
          <w:tblHeader/>
        </w:trPr>
        <w:tc>
          <w:tcPr>
            <w:tcW w:type="dxa" w:w="1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Policy Section</w:t>
            </w:r>
          </w:p>
        </w:tc>
        <w:tc>
          <w:tcPr>
            <w:tcW w:type="dxa" w:w="25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NIST AI RMF</w:t>
            </w:r>
          </w:p>
        </w:tc>
        <w:tc>
          <w:tcPr>
            <w:tcW w:type="dxa" w:w="25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ISO/IEC 42001:2023</w:t>
            </w:r>
          </w:p>
        </w:tc>
        <w:tc>
          <w:tcPr>
            <w:tcW w:type="dxa" w:w="2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31000:2018</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6"/>
                <w:szCs w:val="16"/>
              </w:rPr>
              <w:t xml:space="preserve">1. Purpose</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GOVERN 1.1, 1.2</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4.1, 5.2</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4.1, 5.4</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6"/>
                <w:szCs w:val="16"/>
              </w:rPr>
              <w:t xml:space="preserve">2. Scope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GOVERN 1.3, 1.7</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4.3</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4.3</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6"/>
                <w:szCs w:val="16"/>
              </w:rPr>
              <w:t xml:space="preserve">3. Policy Statement</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GOVERN 1.1</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5.2</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5.2</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6"/>
                <w:szCs w:val="16"/>
              </w:rPr>
              <w:t xml:space="preserve">4. Definitions</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GOVERN 1.5</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3</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3</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6"/>
                <w:szCs w:val="16"/>
              </w:rPr>
              <w:t xml:space="preserve">5. Roles</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GOVERN 1.2, 2.2</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5.3</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5.4</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6"/>
                <w:szCs w:val="16"/>
              </w:rPr>
              <w:t xml:space="preserve">6.1 Risk Appetite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GOVERN 1.4</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6.1.2</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5.4.2</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6"/>
                <w:szCs w:val="16"/>
              </w:rPr>
              <w:t xml:space="preserve">6.2 Risk ID</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MAP 1.1, 2.1, 3.5</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8.4</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6.4.2</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6"/>
                <w:szCs w:val="16"/>
              </w:rPr>
              <w:t xml:space="preserve">6.3 Risk Assessment</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MAP 1.5, 5.1, MEASURE 1.1</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8.4</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6.4.3</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6"/>
                <w:szCs w:val="16"/>
              </w:rPr>
              <w:t xml:space="preserve">6.4 Risk Register</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GOVERN 1.4, MANAGE 1.3</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6.1.2</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6.4</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6"/>
                <w:szCs w:val="16"/>
              </w:rPr>
              <w:t xml:space="preserve">6.5 Risk Treatment</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MANAGE 2.2, 3.1</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6.1.3</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6.5</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6"/>
                <w:szCs w:val="16"/>
              </w:rPr>
              <w:t xml:space="preserve">6.6 Risk Acceptance</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MANAGE 4.2</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6.1.3</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6.5.5</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6"/>
                <w:szCs w:val="16"/>
              </w:rPr>
              <w:t xml:space="preserve">6.7 Vendor Risk</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GOVERN 6.1, 6.2</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8.6, 8.7</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6.4.3</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6"/>
                <w:szCs w:val="16"/>
              </w:rPr>
              <w:t xml:space="preserve">6.8 Monitoring</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MEASURE 2.5, MANAGE 4.1</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9.1</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6.6</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6"/>
                <w:szCs w:val="16"/>
              </w:rPr>
              <w:t xml:space="preserve">6.9 Reporting</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GOVERN 5.1, 5.2</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9.3</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6"/>
                <w:szCs w:val="16"/>
              </w:rPr>
              <w:t xml:space="preserve">5.4.6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pBdr>
      <w:spacing w:before="120"/>
      <w:jc w:val="cente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6"/>
      </w:pBdr>
      <w:tabs>
        <w:tab w:val="right" w:pos="9026"/>
      </w:tabs>
      <w:spacing w:after="120"/>
    </w:pPr>
    <w:r>
      <w:rPr>
        <w:rFonts w:ascii="Arial" w:cs="Arial" w:eastAsia="Arial" w:hAnsi="Arial"/>
        <w:color w:val="5A6A8A"/>
        <w:sz w:val="16"/>
        <w:szCs w:val="16"/>
      </w:rPr>
      <w:t xml:space="preserve">ENT-Draft-POL-AI Risk Management-Comprehensive-6.26  |  AI Risk Management Policy</w:t>
    </w:r>
    <w:r>
      <w:rPr>
        <w:rFonts w:ascii="Arial" w:cs="Arial" w:eastAsia="Arial" w:hAnsi="Arial"/>
        <w:sz w:val="16"/>
        <w:szCs w:val="16"/>
      </w:rPr>
      <w:t xml:space="preserve">	</w:t>
    </w: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52168"/>
      <w:sz w:val="26"/>
      <w:szCs w:val="26"/>
    </w:rPr>
  </w:style>
  <w:style w:type="paragraph" w:styleId="Heading2">
    <w:name w:val="Heading 2"/>
    <w:basedOn w:val="Normal"/>
    <w:next w:val="Normal"/>
    <w:qFormat/>
    <w:pPr>
      <w:spacing w:after="80" w:before="240"/>
      <w:outlineLvl w:val="1"/>
    </w:pPr>
    <w:rPr>
      <w:rFonts w:ascii="Arial" w:cs="Arial" w:eastAsia="Arial" w:hAnsi="Arial"/>
      <w:b/>
      <w:bCs/>
      <w:color w:val="152168"/>
      <w:sz w:val="22"/>
      <w:szCs w:val="22"/>
    </w:rPr>
  </w:style>
  <w:style w:type="paragraph" w:styleId="Heading3">
    <w:name w:val="Heading 3"/>
    <w:basedOn w:val="Normal"/>
    <w:next w:val="Normal"/>
    <w:qFormat/>
    <w:pPr>
      <w:spacing w:after="60" w:before="180"/>
      <w:outlineLvl w:val="2"/>
    </w:pPr>
    <w:rPr>
      <w:rFonts w:ascii="Arial" w:cs="Arial" w:eastAsia="Arial" w:hAnsi="Arial"/>
      <w:b/>
      <w:bCs/>
      <w:color w:val="4F46E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2026-06-19T00:25:17.935Z</dcterms:created>
  <dcterms:modified xsi:type="dcterms:W3CDTF">2026-06-19T00:25:17.935Z</dcterms:modified>
</cp:coreProperties>
</file>

<file path=docProps/custom.xml><?xml version="1.0" encoding="utf-8"?>
<Properties xmlns="http://schemas.openxmlformats.org/officeDocument/2006/custom-properties" xmlns:vt="http://schemas.openxmlformats.org/officeDocument/2006/docPropsVTypes"/>
</file>