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52168" w:color="auto" w:val="clear"/>
        <w:spacing w:after="0" w:before="0"/>
      </w:pPr>
      <w:r>
        <w:rPr>
          <w:sz w:val="4"/>
          <w:szCs w:val="4"/>
        </w:rPr>
        <w:t xml:space="preserve"> </w:t>
      </w:r>
    </w:p>
    <w:p>
      <w:pPr>
        <w:shd w:fill="152168" w:color="auto" w:val="clear"/>
        <w:spacing w:after="80" w:before="160"/>
        <w:jc w:val="center"/>
      </w:pPr>
      <w:r>
        <w:rPr>
          <w:b/>
          <w:bCs/>
          <w:color w:val="07B4D9"/>
          <w:sz w:val="28"/>
          <w:szCs w:val="28"/>
        </w:rPr>
        <w:t xml:space="preserve">[ORGANIZATION NAME]</w:t>
      </w:r>
    </w:p>
    <w:p>
      <w:pPr>
        <w:shd w:fill="152168" w:color="auto" w:val="clear"/>
        <w:spacing w:after="0" w:before="0"/>
        <w:jc w:val="center"/>
      </w:pPr>
      <w:r>
        <w:rPr>
          <w:b/>
          <w:bCs/>
          <w:color w:val="FFFFFF"/>
          <w:sz w:val="40"/>
          <w:szCs w:val="40"/>
        </w:rPr>
        <w:t xml:space="preserve">Artificial Intelligence Transparency and Accountability Policy</w:t>
      </w:r>
    </w:p>
    <w:p>
      <w:pPr>
        <w:shd w:fill="152168" w:color="auto" w:val="clear"/>
        <w:spacing w:after="160" w:before="80"/>
        <w:jc w:val="center"/>
      </w:pPr>
      <w:r>
        <w:rPr>
          <w:color w:val="07B4D9"/>
          <w:sz w:val="18"/>
          <w:szCs w:val="18"/>
        </w:rPr>
        <w:t xml:space="preserve">NIST AI RMF 1.0 (GOVERN, MAP)  |  ISO/IEC 42001:2023 Clauses 7.4, 8.5, 8.6  |  EU AI Act (Articles 13, 14, 22)  |  GDPR Article 22</w:t>
      </w:r>
    </w:p>
    <w:p>
      <w:pPr>
        <w:shd w:fill="152168" w:color="auto" w:val="clear"/>
        <w:spacing w:after="0" w:before="0"/>
      </w:pPr>
      <w:r>
        <w:rPr>
          <w:sz w:val="4"/>
          <w:szCs w:val="4"/>
        </w:rPr>
        <w:t xml:space="preserve"> </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bCs/>
                <w:color w:val="1A2340"/>
                <w:sz w:val="22"/>
                <w:szCs w:val="22"/>
              </w:rPr>
              <w:t xml:space="preserve">Document ID</w:t>
            </w:r>
          </w:p>
        </w:tc>
        <w:tc>
          <w:tcPr>
            <w:tcW w:type="dxa" w:w="69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ENT-Draft-POL-AI Transparency and Accountability-Comprehensive-6.26</w:t>
            </w:r>
          </w:p>
        </w:tc>
      </w:tr>
      <w:tr>
        <w:tc>
          <w:tcPr>
            <w:tcW w:type="dxa" w:w="240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bCs/>
                <w:color w:val="1A2340"/>
                <w:sz w:val="22"/>
                <w:szCs w:val="22"/>
              </w:rPr>
              <w:t xml:space="preserve">Classification</w:t>
            </w:r>
          </w:p>
        </w:tc>
        <w:tc>
          <w:tcPr>
            <w:tcW w:type="dxa" w:w="69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INTERNAL — CONFIDENTIAL</w:t>
            </w:r>
          </w:p>
        </w:tc>
      </w:tr>
      <w:tr>
        <w:tc>
          <w:tcPr>
            <w:tcW w:type="dxa" w:w="240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bCs/>
                <w:color w:val="1A2340"/>
                <w:sz w:val="22"/>
                <w:szCs w:val="22"/>
              </w:rPr>
              <w:t xml:space="preserve">Version</w:t>
            </w:r>
          </w:p>
        </w:tc>
        <w:tc>
          <w:tcPr>
            <w:tcW w:type="dxa" w:w="69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Draft 1.0</w:t>
            </w:r>
          </w:p>
        </w:tc>
      </w:tr>
      <w:tr>
        <w:tc>
          <w:tcPr>
            <w:tcW w:type="dxa" w:w="240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bCs/>
                <w:color w:val="1A2340"/>
                <w:sz w:val="22"/>
                <w:szCs w:val="22"/>
              </w:rPr>
              <w:t xml:space="preserve">Date</w:t>
            </w:r>
          </w:p>
        </w:tc>
        <w:tc>
          <w:tcPr>
            <w:tcW w:type="dxa" w:w="69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June 2026</w:t>
            </w:r>
          </w:p>
        </w:tc>
      </w:tr>
      <w:tr>
        <w:tc>
          <w:tcPr>
            <w:tcW w:type="dxa" w:w="240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bCs/>
                <w:color w:val="1A2340"/>
                <w:sz w:val="22"/>
                <w:szCs w:val="22"/>
              </w:rPr>
              <w:t xml:space="preserve">Owner</w:t>
            </w:r>
          </w:p>
        </w:tc>
        <w:tc>
          <w:tcPr>
            <w:tcW w:type="dxa" w:w="69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CISO / vCISO</w:t>
            </w:r>
          </w:p>
        </w:tc>
      </w:tr>
      <w:tr>
        <w:tc>
          <w:tcPr>
            <w:tcW w:type="dxa" w:w="240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bCs/>
                <w:color w:val="1A2340"/>
                <w:sz w:val="22"/>
                <w:szCs w:val="22"/>
              </w:rPr>
              <w:t xml:space="preserve">Approved By</w:t>
            </w:r>
          </w:p>
        </w:tc>
        <w:tc>
          <w:tcPr>
            <w:tcW w:type="dxa" w:w="69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[Pending Approval]</w:t>
            </w:r>
          </w:p>
        </w:tc>
      </w:tr>
      <w:tr>
        <w:tc>
          <w:tcPr>
            <w:tcW w:type="dxa" w:w="240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bCs/>
                <w:color w:val="1A2340"/>
                <w:sz w:val="22"/>
                <w:szCs w:val="22"/>
              </w:rPr>
              <w:t xml:space="preserve">Next Review</w:t>
            </w:r>
          </w:p>
        </w:tc>
        <w:tc>
          <w:tcPr>
            <w:tcW w:type="dxa" w:w="69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June 2027</w:t>
            </w:r>
          </w:p>
        </w:tc>
      </w:tr>
    </w:tbl>
    <w:p>
      <w:pPr>
        <w:spacing w:after="0" w:before="200"/>
      </w:pPr>
    </w:p>
    <w:p>
      <w:r>
        <w:br w:type="page"/>
      </w:r>
    </w:p>
    <w:p>
      <w:pPr>
        <w:pStyle w:val="Heading1"/>
        <w:spacing w:after="120" w:before="320"/>
      </w:pPr>
      <w:r>
        <w:rPr>
          <w:b/>
          <w:bCs/>
          <w:color w:val="07B4D9"/>
          <w:sz w:val="32"/>
          <w:szCs w:val="32"/>
        </w:rPr>
        <w:t xml:space="preserve">1. </w:t>
      </w:r>
      <w:r>
        <w:rPr>
          <w:b/>
          <w:bCs/>
          <w:color w:val="152168"/>
          <w:sz w:val="32"/>
          <w:szCs w:val="32"/>
        </w:rPr>
        <w:t xml:space="preserve">Purpose</w:t>
      </w:r>
    </w:p>
    <w:p>
      <w:pPr>
        <w:pBdr>
          <w:bottom w:val="single" w:color="07B4D9" w:sz="6" w:space="1"/>
        </w:pBdr>
        <w:spacing w:after="120" w:before="120"/>
      </w:pPr>
    </w:p>
    <w:p>
      <w:pPr>
        <w:spacing w:after="100" w:before="60"/>
      </w:pPr>
      <w:r>
        <w:rPr>
          <w:color w:val="1A2340"/>
          <w:sz w:val="22"/>
          <w:szCs w:val="22"/>
        </w:rPr>
        <w:t xml:space="preserve">This Policy establishes the obligations of [Organization Name] and all individuals who use artificial intelligence (AI) tools in the course of their work. It governs how AI use is disclosed, how accountability is maintained, and how human judgment is preserved in consequential decisions.</w:t>
      </w:r>
    </w:p>
    <w:p>
      <w:pPr>
        <w:spacing w:after="0" w:before="80"/>
      </w:pPr>
    </w:p>
    <w:p>
      <w:pPr>
        <w:spacing w:after="100" w:before="60"/>
      </w:pPr>
      <w:r>
        <w:rPr>
          <w:color w:val="1A2340"/>
          <w:sz w:val="22"/>
          <w:szCs w:val="22"/>
        </w:rPr>
        <w:t xml:space="preserve">AI tools covered by this Policy include, but are not limited to: Microsoft Copilot, ChatGPT Enterprise, Google Gemini, Claude (Anthropic), and any AI-assisted feature embedded in business applications including email clients, document editors, collaboration platforms, and CRM or ERP systems.</w:t>
      </w:r>
    </w:p>
    <w:p>
      <w:pPr>
        <w:spacing w:after="0" w:before="80"/>
      </w:pPr>
    </w:p>
    <w:p>
      <w:pPr>
        <w:spacing w:after="100" w:before="60"/>
      </w:pPr>
      <w:r>
        <w:rPr>
          <w:color w:val="1A2340"/>
          <w:sz w:val="22"/>
          <w:szCs w:val="22"/>
        </w:rPr>
        <w:t xml:space="preserve">This Policy does not govern the engineering, procurement, or deployment of AI systems. It governs the use of AI by staff in their daily work. For AI system governance and risk management, refer to the AI Risk Management Policy.</w:t>
      </w:r>
    </w:p>
    <w:p>
      <w:pPr>
        <w:pStyle w:val="Heading1"/>
        <w:spacing w:after="120" w:before="320"/>
      </w:pPr>
      <w:r>
        <w:rPr>
          <w:b/>
          <w:bCs/>
          <w:color w:val="07B4D9"/>
          <w:sz w:val="32"/>
          <w:szCs w:val="32"/>
        </w:rPr>
        <w:t xml:space="preserve">2. </w:t>
      </w:r>
      <w:r>
        <w:rPr>
          <w:b/>
          <w:bCs/>
          <w:color w:val="152168"/>
          <w:sz w:val="32"/>
          <w:szCs w:val="32"/>
        </w:rPr>
        <w:t xml:space="preserve">Scope</w:t>
      </w:r>
    </w:p>
    <w:p>
      <w:pPr>
        <w:pBdr>
          <w:bottom w:val="single" w:color="07B4D9" w:sz="6" w:space="1"/>
        </w:pBdr>
        <w:spacing w:after="120" w:before="120"/>
      </w:pPr>
    </w:p>
    <w:p>
      <w:pPr>
        <w:spacing w:after="100" w:before="60"/>
      </w:pPr>
      <w:r>
        <w:rPr>
          <w:color w:val="1A2340"/>
          <w:sz w:val="22"/>
          <w:szCs w:val="22"/>
        </w:rPr>
        <w:t xml:space="preserve">This Policy applies to:</w:t>
      </w:r>
    </w:p>
    <w:p>
      <w:pPr>
        <w:pStyle w:val="ListParagraph"/>
        <w:numPr>
          <w:ilvl w:val="0"/>
          <w:numId w:val="2"/>
        </w:numPr>
        <w:spacing w:after="40" w:before="40"/>
      </w:pPr>
      <w:r>
        <w:rPr>
          <w:color w:val="1A2340"/>
          <w:sz w:val="22"/>
          <w:szCs w:val="22"/>
        </w:rPr>
        <w:t xml:space="preserve">All employees, contractors, and third-party service providers acting on behalf of [Organization Name].</w:t>
      </w:r>
    </w:p>
    <w:p>
      <w:pPr>
        <w:pStyle w:val="ListParagraph"/>
        <w:numPr>
          <w:ilvl w:val="0"/>
          <w:numId w:val="2"/>
        </w:numPr>
        <w:spacing w:after="40" w:before="40"/>
      </w:pPr>
      <w:r>
        <w:rPr>
          <w:color w:val="1A2340"/>
          <w:sz w:val="22"/>
          <w:szCs w:val="22"/>
        </w:rPr>
        <w:t xml:space="preserve">All use of AI tools to create, draft, edit, summarise, analyse, or produce any work product — including documents, emails, reports, decisions, and communications.</w:t>
      </w:r>
    </w:p>
    <w:p>
      <w:pPr>
        <w:pStyle w:val="ListParagraph"/>
        <w:numPr>
          <w:ilvl w:val="0"/>
          <w:numId w:val="2"/>
        </w:numPr>
        <w:spacing w:after="40" w:before="40"/>
      </w:pPr>
      <w:r>
        <w:rPr>
          <w:color w:val="1A2340"/>
          <w:sz w:val="22"/>
          <w:szCs w:val="22"/>
        </w:rPr>
        <w:t xml:space="preserve">All channels and contexts in which AI-assisted work product is used or shared — internal, external, regulated, and public.</w:t>
      </w:r>
    </w:p>
    <w:p>
      <w:pPr>
        <w:spacing w:after="0" w:before="80"/>
      </w:pPr>
    </w:p>
    <w:p>
      <w:pPr>
        <w:spacing w:after="100" w:before="60"/>
      </w:pPr>
      <w:r>
        <w:rPr>
          <w:color w:val="1A2340"/>
          <w:sz w:val="22"/>
          <w:szCs w:val="22"/>
        </w:rPr>
        <w:t xml:space="preserve">This Policy applies regardless of whether the AI tool is organization-supplied or personally obtained. Staff using personal AI subscriptions for work purposes are bound by this Policy.</w:t>
      </w:r>
    </w:p>
    <w:p>
      <w:pPr>
        <w:pStyle w:val="Heading1"/>
        <w:spacing w:after="120" w:before="320"/>
      </w:pPr>
      <w:r>
        <w:rPr>
          <w:b/>
          <w:bCs/>
          <w:color w:val="07B4D9"/>
          <w:sz w:val="32"/>
          <w:szCs w:val="32"/>
        </w:rPr>
        <w:t xml:space="preserve">3. </w:t>
      </w:r>
      <w:r>
        <w:rPr>
          <w:b/>
          <w:bCs/>
          <w:color w:val="152168"/>
          <w:sz w:val="32"/>
          <w:szCs w:val="32"/>
        </w:rPr>
        <w:t xml:space="preserve">Policy Statement</w:t>
      </w:r>
    </w:p>
    <w:p>
      <w:pPr>
        <w:pBdr>
          <w:bottom w:val="single" w:color="07B4D9" w:sz="6" w:space="1"/>
        </w:pBdr>
        <w:spacing w:after="120" w:before="120"/>
      </w:pPr>
    </w:p>
    <w:p>
      <w:pPr>
        <w:spacing w:after="100" w:before="60"/>
      </w:pPr>
      <w:r>
        <w:rPr>
          <w:color w:val="1A2340"/>
          <w:sz w:val="22"/>
          <w:szCs w:val="22"/>
        </w:rPr>
        <w:t xml:space="preserve">This organization is committed to the responsible, transparent, and accountable use of artificial intelligence. The following six principles govern all AI use within scope of this Policy:</w:t>
      </w:r>
    </w:p>
    <w:p>
      <w:pPr>
        <w:spacing w:after="0" w:before="120"/>
      </w:pPr>
    </w:p>
    <w:p>
      <w:pPr>
        <w:shd w:fill="152168" w:color="auto" w:val="clear"/>
        <w:spacing w:after="80" w:before="80"/>
        <w:ind w:left="120" w:right="120"/>
      </w:pPr>
      <w:r>
        <w:rPr>
          <w:b/>
          <w:bCs/>
          <w:color w:val="FFFFFF"/>
          <w:sz w:val="22"/>
          <w:szCs w:val="22"/>
        </w:rPr>
        <w:t xml:space="preserve">Principle 1 — Human Primacy</w:t>
      </w:r>
    </w:p>
    <w:p>
      <w:pPr>
        <w:spacing w:after="100" w:before="60"/>
      </w:pPr>
      <w:r>
        <w:rPr>
          <w:color w:val="1A2340"/>
          <w:sz w:val="22"/>
          <w:szCs w:val="22"/>
        </w:rPr>
        <w:t xml:space="preserve">AI is a tool. All decisions, communications, and work products for which an individual or the organization is responsible remain the responsibility of a named human being. AI outputs must be reviewed, validated, and owned by a human before they are acted upon or shared.</w:t>
      </w:r>
    </w:p>
    <w:p>
      <w:pPr>
        <w:spacing w:after="0" w:before="80"/>
      </w:pPr>
    </w:p>
    <w:p>
      <w:pPr>
        <w:shd w:fill="EBF0FA" w:color="auto" w:val="clear"/>
        <w:spacing w:after="80" w:before="80"/>
        <w:ind w:left="120" w:right="120"/>
      </w:pPr>
      <w:r>
        <w:rPr>
          <w:b/>
          <w:bCs/>
          <w:color w:val="1A2340"/>
          <w:sz w:val="22"/>
          <w:szCs w:val="22"/>
        </w:rPr>
        <w:t xml:space="preserve">Principle 2 — Explainability</w:t>
      </w:r>
    </w:p>
    <w:p>
      <w:pPr>
        <w:spacing w:after="100" w:before="60"/>
      </w:pPr>
      <w:r>
        <w:rPr>
          <w:color w:val="1A2340"/>
          <w:sz w:val="22"/>
          <w:szCs w:val="22"/>
        </w:rPr>
        <w:t xml:space="preserve">Individuals who use AI to assist in producing a work product must be able to explain, in plain language, what the AI did and what human judgment they applied. Technical knowledge of AI model internals is not required. Outcome-level explanation is required.</w:t>
      </w:r>
    </w:p>
    <w:p>
      <w:pPr>
        <w:spacing w:after="0" w:before="80"/>
      </w:pPr>
    </w:p>
    <w:p>
      <w:pPr>
        <w:shd w:fill="152168" w:color="auto" w:val="clear"/>
        <w:spacing w:after="80" w:before="80"/>
        <w:ind w:left="120" w:right="120"/>
      </w:pPr>
      <w:r>
        <w:rPr>
          <w:b/>
          <w:bCs/>
          <w:color w:val="FFFFFF"/>
          <w:sz w:val="22"/>
          <w:szCs w:val="22"/>
        </w:rPr>
        <w:t xml:space="preserve">Principle 3 — Honest Disclosure</w:t>
      </w:r>
    </w:p>
    <w:p>
      <w:pPr>
        <w:spacing w:after="100" w:before="60"/>
      </w:pPr>
      <w:r>
        <w:rPr>
          <w:color w:val="1A2340"/>
          <w:sz w:val="22"/>
          <w:szCs w:val="22"/>
        </w:rPr>
        <w:t xml:space="preserve">Where material AI assistance was used, this organization will disclose that use to affected parties in appropriate, context-sensitive terms. Concealing AI use when disclosure is required — whether by policy, law, or reasonable expectation — is a policy violation.</w:t>
      </w:r>
    </w:p>
    <w:p>
      <w:pPr>
        <w:spacing w:after="0" w:before="80"/>
      </w:pPr>
    </w:p>
    <w:p>
      <w:pPr>
        <w:shd w:fill="EBF0FA" w:color="auto" w:val="clear"/>
        <w:spacing w:after="80" w:before="80"/>
        <w:ind w:left="120" w:right="120"/>
      </w:pPr>
      <w:r>
        <w:rPr>
          <w:b/>
          <w:bCs/>
          <w:color w:val="1A2340"/>
          <w:sz w:val="22"/>
          <w:szCs w:val="22"/>
        </w:rPr>
        <w:t xml:space="preserve">Principle 4 — Auditability</w:t>
      </w:r>
    </w:p>
    <w:p>
      <w:pPr>
        <w:spacing w:after="100" w:before="60"/>
      </w:pPr>
      <w:r>
        <w:rPr>
          <w:color w:val="1A2340"/>
          <w:sz w:val="22"/>
          <w:szCs w:val="22"/>
        </w:rPr>
        <w:t xml:space="preserve">The organization maintains records sufficient to demonstrate that AI use was appropriate, reviewed, and overseen by a human. High-Impact use cases require a documented audit trail retained for a minimum of three years.</w:t>
      </w:r>
    </w:p>
    <w:p>
      <w:pPr>
        <w:spacing w:after="0" w:before="80"/>
      </w:pPr>
    </w:p>
    <w:p>
      <w:pPr>
        <w:shd w:fill="152168" w:color="auto" w:val="clear"/>
        <w:spacing w:after="80" w:before="80"/>
        <w:ind w:left="120" w:right="120"/>
      </w:pPr>
      <w:r>
        <w:rPr>
          <w:b/>
          <w:bCs/>
          <w:color w:val="FFFFFF"/>
          <w:sz w:val="22"/>
          <w:szCs w:val="22"/>
        </w:rPr>
        <w:t xml:space="preserve">Principle 5 — Non-Deception</w:t>
      </w:r>
    </w:p>
    <w:p>
      <w:pPr>
        <w:spacing w:after="100" w:before="60"/>
      </w:pPr>
      <w:r>
        <w:rPr>
          <w:color w:val="1A2340"/>
          <w:sz w:val="22"/>
          <w:szCs w:val="22"/>
        </w:rPr>
        <w:t xml:space="preserve">No AI-generated content may be presented as unassisted human work in contexts where that misrepresentation would deceive or harm recipients. This includes impersonating a named human, signing AI-drafted content as original when disclosure is required, and using AI to fabricate qualifications, credentials, or evidence.</w:t>
      </w:r>
    </w:p>
    <w:p>
      <w:pPr>
        <w:spacing w:after="0" w:before="80"/>
      </w:pPr>
    </w:p>
    <w:p>
      <w:pPr>
        <w:shd w:fill="EBF0FA" w:color="auto" w:val="clear"/>
        <w:spacing w:after="80" w:before="80"/>
        <w:ind w:left="120" w:right="120"/>
      </w:pPr>
      <w:r>
        <w:rPr>
          <w:b/>
          <w:bCs/>
          <w:color w:val="1A2340"/>
          <w:sz w:val="22"/>
          <w:szCs w:val="22"/>
        </w:rPr>
        <w:t xml:space="preserve">Principle 6 — Regulatory Alignment</w:t>
      </w:r>
    </w:p>
    <w:p>
      <w:pPr>
        <w:spacing w:after="100" w:before="60"/>
      </w:pPr>
      <w:r>
        <w:rPr>
          <w:color w:val="1A2340"/>
          <w:sz w:val="22"/>
          <w:szCs w:val="22"/>
        </w:rPr>
        <w:t xml:space="preserve">This Policy is designed to satisfy applicable regulatory requirements relating to transparency, explainability, and human oversight of automated decision-making. Where regulation imposes stricter requirements, regulatory requirements prevail.</w:t>
      </w:r>
    </w:p>
    <w:p>
      <w:pPr>
        <w:pStyle w:val="Heading1"/>
        <w:spacing w:after="120" w:before="320"/>
      </w:pPr>
      <w:r>
        <w:rPr>
          <w:b/>
          <w:bCs/>
          <w:color w:val="07B4D9"/>
          <w:sz w:val="32"/>
          <w:szCs w:val="32"/>
        </w:rPr>
        <w:t xml:space="preserve">4. </w:t>
      </w:r>
      <w:r>
        <w:rPr>
          <w:b/>
          <w:bCs/>
          <w:color w:val="152168"/>
          <w:sz w:val="32"/>
          <w:szCs w:val="32"/>
        </w:rPr>
        <w:t xml:space="preserve">Definitions</w:t>
      </w:r>
    </w:p>
    <w:p>
      <w:pPr>
        <w:pBdr>
          <w:bottom w:val="single" w:color="07B4D9" w:sz="6" w:space="1"/>
        </w:pBdr>
        <w:spacing w:after="120" w:before="120"/>
      </w:pPr>
    </w:p>
    <w:p>
      <w:pPr>
        <w:spacing w:after="40" w:before="140"/>
      </w:pPr>
      <w:r>
        <w:rPr>
          <w:b/>
          <w:bCs/>
          <w:color w:val="152168"/>
          <w:sz w:val="22"/>
          <w:szCs w:val="22"/>
        </w:rPr>
        <w:t xml:space="preserve">Accountability</w:t>
      </w:r>
    </w:p>
    <w:p>
      <w:pPr>
        <w:spacing w:after="80" w:before="0"/>
      </w:pPr>
      <w:r>
        <w:rPr>
          <w:color w:val="1A2340"/>
          <w:sz w:val="22"/>
          <w:szCs w:val="22"/>
        </w:rPr>
        <w:t xml:space="preserve">The obligation of a named individual to answer for the accuracy, appropriateness, and consequences of a work product — including work products created with AI assistance.</w:t>
      </w:r>
    </w:p>
    <w:p>
      <w:pPr>
        <w:spacing w:after="40" w:before="140"/>
      </w:pPr>
      <w:r>
        <w:rPr>
          <w:b/>
          <w:bCs/>
          <w:color w:val="152168"/>
          <w:sz w:val="22"/>
          <w:szCs w:val="22"/>
        </w:rPr>
        <w:t xml:space="preserve">AI-Assisted Work Product</w:t>
      </w:r>
    </w:p>
    <w:p>
      <w:pPr>
        <w:spacing w:after="80" w:before="0"/>
      </w:pPr>
      <w:r>
        <w:rPr>
          <w:color w:val="1A2340"/>
          <w:sz w:val="22"/>
          <w:szCs w:val="22"/>
        </w:rPr>
        <w:t xml:space="preserve">Any document, email, report, communication, analysis, code, image, or decision output in which an AI tool contributed to the content, structure, or substance — beyond simple spell-check or grammar correction.</w:t>
      </w:r>
    </w:p>
    <w:p>
      <w:pPr>
        <w:spacing w:after="40" w:before="140"/>
      </w:pPr>
      <w:r>
        <w:rPr>
          <w:b/>
          <w:bCs/>
          <w:color w:val="152168"/>
          <w:sz w:val="22"/>
          <w:szCs w:val="22"/>
        </w:rPr>
        <w:t xml:space="preserve">AI Disclosure</w:t>
      </w:r>
    </w:p>
    <w:p>
      <w:pPr>
        <w:spacing w:after="80" w:before="0"/>
      </w:pPr>
      <w:r>
        <w:rPr>
          <w:color w:val="1A2340"/>
          <w:sz w:val="22"/>
          <w:szCs w:val="22"/>
        </w:rPr>
        <w:t xml:space="preserve">A statement, label, or notation informing a recipient that AI tools were used in creating or analysing the content they are receiving.</w:t>
      </w:r>
    </w:p>
    <w:p>
      <w:pPr>
        <w:spacing w:after="40" w:before="140"/>
      </w:pPr>
      <w:r>
        <w:rPr>
          <w:b/>
          <w:bCs/>
          <w:color w:val="152168"/>
          <w:sz w:val="22"/>
          <w:szCs w:val="22"/>
        </w:rPr>
        <w:t xml:space="preserve">Algorithmic Decision-Making</w:t>
      </w:r>
    </w:p>
    <w:p>
      <w:pPr>
        <w:spacing w:after="80" w:before="0"/>
      </w:pPr>
      <w:r>
        <w:rPr>
          <w:color w:val="1A2340"/>
          <w:sz w:val="22"/>
          <w:szCs w:val="22"/>
        </w:rPr>
        <w:t xml:space="preserve">Any decision, recommendation, or classification that is produced by an AI or automated system, whether or not a human later reviews it.</w:t>
      </w:r>
    </w:p>
    <w:p>
      <w:pPr>
        <w:spacing w:after="40" w:before="140"/>
      </w:pPr>
      <w:r>
        <w:rPr>
          <w:b/>
          <w:bCs/>
          <w:color w:val="152168"/>
          <w:sz w:val="22"/>
          <w:szCs w:val="22"/>
        </w:rPr>
        <w:t xml:space="preserve">Consequential Decision</w:t>
      </w:r>
    </w:p>
    <w:p>
      <w:pPr>
        <w:spacing w:after="80" w:before="0"/>
      </w:pPr>
      <w:r>
        <w:rPr>
          <w:color w:val="1A2340"/>
          <w:sz w:val="22"/>
          <w:szCs w:val="22"/>
        </w:rPr>
        <w:t xml:space="preserve">A decision that materially affects an individual's rights, finances, employment, legal standing, safety, or access to services. See Section 6.6 for examples.</w:t>
      </w:r>
    </w:p>
    <w:p>
      <w:pPr>
        <w:spacing w:after="40" w:before="140"/>
      </w:pPr>
      <w:r>
        <w:rPr>
          <w:b/>
          <w:bCs/>
          <w:color w:val="152168"/>
          <w:sz w:val="22"/>
          <w:szCs w:val="22"/>
        </w:rPr>
        <w:t xml:space="preserve">Explainability</w:t>
      </w:r>
    </w:p>
    <w:p>
      <w:pPr>
        <w:spacing w:after="80" w:before="0"/>
      </w:pPr>
      <w:r>
        <w:rPr>
          <w:color w:val="1A2340"/>
          <w:sz w:val="22"/>
          <w:szCs w:val="22"/>
        </w:rPr>
        <w:t xml:space="preserve">The ability of a human user to describe, in plain language, what an AI system did in producing a particular output and what human judgment was applied before the output was used or shared.</w:t>
      </w:r>
    </w:p>
    <w:p>
      <w:pPr>
        <w:spacing w:after="40" w:before="140"/>
      </w:pPr>
      <w:r>
        <w:rPr>
          <w:b/>
          <w:bCs/>
          <w:color w:val="152168"/>
          <w:sz w:val="22"/>
          <w:szCs w:val="22"/>
        </w:rPr>
        <w:t xml:space="preserve">Human-in-the-Loop</w:t>
      </w:r>
    </w:p>
    <w:p>
      <w:pPr>
        <w:spacing w:after="80" w:before="0"/>
      </w:pPr>
      <w:r>
        <w:rPr>
          <w:color w:val="1A2340"/>
          <w:sz w:val="22"/>
          <w:szCs w:val="22"/>
        </w:rPr>
        <w:t xml:space="preserve">A workflow design in which a human reviews, validates, and approves AI outputs before they are acted upon or distributed.</w:t>
      </w:r>
    </w:p>
    <w:p>
      <w:pPr>
        <w:spacing w:after="40" w:before="140"/>
      </w:pPr>
      <w:r>
        <w:rPr>
          <w:b/>
          <w:bCs/>
          <w:color w:val="152168"/>
          <w:sz w:val="22"/>
          <w:szCs w:val="22"/>
        </w:rPr>
        <w:t xml:space="preserve">Human Override</w:t>
      </w:r>
    </w:p>
    <w:p>
      <w:pPr>
        <w:spacing w:after="80" w:before="0"/>
      </w:pPr>
      <w:r>
        <w:rPr>
          <w:color w:val="1A2340"/>
          <w:sz w:val="22"/>
          <w:szCs w:val="22"/>
        </w:rPr>
        <w:t xml:space="preserve">The act of a human user modifying, rejecting, or overriding an AI output based on their own judgment. No policy or instruction may prevent a user from exercising human override.</w:t>
      </w:r>
    </w:p>
    <w:p>
      <w:pPr>
        <w:spacing w:after="40" w:before="140"/>
      </w:pPr>
      <w:r>
        <w:rPr>
          <w:b/>
          <w:bCs/>
          <w:color w:val="152168"/>
          <w:sz w:val="22"/>
          <w:szCs w:val="22"/>
        </w:rPr>
        <w:t xml:space="preserve">Material AI Use</w:t>
      </w:r>
    </w:p>
    <w:p>
      <w:pPr>
        <w:spacing w:after="80" w:before="0"/>
      </w:pPr>
      <w:r>
        <w:rPr>
          <w:color w:val="1A2340"/>
          <w:sz w:val="22"/>
          <w:szCs w:val="22"/>
        </w:rPr>
        <w:t xml:space="preserve">AI contribution to a work product that goes beyond formatting, grammar, or spell-check. Drafting, analysis, summarisation, classification, and content generation are material uses.</w:t>
      </w:r>
    </w:p>
    <w:p>
      <w:pPr>
        <w:spacing w:after="40" w:before="140"/>
      </w:pPr>
      <w:r>
        <w:rPr>
          <w:b/>
          <w:bCs/>
          <w:color w:val="152168"/>
          <w:sz w:val="22"/>
          <w:szCs w:val="22"/>
        </w:rPr>
        <w:t xml:space="preserve">Nominal AI Use</w:t>
      </w:r>
    </w:p>
    <w:p>
      <w:pPr>
        <w:spacing w:after="80" w:before="0"/>
      </w:pPr>
      <w:r>
        <w:rPr>
          <w:color w:val="1A2340"/>
          <w:sz w:val="22"/>
          <w:szCs w:val="22"/>
        </w:rPr>
        <w:t xml:space="preserve">Minor AI assistance that does not materially alter the human-authored substance of a work product. Grammar correction, autocomplete of standard phrases, and formatting suggestions are nominal uses.</w:t>
      </w:r>
    </w:p>
    <w:p>
      <w:pPr>
        <w:spacing w:after="40" w:before="140"/>
      </w:pPr>
      <w:r>
        <w:rPr>
          <w:b/>
          <w:bCs/>
          <w:color w:val="152168"/>
          <w:sz w:val="22"/>
          <w:szCs w:val="22"/>
        </w:rPr>
        <w:t xml:space="preserve">Transparency</w:t>
      </w:r>
    </w:p>
    <w:p>
      <w:pPr>
        <w:spacing w:after="80" w:before="0"/>
      </w:pPr>
      <w:r>
        <w:rPr>
          <w:color w:val="1A2340"/>
          <w:sz w:val="22"/>
          <w:szCs w:val="22"/>
        </w:rPr>
        <w:t xml:space="preserve">The practice of being open and honest about how and when AI tools have been used in producing work products, communications, or decisions.</w:t>
      </w:r>
    </w:p>
    <w:p>
      <w:pPr>
        <w:spacing w:after="40" w:before="140"/>
      </w:pPr>
      <w:r>
        <w:rPr>
          <w:b/>
          <w:bCs/>
          <w:color w:val="152168"/>
          <w:sz w:val="22"/>
          <w:szCs w:val="22"/>
        </w:rPr>
        <w:t xml:space="preserve">AI Labelling</w:t>
      </w:r>
    </w:p>
    <w:p>
      <w:pPr>
        <w:spacing w:after="80" w:before="0"/>
      </w:pPr>
      <w:r>
        <w:rPr>
          <w:color w:val="1A2340"/>
          <w:sz w:val="22"/>
          <w:szCs w:val="22"/>
        </w:rPr>
        <w:t xml:space="preserve">A standardised notation applied to a document or communication to indicate that AI tools were used in its creation, and to identify the human who reviewed and is accountable for the content.</w:t>
      </w:r>
    </w:p>
    <w:p>
      <w:pPr>
        <w:spacing w:after="40" w:before="140"/>
      </w:pPr>
      <w:r>
        <w:rPr>
          <w:b/>
          <w:bCs/>
          <w:color w:val="152168"/>
          <w:sz w:val="22"/>
          <w:szCs w:val="22"/>
        </w:rPr>
        <w:t xml:space="preserve">Impersonation</w:t>
      </w:r>
    </w:p>
    <w:p>
      <w:pPr>
        <w:spacing w:after="80" w:before="0"/>
      </w:pPr>
      <w:r>
        <w:rPr>
          <w:color w:val="1A2340"/>
          <w:sz w:val="22"/>
          <w:szCs w:val="22"/>
        </w:rPr>
        <w:t xml:space="preserve">Using AI to produce content that presents itself as originating from a named human individual when that individual did not produce it — including signing AI-generated letters, emails, or statements in a human's name without disclosure.</w:t>
      </w:r>
    </w:p>
    <w:p>
      <w:pPr>
        <w:spacing w:after="40" w:before="140"/>
      </w:pPr>
      <w:r>
        <w:rPr>
          <w:b/>
          <w:bCs/>
          <w:color w:val="152168"/>
          <w:sz w:val="22"/>
          <w:szCs w:val="22"/>
        </w:rPr>
        <w:t xml:space="preserve">Audit Trail</w:t>
      </w:r>
    </w:p>
    <w:p>
      <w:pPr>
        <w:spacing w:after="80" w:before="0"/>
      </w:pPr>
      <w:r>
        <w:rPr>
          <w:color w:val="1A2340"/>
          <w:sz w:val="22"/>
          <w:szCs w:val="22"/>
        </w:rPr>
        <w:t xml:space="preserve">A contemporaneous record of AI tool use that enables reconstruction of what AI was used, for what purpose, what output was produced, and who reviewed and approved it.</w:t>
      </w:r>
    </w:p>
    <w:p>
      <w:pPr>
        <w:pStyle w:val="Heading1"/>
        <w:spacing w:after="120" w:before="320"/>
      </w:pPr>
      <w:r>
        <w:rPr>
          <w:b/>
          <w:bCs/>
          <w:color w:val="07B4D9"/>
          <w:sz w:val="32"/>
          <w:szCs w:val="32"/>
        </w:rPr>
        <w:t xml:space="preserve">5. </w:t>
      </w:r>
      <w:r>
        <w:rPr>
          <w:b/>
          <w:bCs/>
          <w:color w:val="152168"/>
          <w:sz w:val="32"/>
          <w:szCs w:val="32"/>
        </w:rPr>
        <w:t xml:space="preserve">Roles and Responsibilities</w:t>
      </w:r>
    </w:p>
    <w:p>
      <w:pPr>
        <w:pBdr>
          <w:bottom w:val="single" w:color="07B4D9" w:sz="6" w:space="1"/>
        </w:pBdr>
        <w:spacing w:after="120" w:before="120"/>
      </w:pPr>
    </w:p>
    <w:p>
      <w:pPr>
        <w:spacing w:after="60" w:before="160"/>
      </w:pPr>
      <w:r>
        <w:rPr>
          <w:b/>
          <w:bCs/>
          <w:color w:val="152168"/>
          <w:sz w:val="24"/>
          <w:szCs w:val="24"/>
        </w:rPr>
        <w:t xml:space="preserve">AI Governance Committee (AIGC)</w:t>
      </w:r>
    </w:p>
    <w:p>
      <w:pPr>
        <w:pStyle w:val="ListParagraph"/>
        <w:numPr>
          <w:ilvl w:val="0"/>
          <w:numId w:val="2"/>
        </w:numPr>
        <w:spacing w:after="40" w:before="40"/>
      </w:pPr>
      <w:r>
        <w:rPr>
          <w:color w:val="1A2340"/>
          <w:sz w:val="22"/>
          <w:szCs w:val="22"/>
        </w:rPr>
        <w:t xml:space="preserve">Owns and maintains this Policy.</w:t>
      </w:r>
    </w:p>
    <w:p>
      <w:pPr>
        <w:pStyle w:val="ListParagraph"/>
        <w:numPr>
          <w:ilvl w:val="0"/>
          <w:numId w:val="2"/>
        </w:numPr>
        <w:spacing w:after="40" w:before="40"/>
      </w:pPr>
      <w:r>
        <w:rPr>
          <w:color w:val="1A2340"/>
          <w:sz w:val="22"/>
          <w:szCs w:val="22"/>
        </w:rPr>
        <w:t xml:space="preserve">Sets organizational standards for AI transparency and disclosure.</w:t>
      </w:r>
    </w:p>
    <w:p>
      <w:pPr>
        <w:pStyle w:val="ListParagraph"/>
        <w:numPr>
          <w:ilvl w:val="0"/>
          <w:numId w:val="2"/>
        </w:numPr>
        <w:spacing w:after="40" w:before="40"/>
      </w:pPr>
      <w:r>
        <w:rPr>
          <w:color w:val="1A2340"/>
          <w:sz w:val="22"/>
          <w:szCs w:val="22"/>
        </w:rPr>
        <w:t xml:space="preserve">Reviews and approves AI use cases designated as High-Impact.</w:t>
      </w:r>
    </w:p>
    <w:p>
      <w:pPr>
        <w:pStyle w:val="ListParagraph"/>
        <w:numPr>
          <w:ilvl w:val="0"/>
          <w:numId w:val="2"/>
        </w:numPr>
        <w:spacing w:after="40" w:before="40"/>
      </w:pPr>
      <w:r>
        <w:rPr>
          <w:color w:val="1A2340"/>
          <w:sz w:val="22"/>
          <w:szCs w:val="22"/>
        </w:rPr>
        <w:t xml:space="preserve">Commissions annual review of this Policy against regulatory change.</w:t>
      </w:r>
    </w:p>
    <w:p>
      <w:pPr>
        <w:spacing w:after="60" w:before="160"/>
      </w:pPr>
      <w:r>
        <w:rPr>
          <w:b/>
          <w:bCs/>
          <w:color w:val="152168"/>
          <w:sz w:val="24"/>
          <w:szCs w:val="24"/>
        </w:rPr>
        <w:t xml:space="preserve">CISO / vCISO</w:t>
      </w:r>
    </w:p>
    <w:p>
      <w:pPr>
        <w:pStyle w:val="ListParagraph"/>
        <w:numPr>
          <w:ilvl w:val="0"/>
          <w:numId w:val="2"/>
        </w:numPr>
        <w:spacing w:after="40" w:before="40"/>
      </w:pPr>
      <w:r>
        <w:rPr>
          <w:color w:val="1A2340"/>
          <w:sz w:val="22"/>
          <w:szCs w:val="22"/>
        </w:rPr>
        <w:t xml:space="preserve">Acts as Policy Owner and is accountable for Policy compliance.</w:t>
      </w:r>
    </w:p>
    <w:p>
      <w:pPr>
        <w:pStyle w:val="ListParagraph"/>
        <w:numPr>
          <w:ilvl w:val="0"/>
          <w:numId w:val="2"/>
        </w:numPr>
        <w:spacing w:after="40" w:before="40"/>
      </w:pPr>
      <w:r>
        <w:rPr>
          <w:color w:val="1A2340"/>
          <w:sz w:val="22"/>
          <w:szCs w:val="22"/>
        </w:rPr>
        <w:t xml:space="preserve">Oversees audit trail requirements and periodic compliance audits.</w:t>
      </w:r>
    </w:p>
    <w:p>
      <w:pPr>
        <w:pStyle w:val="ListParagraph"/>
        <w:numPr>
          <w:ilvl w:val="0"/>
          <w:numId w:val="2"/>
        </w:numPr>
        <w:spacing w:after="40" w:before="40"/>
      </w:pPr>
      <w:r>
        <w:rPr>
          <w:color w:val="1A2340"/>
          <w:sz w:val="22"/>
          <w:szCs w:val="22"/>
        </w:rPr>
        <w:t xml:space="preserve">Escalates material non-compliance to the AIGC and Legal.</w:t>
      </w:r>
    </w:p>
    <w:p>
      <w:pPr>
        <w:pStyle w:val="ListParagraph"/>
        <w:numPr>
          <w:ilvl w:val="0"/>
          <w:numId w:val="2"/>
        </w:numPr>
        <w:spacing w:after="40" w:before="40"/>
      </w:pPr>
      <w:r>
        <w:rPr>
          <w:color w:val="1A2340"/>
          <w:sz w:val="22"/>
          <w:szCs w:val="22"/>
        </w:rPr>
        <w:t xml:space="preserve">Reviews and approves updates to disclosure language templates.</w:t>
      </w:r>
    </w:p>
    <w:p>
      <w:pPr>
        <w:spacing w:after="60" w:before="160"/>
      </w:pPr>
      <w:r>
        <w:rPr>
          <w:b/>
          <w:bCs/>
          <w:color w:val="152168"/>
          <w:sz w:val="24"/>
          <w:szCs w:val="24"/>
        </w:rPr>
        <w:t xml:space="preserve">AI System Owners</w:t>
      </w:r>
    </w:p>
    <w:p>
      <w:pPr>
        <w:pStyle w:val="ListParagraph"/>
        <w:numPr>
          <w:ilvl w:val="0"/>
          <w:numId w:val="2"/>
        </w:numPr>
        <w:spacing w:after="40" w:before="40"/>
      </w:pPr>
      <w:r>
        <w:rPr>
          <w:color w:val="1A2340"/>
          <w:sz w:val="22"/>
          <w:szCs w:val="22"/>
        </w:rPr>
        <w:t xml:space="preserve">Ensure that disclosure requirements are built into their AI use case workflows.</w:t>
      </w:r>
    </w:p>
    <w:p>
      <w:pPr>
        <w:pStyle w:val="ListParagraph"/>
        <w:numPr>
          <w:ilvl w:val="0"/>
          <w:numId w:val="2"/>
        </w:numPr>
        <w:spacing w:after="40" w:before="40"/>
      </w:pPr>
      <w:r>
        <w:rPr>
          <w:color w:val="1A2340"/>
          <w:sz w:val="22"/>
          <w:szCs w:val="22"/>
        </w:rPr>
        <w:t xml:space="preserve">Maintain documentation of how AI tools produce outputs in their domain.</w:t>
      </w:r>
    </w:p>
    <w:p>
      <w:pPr>
        <w:pStyle w:val="ListParagraph"/>
        <w:numPr>
          <w:ilvl w:val="0"/>
          <w:numId w:val="2"/>
        </w:numPr>
        <w:spacing w:after="40" w:before="40"/>
      </w:pPr>
      <w:r>
        <w:rPr>
          <w:color w:val="1A2340"/>
          <w:sz w:val="22"/>
          <w:szCs w:val="22"/>
        </w:rPr>
        <w:t xml:space="preserve">Train staff in their area on applicable disclosure and accountability requirements.</w:t>
      </w:r>
    </w:p>
    <w:p>
      <w:pPr>
        <w:spacing w:after="60" w:before="160"/>
      </w:pPr>
      <w:r>
        <w:rPr>
          <w:b/>
          <w:bCs/>
          <w:color w:val="152168"/>
          <w:sz w:val="24"/>
          <w:szCs w:val="24"/>
        </w:rPr>
        <w:t xml:space="preserve">Legal / Compliance</w:t>
      </w:r>
    </w:p>
    <w:p>
      <w:pPr>
        <w:pStyle w:val="ListParagraph"/>
        <w:numPr>
          <w:ilvl w:val="0"/>
          <w:numId w:val="2"/>
        </w:numPr>
        <w:spacing w:after="40" w:before="40"/>
      </w:pPr>
      <w:r>
        <w:rPr>
          <w:color w:val="1A2340"/>
          <w:sz w:val="22"/>
          <w:szCs w:val="22"/>
        </w:rPr>
        <w:t xml:space="preserve">Advises on jurisdiction-specific regulatory disclosure requirements.</w:t>
      </w:r>
    </w:p>
    <w:p>
      <w:pPr>
        <w:pStyle w:val="ListParagraph"/>
        <w:numPr>
          <w:ilvl w:val="0"/>
          <w:numId w:val="2"/>
        </w:numPr>
        <w:spacing w:after="40" w:before="40"/>
      </w:pPr>
      <w:r>
        <w:rPr>
          <w:color w:val="1A2340"/>
          <w:sz w:val="22"/>
          <w:szCs w:val="22"/>
        </w:rPr>
        <w:t xml:space="preserve">Reviews disclosure language for legal filings, regulatory submissions, and customer-facing materials.</w:t>
      </w:r>
    </w:p>
    <w:p>
      <w:pPr>
        <w:pStyle w:val="ListParagraph"/>
        <w:numPr>
          <w:ilvl w:val="0"/>
          <w:numId w:val="2"/>
        </w:numPr>
        <w:spacing w:after="40" w:before="40"/>
      </w:pPr>
      <w:r>
        <w:rPr>
          <w:color w:val="1A2340"/>
          <w:sz w:val="22"/>
          <w:szCs w:val="22"/>
        </w:rPr>
        <w:t xml:space="preserve">Maintains awareness of changes to EU AI Act, GDPR Article 22, and sector-specific obligations.</w:t>
      </w:r>
    </w:p>
    <w:p>
      <w:pPr>
        <w:spacing w:after="60" w:before="160"/>
      </w:pPr>
      <w:r>
        <w:rPr>
          <w:b/>
          <w:bCs/>
          <w:color w:val="152168"/>
          <w:sz w:val="24"/>
          <w:szCs w:val="24"/>
        </w:rPr>
        <w:t xml:space="preserve">All Staff</w:t>
      </w:r>
    </w:p>
    <w:p>
      <w:pPr>
        <w:pStyle w:val="ListParagraph"/>
        <w:numPr>
          <w:ilvl w:val="0"/>
          <w:numId w:val="2"/>
        </w:numPr>
        <w:spacing w:after="40" w:before="40"/>
      </w:pPr>
      <w:r>
        <w:rPr>
          <w:color w:val="1A2340"/>
          <w:sz w:val="22"/>
          <w:szCs w:val="22"/>
        </w:rPr>
        <w:t xml:space="preserve">Apply the disclosure requirements in this Policy to all AI-assisted work products within their responsibility.</w:t>
      </w:r>
    </w:p>
    <w:p>
      <w:pPr>
        <w:pStyle w:val="ListParagraph"/>
        <w:numPr>
          <w:ilvl w:val="0"/>
          <w:numId w:val="2"/>
        </w:numPr>
        <w:spacing w:after="40" w:before="40"/>
      </w:pPr>
      <w:r>
        <w:rPr>
          <w:color w:val="1A2340"/>
          <w:sz w:val="22"/>
          <w:szCs w:val="22"/>
        </w:rPr>
        <w:t xml:space="preserve">Maintain personal accountability for AI-assisted work they produce, review, or sign off on.</w:t>
      </w:r>
    </w:p>
    <w:p>
      <w:pPr>
        <w:pStyle w:val="ListParagraph"/>
        <w:numPr>
          <w:ilvl w:val="0"/>
          <w:numId w:val="2"/>
        </w:numPr>
        <w:spacing w:after="40" w:before="40"/>
      </w:pPr>
      <w:r>
        <w:rPr>
          <w:color w:val="1A2340"/>
          <w:sz w:val="22"/>
          <w:szCs w:val="22"/>
        </w:rPr>
        <w:t xml:space="preserve">Complete mandatory AI transparency training as directed.</w:t>
      </w:r>
    </w:p>
    <w:p>
      <w:pPr>
        <w:pStyle w:val="ListParagraph"/>
        <w:numPr>
          <w:ilvl w:val="0"/>
          <w:numId w:val="2"/>
        </w:numPr>
        <w:spacing w:after="40" w:before="40"/>
      </w:pPr>
      <w:r>
        <w:rPr>
          <w:color w:val="1A2340"/>
          <w:sz w:val="22"/>
          <w:szCs w:val="22"/>
        </w:rPr>
        <w:t xml:space="preserve">Report suspected non-compliance or policy uncertainty to their manager or the CISO.</w:t>
      </w:r>
    </w:p>
    <w:p>
      <w:pPr>
        <w:pStyle w:val="Heading1"/>
        <w:spacing w:after="120" w:before="320"/>
      </w:pPr>
      <w:r>
        <w:rPr>
          <w:b/>
          <w:bCs/>
          <w:color w:val="07B4D9"/>
          <w:sz w:val="32"/>
          <w:szCs w:val="32"/>
        </w:rPr>
        <w:t xml:space="preserve">6. </w:t>
      </w:r>
      <w:r>
        <w:rPr>
          <w:b/>
          <w:bCs/>
          <w:color w:val="152168"/>
          <w:sz w:val="32"/>
          <w:szCs w:val="32"/>
        </w:rPr>
        <w:t xml:space="preserve">Policy Requirements</w:t>
      </w:r>
    </w:p>
    <w:p>
      <w:pPr>
        <w:pBdr>
          <w:bottom w:val="single" w:color="07B4D9" w:sz="6" w:space="1"/>
        </w:pBdr>
        <w:spacing w:after="120" w:before="120"/>
      </w:pPr>
    </w:p>
    <w:p>
      <w:pPr>
        <w:pStyle w:val="Heading2"/>
        <w:spacing w:after="80" w:before="240"/>
      </w:pPr>
      <w:r>
        <w:rPr>
          <w:b/>
          <w:bCs/>
          <w:color w:val="07B4D9"/>
          <w:sz w:val="26"/>
          <w:szCs w:val="26"/>
        </w:rPr>
        <w:t xml:space="preserve">6.1 </w:t>
      </w:r>
      <w:r>
        <w:rPr>
          <w:b/>
          <w:bCs/>
          <w:color w:val="152168"/>
          <w:sz w:val="26"/>
          <w:szCs w:val="26"/>
        </w:rPr>
        <w:t xml:space="preserve">Human Accountability Requirement</w:t>
      </w:r>
    </w:p>
    <w:p>
      <w:pPr>
        <w:spacing w:after="100" w:before="60"/>
      </w:pPr>
      <w:r>
        <w:rPr>
          <w:color w:val="1A2340"/>
          <w:sz w:val="22"/>
          <w:szCs w:val="22"/>
        </w:rPr>
        <w:t xml:space="preserve">Every AI-assisted work product produced under this Policy must have a named human accountable for its accuracy, appropriateness, and consequences. This accountability cannot be delegated to or discharged by the AI system that assisted in its creation.</w:t>
      </w:r>
    </w:p>
    <w:p>
      <w:pPr>
        <w:spacing w:after="0" w:before="80"/>
      </w:pPr>
    </w:p>
    <w:p>
      <w:pPr>
        <w:spacing w:after="100" w:before="60"/>
      </w:pPr>
      <w:r>
        <w:rPr>
          <w:color w:val="1A2340"/>
          <w:sz w:val="22"/>
          <w:szCs w:val="22"/>
        </w:rPr>
        <w:t xml:space="preserve">The accountable human must have:</w:t>
      </w:r>
    </w:p>
    <w:p>
      <w:pPr>
        <w:pStyle w:val="ListParagraph"/>
        <w:numPr>
          <w:ilvl w:val="0"/>
          <w:numId w:val="2"/>
        </w:numPr>
        <w:spacing w:after="40" w:before="40"/>
      </w:pPr>
      <w:r>
        <w:rPr>
          <w:color w:val="1A2340"/>
          <w:sz w:val="22"/>
          <w:szCs w:val="22"/>
        </w:rPr>
        <w:t xml:space="preserve">Read or reviewed the AI-assisted content in full.</w:t>
      </w:r>
    </w:p>
    <w:p>
      <w:pPr>
        <w:pStyle w:val="ListParagraph"/>
        <w:numPr>
          <w:ilvl w:val="0"/>
          <w:numId w:val="2"/>
        </w:numPr>
        <w:spacing w:after="40" w:before="40"/>
      </w:pPr>
      <w:r>
        <w:rPr>
          <w:color w:val="1A2340"/>
          <w:sz w:val="22"/>
          <w:szCs w:val="22"/>
        </w:rPr>
        <w:t xml:space="preserve">Applied their own professional judgment to its accuracy and appropriateness.</w:t>
      </w:r>
    </w:p>
    <w:p>
      <w:pPr>
        <w:pStyle w:val="ListParagraph"/>
        <w:numPr>
          <w:ilvl w:val="0"/>
          <w:numId w:val="2"/>
        </w:numPr>
        <w:spacing w:after="40" w:before="40"/>
      </w:pPr>
      <w:r>
        <w:rPr>
          <w:color w:val="1A2340"/>
          <w:sz w:val="22"/>
          <w:szCs w:val="22"/>
        </w:rPr>
        <w:t xml:space="preserve">Made any corrections necessary before the content was used or shared.</w:t>
      </w:r>
    </w:p>
    <w:p>
      <w:pPr>
        <w:pStyle w:val="ListParagraph"/>
        <w:numPr>
          <w:ilvl w:val="0"/>
          <w:numId w:val="2"/>
        </w:numPr>
        <w:spacing w:after="40" w:before="40"/>
      </w:pPr>
      <w:r>
        <w:rPr>
          <w:color w:val="1A2340"/>
          <w:sz w:val="22"/>
          <w:szCs w:val="22"/>
        </w:rPr>
        <w:t xml:space="preserve">Accepted responsibility for the content as if they had authored it without AI assistance.</w:t>
      </w:r>
    </w:p>
    <w:p>
      <w:pPr>
        <w:spacing w:after="0" w:before="80"/>
      </w:pPr>
    </w:p>
    <w:p>
      <w:pPr>
        <w:spacing w:after="100" w:before="60"/>
      </w:pPr>
      <w:r>
        <w:rPr>
          <w:color w:val="1A2340"/>
          <w:sz w:val="22"/>
          <w:szCs w:val="22"/>
        </w:rPr>
        <w:t xml:space="preserve">The table below specifies the accountable role and sign-off requirement by output type: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Output Type</w:t>
            </w:r>
          </w:p>
        </w:tc>
        <w:tc>
          <w:tcPr>
            <w:tcW w:type="dxa" w:w="37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Accountable Role</w:t>
            </w:r>
          </w:p>
        </w:tc>
        <w:tc>
          <w:tcPr>
            <w:tcW w:type="dxa" w:w="30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Sign-Off Required</w:t>
            </w:r>
          </w:p>
        </w:tc>
      </w:tr>
      <w:tr>
        <w:tc>
          <w:tcPr>
            <w:tcW w:type="dxa" w:w="2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External customer communication</w:t>
            </w:r>
          </w:p>
        </w:tc>
        <w:tc>
          <w:tcPr>
            <w:tcW w:type="dxa" w:w="37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Staff member who sent / approved the communication</w:t>
            </w:r>
          </w:p>
        </w:tc>
        <w:tc>
          <w:tcPr>
            <w:tcW w:type="dxa" w:w="3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Manager sign-off if strategic</w:t>
            </w:r>
          </w:p>
        </w:tc>
      </w:tr>
      <w:tr>
        <w:tc>
          <w:tcPr>
            <w:tcW w:type="dxa" w:w="2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Employment decision output</w:t>
            </w:r>
          </w:p>
        </w:tc>
        <w:tc>
          <w:tcPr>
            <w:tcW w:type="dxa" w:w="37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HR Manager or People Lead</w:t>
            </w:r>
          </w:p>
        </w:tc>
        <w:tc>
          <w:tcPr>
            <w:tcW w:type="dxa" w:w="3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HR Director + Legal</w:t>
            </w:r>
          </w:p>
        </w:tc>
      </w:tr>
      <w:tr>
        <w:tc>
          <w:tcPr>
            <w:tcW w:type="dxa" w:w="2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Financial report or analysis</w:t>
            </w:r>
          </w:p>
        </w:tc>
        <w:tc>
          <w:tcPr>
            <w:tcW w:type="dxa" w:w="37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Finance Manager or CFO</w:t>
            </w:r>
          </w:p>
        </w:tc>
        <w:tc>
          <w:tcPr>
            <w:tcW w:type="dxa" w:w="3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CFO sign-off required</w:t>
            </w:r>
          </w:p>
        </w:tc>
      </w:tr>
      <w:tr>
        <w:tc>
          <w:tcPr>
            <w:tcW w:type="dxa" w:w="2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Compliance or audit submission</w:t>
            </w:r>
          </w:p>
        </w:tc>
        <w:tc>
          <w:tcPr>
            <w:tcW w:type="dxa" w:w="37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Compliance Officer</w:t>
            </w:r>
          </w:p>
        </w:tc>
        <w:tc>
          <w:tcPr>
            <w:tcW w:type="dxa" w:w="3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Legal + CISO</w:t>
            </w:r>
          </w:p>
        </w:tc>
      </w:tr>
      <w:tr>
        <w:tc>
          <w:tcPr>
            <w:tcW w:type="dxa" w:w="2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Marketing content (external)</w:t>
            </w:r>
          </w:p>
        </w:tc>
        <w:tc>
          <w:tcPr>
            <w:tcW w:type="dxa" w:w="37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Marketing Manager</w:t>
            </w:r>
          </w:p>
        </w:tc>
        <w:tc>
          <w:tcPr>
            <w:tcW w:type="dxa" w:w="3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CMO or equivalent</w:t>
            </w:r>
          </w:p>
        </w:tc>
      </w:tr>
      <w:tr>
        <w:tc>
          <w:tcPr>
            <w:tcW w:type="dxa" w:w="2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Board / owner reporting</w:t>
            </w:r>
          </w:p>
        </w:tc>
        <w:tc>
          <w:tcPr>
            <w:tcW w:type="dxa" w:w="37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CEO or COO</w:t>
            </w:r>
          </w:p>
        </w:tc>
        <w:tc>
          <w:tcPr>
            <w:tcW w:type="dxa" w:w="3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CEO sign-off</w:t>
            </w:r>
          </w:p>
        </w:tc>
      </w:tr>
      <w:tr>
        <w:tc>
          <w:tcPr>
            <w:tcW w:type="dxa" w:w="2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Legal filing or correspondence</w:t>
            </w:r>
          </w:p>
        </w:tc>
        <w:tc>
          <w:tcPr>
            <w:tcW w:type="dxa" w:w="37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Legal Counsel</w:t>
            </w:r>
          </w:p>
        </w:tc>
        <w:tc>
          <w:tcPr>
            <w:tcW w:type="dxa" w:w="3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Legal Counsel mandatory</w:t>
            </w:r>
          </w:p>
        </w:tc>
      </w:tr>
      <w:tr>
        <w:tc>
          <w:tcPr>
            <w:tcW w:type="dxa" w:w="2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Media or public statement</w:t>
            </w:r>
          </w:p>
        </w:tc>
        <w:tc>
          <w:tcPr>
            <w:tcW w:type="dxa" w:w="37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Communications Lead</w:t>
            </w:r>
          </w:p>
        </w:tc>
        <w:tc>
          <w:tcPr>
            <w:tcW w:type="dxa" w:w="3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C-Suite approval</w:t>
            </w:r>
          </w:p>
        </w:tc>
      </w:tr>
      <w:tr>
        <w:tc>
          <w:tcPr>
            <w:tcW w:type="dxa" w:w="2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Internal policy or procedure</w:t>
            </w:r>
          </w:p>
        </w:tc>
        <w:tc>
          <w:tcPr>
            <w:tcW w:type="dxa" w:w="37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Policy Owner (named)</w:t>
            </w:r>
          </w:p>
        </w:tc>
        <w:tc>
          <w:tcPr>
            <w:tcW w:type="dxa" w:w="3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Department Head</w:t>
            </w:r>
          </w:p>
        </w:tc>
      </w:tr>
    </w:tbl>
    <w:p>
      <w:pPr>
        <w:spacing w:after="0" w:before="120"/>
      </w:pPr>
    </w:p>
    <w:p>
      <w:pPr>
        <w:pStyle w:val="Heading2"/>
        <w:spacing w:after="80" w:before="240"/>
      </w:pPr>
      <w:r>
        <w:rPr>
          <w:b/>
          <w:bCs/>
          <w:color w:val="07B4D9"/>
          <w:sz w:val="26"/>
          <w:szCs w:val="26"/>
        </w:rPr>
        <w:t xml:space="preserve">6.2 </w:t>
      </w:r>
      <w:r>
        <w:rPr>
          <w:b/>
          <w:bCs/>
          <w:color w:val="152168"/>
          <w:sz w:val="26"/>
          <w:szCs w:val="26"/>
        </w:rPr>
        <w:t xml:space="preserve">AI Disclosure Requirements</w:t>
      </w:r>
    </w:p>
    <w:p>
      <w:pPr>
        <w:spacing w:after="100" w:before="60"/>
      </w:pPr>
      <w:r>
        <w:rPr>
          <w:color w:val="1A2340"/>
          <w:sz w:val="22"/>
          <w:szCs w:val="22"/>
        </w:rPr>
        <w:t xml:space="preserve">The following matrix specifies when AI disclosure is required, what must be disclosed, how disclosure must be made, and the required timing. Where a situation is not covered below, the default position is: if in doubt, disclose.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200"/>
        <w:gridCol w:w="2160"/>
      </w:tblGrid>
      <w:tr>
        <w:trPr>
          <w:tblHeader/>
        </w:trPr>
        <w:tc>
          <w:tcPr>
            <w:tcW w:type="dxa" w:w="18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Context</w:t>
            </w:r>
          </w:p>
        </w:tc>
        <w:tc>
          <w:tcPr>
            <w:tcW w:type="dxa" w:w="12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Disclosure Required?</w:t>
            </w:r>
          </w:p>
        </w:tc>
        <w:tc>
          <w:tcPr>
            <w:tcW w:type="dxa" w:w="20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What to Disclose</w:t>
            </w:r>
          </w:p>
        </w:tc>
        <w:tc>
          <w:tcPr>
            <w:tcW w:type="dxa" w:w="22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How to Disclose</w:t>
            </w:r>
          </w:p>
        </w:tc>
        <w:tc>
          <w:tcPr>
            <w:tcW w:type="dxa" w:w="21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Timing</w:t>
            </w:r>
          </w:p>
        </w:tc>
      </w:tr>
      <w:tr>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External customer communications</w:t>
            </w:r>
          </w:p>
        </w:tc>
        <w:tc>
          <w:tcPr>
            <w:tcW w:type="dxa" w:w="1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w:t>
            </w:r>
          </w:p>
        </w:tc>
        <w:tc>
          <w:tcPr>
            <w:tcW w:type="dxa" w:w="2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That AI was used to draft or analyse content; human reviewer name</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Disclosure statement in cover note or email footer</w:t>
            </w:r>
          </w:p>
        </w:tc>
        <w:tc>
          <w:tcPr>
            <w:tcW w:type="dxa" w:w="2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Before sending</w:t>
            </w:r>
          </w:p>
        </w:tc>
      </w:tr>
      <w:tr>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Employment decisions</w:t>
            </w:r>
          </w:p>
        </w:tc>
        <w:tc>
          <w:tcPr>
            <w:tcW w:type="dxa" w:w="1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 — always</w:t>
            </w:r>
          </w:p>
        </w:tc>
        <w:tc>
          <w:tcPr>
            <w:tcW w:type="dxa" w:w="2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AI tools used in screening, scoring, or drafting; human decision-maker identity</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Written HR record; verbal notification to candidate on request</w:t>
            </w:r>
          </w:p>
        </w:tc>
        <w:tc>
          <w:tcPr>
            <w:tcW w:type="dxa" w:w="2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At point of decision</w:t>
            </w:r>
          </w:p>
        </w:tc>
      </w:tr>
      <w:tr>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Financial reports (external)</w:t>
            </w:r>
          </w:p>
        </w:tc>
        <w:tc>
          <w:tcPr>
            <w:tcW w:type="dxa" w:w="1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w:t>
            </w:r>
          </w:p>
        </w:tc>
        <w:tc>
          <w:tcPr>
            <w:tcW w:type="dxa" w:w="2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AI tools used for analysis, drafting, or summarisation; human sign-off</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Auditor note or report footnote</w:t>
            </w:r>
          </w:p>
        </w:tc>
        <w:tc>
          <w:tcPr>
            <w:tcW w:type="dxa" w:w="2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With submission</w:t>
            </w:r>
          </w:p>
        </w:tc>
      </w:tr>
      <w:tr>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Compliance / audit submissions</w:t>
            </w:r>
          </w:p>
        </w:tc>
        <w:tc>
          <w:tcPr>
            <w:tcW w:type="dxa" w:w="1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w:t>
            </w:r>
          </w:p>
        </w:tc>
        <w:tc>
          <w:tcPr>
            <w:tcW w:type="dxa" w:w="2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AI assistance used; human accountable reviewer confirmed</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Cover letter or submission declaration</w:t>
            </w:r>
          </w:p>
        </w:tc>
        <w:tc>
          <w:tcPr>
            <w:tcW w:type="dxa" w:w="2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With submission</w:t>
            </w:r>
          </w:p>
        </w:tc>
      </w:tr>
      <w:tr>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Marketing content (external)</w:t>
            </w:r>
          </w:p>
        </w:tc>
        <w:tc>
          <w:tcPr>
            <w:tcW w:type="dxa" w:w="1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CASE-BY-CASE</w:t>
            </w:r>
          </w:p>
        </w:tc>
        <w:tc>
          <w:tcPr>
            <w:tcW w:type="dxa" w:w="2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Material AI generation; human creative direction and review</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Disclosure tag or footnote where legally required</w:t>
            </w:r>
          </w:p>
        </w:tc>
        <w:tc>
          <w:tcPr>
            <w:tcW w:type="dxa" w:w="2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On publication</w:t>
            </w:r>
          </w:p>
        </w:tc>
      </w:tr>
      <w:tr>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Owner / board reporting</w:t>
            </w:r>
          </w:p>
        </w:tc>
        <w:tc>
          <w:tcPr>
            <w:tcW w:type="dxa" w:w="1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w:t>
            </w:r>
          </w:p>
        </w:tc>
        <w:tc>
          <w:tcPr>
            <w:tcW w:type="dxa" w:w="2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AI-assisted analysis or drafting; human author confirmed</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Cover note to board package</w:t>
            </w:r>
          </w:p>
        </w:tc>
        <w:tc>
          <w:tcPr>
            <w:tcW w:type="dxa" w:w="2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Before distribution</w:t>
            </w:r>
          </w:p>
        </w:tc>
      </w:tr>
      <w:tr>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Legal filings</w:t>
            </w:r>
          </w:p>
        </w:tc>
        <w:tc>
          <w:tcPr>
            <w:tcW w:type="dxa" w:w="1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 — mandatory</w:t>
            </w:r>
          </w:p>
        </w:tc>
        <w:tc>
          <w:tcPr>
            <w:tcW w:type="dxa" w:w="2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AI tools used in drafting; legal counsel review and sign-off</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Filing cover page declaration</w:t>
            </w:r>
          </w:p>
        </w:tc>
        <w:tc>
          <w:tcPr>
            <w:tcW w:type="dxa" w:w="2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Before filing</w:t>
            </w:r>
          </w:p>
        </w:tc>
      </w:tr>
      <w:tr>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Media / public statements</w:t>
            </w:r>
          </w:p>
        </w:tc>
        <w:tc>
          <w:tcPr>
            <w:tcW w:type="dxa" w:w="1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w:t>
            </w:r>
          </w:p>
        </w:tc>
        <w:tc>
          <w:tcPr>
            <w:tcW w:type="dxa" w:w="2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AI generation used; human spokesperson reviewed and approved</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Press release footnote or comms note</w:t>
            </w:r>
          </w:p>
        </w:tc>
        <w:tc>
          <w:tcPr>
            <w:tcW w:type="dxa" w:w="2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Before release</w:t>
            </w:r>
          </w:p>
        </w:tc>
      </w:tr>
      <w:tr>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Internal communications</w:t>
            </w:r>
          </w:p>
        </w:tc>
        <w:tc>
          <w:tcPr>
            <w:tcW w:type="dxa" w:w="1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NO (unless significant)</w:t>
            </w:r>
          </w:p>
        </w:tc>
        <w:tc>
          <w:tcPr>
            <w:tcW w:type="dxa" w:w="20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Nominal AI use for grammar or formatting does not require disclosure</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N/A for nominal use</w:t>
            </w:r>
          </w:p>
        </w:tc>
        <w:tc>
          <w:tcPr>
            <w:tcW w:type="dxa" w:w="2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N/A</w:t>
            </w:r>
          </w:p>
        </w:tc>
      </w:tr>
    </w:tbl>
    <w:p>
      <w:pPr>
        <w:spacing w:after="0" w:before="120"/>
      </w:pPr>
    </w:p>
    <w:p>
      <w:pPr>
        <w:pStyle w:val="Heading2"/>
        <w:spacing w:after="80" w:before="240"/>
      </w:pPr>
      <w:r>
        <w:rPr>
          <w:b/>
          <w:bCs/>
          <w:color w:val="07B4D9"/>
          <w:sz w:val="26"/>
          <w:szCs w:val="26"/>
        </w:rPr>
        <w:t xml:space="preserve">6.3 </w:t>
      </w:r>
      <w:r>
        <w:rPr>
          <w:b/>
          <w:bCs/>
          <w:color w:val="152168"/>
          <w:sz w:val="26"/>
          <w:szCs w:val="26"/>
        </w:rPr>
        <w:t xml:space="preserve">Prohibited Non-Disclosure</w:t>
      </w:r>
    </w:p>
    <w:p>
      <w:pPr>
        <w:spacing w:after="100" w:before="60"/>
      </w:pPr>
      <w:r>
        <w:rPr>
          <w:color w:val="1A2340"/>
          <w:sz w:val="22"/>
          <w:szCs w:val="22"/>
        </w:rPr>
        <w:t xml:space="preserve">The following situations constitute a policy violation and may constitute a legal or regulatory offence:</w:t>
      </w:r>
    </w:p>
    <w:p>
      <w:pPr>
        <w:pStyle w:val="ListParagraph"/>
        <w:numPr>
          <w:ilvl w:val="0"/>
          <w:numId w:val="2"/>
        </w:numPr>
        <w:spacing w:after="40" w:before="40"/>
      </w:pPr>
      <w:r>
        <w:rPr>
          <w:color w:val="1A2340"/>
          <w:sz w:val="22"/>
          <w:szCs w:val="22"/>
        </w:rPr>
        <w:t xml:space="preserve">Signing a legal document, filing, or regulatory submission that was materially AI-generated without disclosing AI assistance to the receiving party.</w:t>
      </w:r>
    </w:p>
    <w:p>
      <w:pPr>
        <w:pStyle w:val="ListParagraph"/>
        <w:numPr>
          <w:ilvl w:val="0"/>
          <w:numId w:val="2"/>
        </w:numPr>
        <w:spacing w:after="40" w:before="40"/>
      </w:pPr>
      <w:r>
        <w:rPr>
          <w:color w:val="1A2340"/>
          <w:sz w:val="22"/>
          <w:szCs w:val="22"/>
        </w:rPr>
        <w:t xml:space="preserve">Presenting an employment decision — hiring, termination, promotion, or disciplinary outcome — as unassisted human judgment when AI tools materially contributed to the decision or its supporting documentation.</w:t>
      </w:r>
    </w:p>
    <w:p>
      <w:pPr>
        <w:pStyle w:val="ListParagraph"/>
        <w:numPr>
          <w:ilvl w:val="0"/>
          <w:numId w:val="2"/>
        </w:numPr>
        <w:spacing w:after="40" w:before="40"/>
      </w:pPr>
      <w:r>
        <w:rPr>
          <w:color w:val="1A2340"/>
          <w:sz w:val="22"/>
          <w:szCs w:val="22"/>
        </w:rPr>
        <w:t xml:space="preserve">Submitting a financial report, audit response, or compliance declaration in which AI material involvement is not disclosed to the auditor, regulator, or financial counterparty.</w:t>
      </w:r>
    </w:p>
    <w:p>
      <w:pPr>
        <w:pStyle w:val="ListParagraph"/>
        <w:numPr>
          <w:ilvl w:val="0"/>
          <w:numId w:val="2"/>
        </w:numPr>
        <w:spacing w:after="40" w:before="40"/>
      </w:pPr>
      <w:r>
        <w:rPr>
          <w:color w:val="1A2340"/>
          <w:sz w:val="22"/>
          <w:szCs w:val="22"/>
        </w:rPr>
        <w:t xml:space="preserve">Using AI to impersonate a named human individual in written correspondence, signing documents with that person's name, or presenting AI-generated content as the original work of a named person who did not produce it.</w:t>
      </w:r>
    </w:p>
    <w:p>
      <w:pPr>
        <w:pStyle w:val="ListParagraph"/>
        <w:numPr>
          <w:ilvl w:val="0"/>
          <w:numId w:val="2"/>
        </w:numPr>
        <w:spacing w:after="40" w:before="40"/>
      </w:pPr>
      <w:r>
        <w:rPr>
          <w:color w:val="1A2340"/>
          <w:sz w:val="22"/>
          <w:szCs w:val="22"/>
        </w:rPr>
        <w:t xml:space="preserve">Deliberately structuring the use of AI tools to avoid triggering disclosure requirements under this Policy or applicable law.</w:t>
      </w:r>
    </w:p>
    <w:p>
      <w:pPr>
        <w:spacing w:after="0" w:before="120"/>
      </w:pPr>
    </w:p>
    <w:p>
      <w:pPr>
        <w:pStyle w:val="Heading2"/>
        <w:spacing w:after="80" w:before="240"/>
      </w:pPr>
      <w:r>
        <w:rPr>
          <w:b/>
          <w:bCs/>
          <w:color w:val="07B4D9"/>
          <w:sz w:val="26"/>
          <w:szCs w:val="26"/>
        </w:rPr>
        <w:t xml:space="preserve">6.4 </w:t>
      </w:r>
      <w:r>
        <w:rPr>
          <w:b/>
          <w:bCs/>
          <w:color w:val="152168"/>
          <w:sz w:val="26"/>
          <w:szCs w:val="26"/>
        </w:rPr>
        <w:t xml:space="preserve">AI Labelling Standards</w:t>
      </w:r>
    </w:p>
    <w:p>
      <w:pPr>
        <w:spacing w:after="100" w:before="60"/>
      </w:pPr>
      <w:r>
        <w:rPr>
          <w:color w:val="1A2340"/>
          <w:sz w:val="22"/>
          <w:szCs w:val="22"/>
        </w:rPr>
        <w:t xml:space="preserve">Where disclosure is required, AI-assisted content must be labelled using the approved labels below. Labels must appear on the document, in the email body, or in accompanying cover notes.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Context</w:t>
            </w:r>
          </w:p>
        </w:tc>
        <w:tc>
          <w:tcPr>
            <w:tcW w:type="dxa" w:w="35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Label</w:t>
            </w:r>
          </w:p>
        </w:tc>
        <w:tc>
          <w:tcPr>
            <w:tcW w:type="dxa" w:w="36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Placement</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Internal documents</w:t>
            </w:r>
          </w:p>
        </w:tc>
        <w:tc>
          <w:tcPr>
            <w:tcW w:type="dxa" w:w="3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AI-Assisted Draft — Human Reviewed: [Name], [Date]</w:t>
            </w:r>
          </w:p>
        </w:tc>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Document header or footer</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External communications (general)</w:t>
            </w:r>
          </w:p>
        </w:tc>
        <w:tc>
          <w:tcPr>
            <w:tcW w:type="dxa" w:w="3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This communication was prepared with AI assistance and reviewed and approved by [Name].</w:t>
            </w:r>
          </w:p>
        </w:tc>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Email footer or cover note</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Regulated / legal submissions</w:t>
            </w:r>
          </w:p>
        </w:tc>
        <w:tc>
          <w:tcPr>
            <w:tcW w:type="dxa" w:w="3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Disclosure: AI tools were used in drafting this document. All content has been reviewed and is approved by [Name, Title, Date].</w:t>
            </w:r>
          </w:p>
        </w:tc>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Cover page declaration</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Customer-facing AI interactions</w:t>
            </w:r>
          </w:p>
        </w:tc>
        <w:tc>
          <w:tcPr>
            <w:tcW w:type="dxa" w:w="3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You are interacting with an AI assistant. For decisions or escalations, contact [Name/Team].</w:t>
            </w:r>
          </w:p>
        </w:tc>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Chatbot or automated response header</w:t>
            </w:r>
          </w:p>
        </w:tc>
      </w:tr>
    </w:tbl>
    <w:p>
      <w:pPr>
        <w:spacing w:after="0" w:before="120"/>
      </w:pPr>
    </w:p>
    <w:p>
      <w:pPr>
        <w:pStyle w:val="Heading2"/>
        <w:spacing w:after="80" w:before="240"/>
      </w:pPr>
      <w:r>
        <w:rPr>
          <w:b/>
          <w:bCs/>
          <w:color w:val="07B4D9"/>
          <w:sz w:val="26"/>
          <w:szCs w:val="26"/>
        </w:rPr>
        <w:t xml:space="preserve">6.5 </w:t>
      </w:r>
      <w:r>
        <w:rPr>
          <w:b/>
          <w:bCs/>
          <w:color w:val="152168"/>
          <w:sz w:val="26"/>
          <w:szCs w:val="26"/>
        </w:rPr>
        <w:t xml:space="preserve">Human Override Authority</w:t>
      </w:r>
    </w:p>
    <w:p>
      <w:pPr>
        <w:spacing w:after="100" w:before="60"/>
      </w:pPr>
      <w:r>
        <w:rPr>
          <w:color w:val="1A2340"/>
          <w:sz w:val="22"/>
          <w:szCs w:val="22"/>
        </w:rPr>
        <w:t xml:space="preserve">Every individual who uses an AI tool in the course of their work has the right and the obligation to override, reject, modify, or discard AI output they believe to be harmful, inaccurate, misleading, inappropriate, or inconsistent with their professional obligations.</w:t>
      </w:r>
    </w:p>
    <w:p>
      <w:pPr>
        <w:spacing w:after="0" w:before="80"/>
      </w:pPr>
    </w:p>
    <w:p>
      <w:pPr>
        <w:spacing w:after="100" w:before="60"/>
      </w:pPr>
      <w:r>
        <w:rPr>
          <w:color w:val="1A2340"/>
          <w:sz w:val="22"/>
          <w:szCs w:val="22"/>
        </w:rPr>
        <w:t xml:space="preserve">No policy, workflow, management instruction, or business process may prevent an individual from exercising human override of AI output. Any instruction that purports to limit human override authority is void.</w:t>
      </w:r>
    </w:p>
    <w:p>
      <w:pPr>
        <w:spacing w:after="0" w:before="80"/>
      </w:pPr>
    </w:p>
    <w:p>
      <w:pPr>
        <w:spacing w:after="100" w:before="60"/>
      </w:pPr>
      <w:r>
        <w:rPr>
          <w:color w:val="1A2340"/>
          <w:sz w:val="22"/>
          <w:szCs w:val="22"/>
        </w:rPr>
        <w:t xml:space="preserve">When overriding AI output, the individual should:</w:t>
      </w:r>
    </w:p>
    <w:p>
      <w:pPr>
        <w:pStyle w:val="ListParagraph"/>
        <w:numPr>
          <w:ilvl w:val="0"/>
          <w:numId w:val="2"/>
        </w:numPr>
        <w:spacing w:after="40" w:before="40"/>
      </w:pPr>
      <w:r>
        <w:rPr>
          <w:color w:val="1A2340"/>
          <w:sz w:val="22"/>
          <w:szCs w:val="22"/>
        </w:rPr>
        <w:t xml:space="preserve">Document that an override was exercised where the use case is High-Impact (see Section 6.8).</w:t>
      </w:r>
    </w:p>
    <w:p>
      <w:pPr>
        <w:pStyle w:val="ListParagraph"/>
        <w:numPr>
          <w:ilvl w:val="0"/>
          <w:numId w:val="2"/>
        </w:numPr>
        <w:spacing w:after="40" w:before="40"/>
      </w:pPr>
      <w:r>
        <w:rPr>
          <w:color w:val="1A2340"/>
          <w:sz w:val="22"/>
          <w:szCs w:val="22"/>
        </w:rPr>
        <w:t xml:space="preserve">Record the reason for the override in sufficient detail to explain the decision to a reasonable inquirer.</w:t>
      </w:r>
    </w:p>
    <w:p>
      <w:pPr>
        <w:pStyle w:val="ListParagraph"/>
        <w:numPr>
          <w:ilvl w:val="0"/>
          <w:numId w:val="2"/>
        </w:numPr>
        <w:spacing w:after="40" w:before="40"/>
      </w:pPr>
      <w:r>
        <w:rPr>
          <w:color w:val="1A2340"/>
          <w:sz w:val="22"/>
          <w:szCs w:val="22"/>
        </w:rPr>
        <w:t xml:space="preserve">Notify their manager if the override relates to a consequential decision (see Section 6.6).</w:t>
      </w:r>
    </w:p>
    <w:p>
      <w:pPr>
        <w:pStyle w:val="ListParagraph"/>
        <w:numPr>
          <w:ilvl w:val="0"/>
          <w:numId w:val="2"/>
        </w:numPr>
        <w:spacing w:after="40" w:before="40"/>
      </w:pPr>
      <w:r>
        <w:rPr>
          <w:color w:val="1A2340"/>
          <w:sz w:val="22"/>
          <w:szCs w:val="22"/>
        </w:rPr>
        <w:t xml:space="preserve">Escalate to the CISO if the override was required because of a systematic AI error, bias, or safety concern.</w:t>
      </w:r>
    </w:p>
    <w:p>
      <w:pPr>
        <w:spacing w:after="0" w:before="120"/>
      </w:pPr>
    </w:p>
    <w:p>
      <w:pPr>
        <w:pStyle w:val="Heading2"/>
        <w:spacing w:after="80" w:before="240"/>
      </w:pPr>
      <w:r>
        <w:rPr>
          <w:b/>
          <w:bCs/>
          <w:color w:val="07B4D9"/>
          <w:sz w:val="26"/>
          <w:szCs w:val="26"/>
        </w:rPr>
        <w:t xml:space="preserve">6.6 </w:t>
      </w:r>
      <w:r>
        <w:rPr>
          <w:b/>
          <w:bCs/>
          <w:color w:val="152168"/>
          <w:sz w:val="26"/>
          <w:szCs w:val="26"/>
        </w:rPr>
        <w:t xml:space="preserve">Consequential Decision Requirements</w:t>
      </w:r>
    </w:p>
    <w:p>
      <w:pPr>
        <w:spacing w:after="100" w:before="60"/>
      </w:pPr>
      <w:r>
        <w:rPr>
          <w:color w:val="1A2340"/>
          <w:sz w:val="22"/>
          <w:szCs w:val="22"/>
        </w:rPr>
        <w:t xml:space="preserve">A Consequential Decision is any decision that materially affects an individual's rights, finances, employment, legal standing, safety, or access to services. AI tools may assist in preparing the information, analysis, or documentation that supports a consequential decision, but the decision itself must be made by a human with appropriate authority.</w:t>
      </w:r>
    </w:p>
    <w:p>
      <w:pPr>
        <w:spacing w:after="0" w:before="80"/>
      </w:pPr>
    </w:p>
    <w:p>
      <w:pPr>
        <w:spacing w:after="100" w:before="60"/>
      </w:pPr>
      <w:r>
        <w:rPr>
          <w:color w:val="1A2340"/>
          <w:sz w:val="22"/>
          <w:szCs w:val="22"/>
        </w:rPr>
        <w:t xml:space="preserve">AI-autonomous consequential decisions are prohibited. The following table specifies prohibited autonomous AI decisions and the required human authority: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Decision Category</w:t>
            </w:r>
          </w:p>
        </w:tc>
        <w:tc>
          <w:tcPr>
            <w:tcW w:type="dxa" w:w="31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Examples</w:t>
            </w:r>
          </w:p>
        </w:tc>
        <w:tc>
          <w:tcPr>
            <w:tcW w:type="dxa" w:w="34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Required Human Authority</w:t>
            </w:r>
          </w:p>
        </w:tc>
      </w:tr>
      <w:tr>
        <w:tc>
          <w:tcPr>
            <w:tcW w:type="dxa" w:w="2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Hiring or termination decisions</w:t>
            </w:r>
          </w:p>
        </w:tc>
        <w:tc>
          <w:tcPr>
            <w:tcW w:type="dxa" w:w="3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HR / People decisions affecting individuals</w:t>
            </w:r>
          </w:p>
        </w:tc>
        <w:tc>
          <w:tcPr>
            <w:tcW w:type="dxa" w:w="3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Human HR Manager + Department Head required</w:t>
            </w:r>
          </w:p>
        </w:tc>
      </w:tr>
      <w:tr>
        <w:tc>
          <w:tcPr>
            <w:tcW w:type="dxa" w:w="2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Payment approvals above threshold</w:t>
            </w:r>
          </w:p>
        </w:tc>
        <w:tc>
          <w:tcPr>
            <w:tcW w:type="dxa" w:w="3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Finance — disbursements, vendor payments</w:t>
            </w:r>
          </w:p>
        </w:tc>
        <w:tc>
          <w:tcPr>
            <w:tcW w:type="dxa" w:w="3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Dual sign-off by Finance Manager + budget owner</w:t>
            </w:r>
          </w:p>
        </w:tc>
      </w:tr>
      <w:tr>
        <w:tc>
          <w:tcPr>
            <w:tcW w:type="dxa" w:w="2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Legal submissions or filings</w:t>
            </w:r>
          </w:p>
        </w:tc>
        <w:tc>
          <w:tcPr>
            <w:tcW w:type="dxa" w:w="3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Any document submitted to a court, regulator, or legal counterparty</w:t>
            </w:r>
          </w:p>
        </w:tc>
        <w:tc>
          <w:tcPr>
            <w:tcW w:type="dxa" w:w="3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Legal Counsel review and signature mandatory</w:t>
            </w:r>
          </w:p>
        </w:tc>
      </w:tr>
      <w:tr>
        <w:tc>
          <w:tcPr>
            <w:tcW w:type="dxa" w:w="2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Safety-critical operational decisions</w:t>
            </w:r>
          </w:p>
        </w:tc>
        <w:tc>
          <w:tcPr>
            <w:tcW w:type="dxa" w:w="3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Facility safety, IT incident response actions, emergency protocols</w:t>
            </w:r>
          </w:p>
        </w:tc>
        <w:tc>
          <w:tcPr>
            <w:tcW w:type="dxa" w:w="3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Named Incident Commander or Operations Manager</w:t>
            </w:r>
          </w:p>
        </w:tc>
      </w:tr>
      <w:tr>
        <w:tc>
          <w:tcPr>
            <w:tcW w:type="dxa" w:w="2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Individual rights determinations</w:t>
            </w:r>
          </w:p>
        </w:tc>
        <w:tc>
          <w:tcPr>
            <w:tcW w:type="dxa" w:w="3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Data subject rights (GDPR), accommodation requests, complaints</w:t>
            </w:r>
          </w:p>
        </w:tc>
        <w:tc>
          <w:tcPr>
            <w:tcW w:type="dxa" w:w="3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Privacy Officer or designated rights handler</w:t>
            </w:r>
          </w:p>
        </w:tc>
      </w:tr>
      <w:tr>
        <w:tc>
          <w:tcPr>
            <w:tcW w:type="dxa" w:w="2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Credit, loan, or financial eligibility</w:t>
            </w:r>
          </w:p>
        </w:tc>
        <w:tc>
          <w:tcPr>
            <w:tcW w:type="dxa" w:w="3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Any credit or financial product decision affecting an individual</w:t>
            </w:r>
          </w:p>
        </w:tc>
        <w:tc>
          <w:tcPr>
            <w:tcW w:type="dxa" w:w="3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Licenced Financial Officer; GDPR Art. 22 applies</w:t>
            </w:r>
          </w:p>
        </w:tc>
      </w:tr>
      <w:tr>
        <w:tc>
          <w:tcPr>
            <w:tcW w:type="dxa" w:w="2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Disciplinary actions</w:t>
            </w:r>
          </w:p>
        </w:tc>
        <w:tc>
          <w:tcPr>
            <w:tcW w:type="dxa" w:w="3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Formal warnings, performance management, suspension</w:t>
            </w:r>
          </w:p>
        </w:tc>
        <w:tc>
          <w:tcPr>
            <w:tcW w:type="dxa" w:w="3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HR Director + Legal sign-off</w:t>
            </w:r>
          </w:p>
        </w:tc>
      </w:tr>
      <w:tr>
        <w:tc>
          <w:tcPr>
            <w:tcW w:type="dxa" w:w="2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Regulatory declarations or attestations</w:t>
            </w:r>
          </w:p>
        </w:tc>
        <w:tc>
          <w:tcPr>
            <w:tcW w:type="dxa" w:w="3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Signed declarations to regulators or government bodies</w:t>
            </w:r>
          </w:p>
        </w:tc>
        <w:tc>
          <w:tcPr>
            <w:tcW w:type="dxa" w:w="3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Accountable Executive; false declaration is a criminal offence</w:t>
            </w:r>
          </w:p>
        </w:tc>
      </w:tr>
    </w:tbl>
    <w:p>
      <w:pPr>
        <w:spacing w:after="0" w:before="80"/>
      </w:pPr>
    </w:p>
    <w:p>
      <w:pPr>
        <w:spacing w:after="100" w:before="60"/>
      </w:pPr>
      <w:r>
        <w:rPr>
          <w:color w:val="1A2340"/>
          <w:sz w:val="22"/>
          <w:szCs w:val="22"/>
        </w:rPr>
        <w:t xml:space="preserve">Where a consequential decision is supported by AI analysis, the accountable human must:</w:t>
      </w:r>
    </w:p>
    <w:p>
      <w:pPr>
        <w:pStyle w:val="ListParagraph"/>
        <w:numPr>
          <w:ilvl w:val="0"/>
          <w:numId w:val="2"/>
        </w:numPr>
        <w:spacing w:after="40" w:before="40"/>
      </w:pPr>
      <w:r>
        <w:rPr>
          <w:color w:val="1A2340"/>
          <w:sz w:val="22"/>
          <w:szCs w:val="22"/>
        </w:rPr>
        <w:t xml:space="preserve">Review the AI output and critically assess it against their own knowledge and judgment.</w:t>
      </w:r>
    </w:p>
    <w:p>
      <w:pPr>
        <w:pStyle w:val="ListParagraph"/>
        <w:numPr>
          <w:ilvl w:val="0"/>
          <w:numId w:val="2"/>
        </w:numPr>
        <w:spacing w:after="40" w:before="40"/>
      </w:pPr>
      <w:r>
        <w:rPr>
          <w:color w:val="1A2340"/>
          <w:sz w:val="22"/>
          <w:szCs w:val="22"/>
        </w:rPr>
        <w:t xml:space="preserve">Document that the decision was made by a human, not by the AI system.</w:t>
      </w:r>
    </w:p>
    <w:p>
      <w:pPr>
        <w:pStyle w:val="ListParagraph"/>
        <w:numPr>
          <w:ilvl w:val="0"/>
          <w:numId w:val="2"/>
        </w:numPr>
        <w:spacing w:after="40" w:before="40"/>
      </w:pPr>
      <w:r>
        <w:rPr>
          <w:color w:val="1A2340"/>
          <w:sz w:val="22"/>
          <w:szCs w:val="22"/>
        </w:rPr>
        <w:t xml:space="preserve">Retain evidence of their review and sign-off for audit purposes.</w:t>
      </w:r>
    </w:p>
    <w:p>
      <w:pPr>
        <w:pStyle w:val="ListParagraph"/>
        <w:numPr>
          <w:ilvl w:val="0"/>
          <w:numId w:val="2"/>
        </w:numPr>
        <w:spacing w:after="40" w:before="40"/>
      </w:pPr>
      <w:r>
        <w:rPr>
          <w:color w:val="1A2340"/>
          <w:sz w:val="22"/>
          <w:szCs w:val="22"/>
        </w:rPr>
        <w:t xml:space="preserve">Ensure affected individuals are notified of their rights where law requires (see Section 6.9).</w:t>
      </w:r>
    </w:p>
    <w:p>
      <w:pPr>
        <w:spacing w:after="0" w:before="120"/>
      </w:pPr>
    </w:p>
    <w:p>
      <w:pPr>
        <w:pStyle w:val="Heading2"/>
        <w:spacing w:after="80" w:before="240"/>
      </w:pPr>
      <w:r>
        <w:rPr>
          <w:b/>
          <w:bCs/>
          <w:color w:val="07B4D9"/>
          <w:sz w:val="26"/>
          <w:szCs w:val="26"/>
        </w:rPr>
        <w:t xml:space="preserve">6.7 </w:t>
      </w:r>
      <w:r>
        <w:rPr>
          <w:b/>
          <w:bCs/>
          <w:color w:val="152168"/>
          <w:sz w:val="26"/>
          <w:szCs w:val="26"/>
        </w:rPr>
        <w:t xml:space="preserve">Explainability Standards</w:t>
      </w:r>
    </w:p>
    <w:p>
      <w:pPr>
        <w:spacing w:after="100" w:before="60"/>
      </w:pPr>
      <w:r>
        <w:rPr>
          <w:color w:val="1A2340"/>
          <w:sz w:val="22"/>
          <w:szCs w:val="22"/>
        </w:rPr>
        <w:t xml:space="preserve">For High-Impact use cases, users must be able to explain — in plain language — what the AI system did and what human judgment they applied. This is an outcome-level explainability requirement. It does not require understanding of AI model architecture, training data, or probabilistic methods.</w:t>
      </w:r>
    </w:p>
    <w:p>
      <w:pPr>
        <w:spacing w:after="0" w:before="80"/>
      </w:pPr>
    </w:p>
    <w:p>
      <w:pPr>
        <w:spacing w:after="100" w:before="60"/>
      </w:pPr>
      <w:r>
        <w:rPr>
          <w:color w:val="1A2340"/>
          <w:sz w:val="22"/>
          <w:szCs w:val="22"/>
        </w:rPr>
        <w:t xml:space="preserve">Specifically, a user must be able to explain:</w:t>
      </w:r>
    </w:p>
    <w:p>
      <w:pPr>
        <w:pStyle w:val="ListParagraph"/>
        <w:numPr>
          <w:ilvl w:val="0"/>
          <w:numId w:val="2"/>
        </w:numPr>
        <w:spacing w:after="40" w:before="40"/>
      </w:pPr>
      <w:r>
        <w:rPr>
          <w:color w:val="1A2340"/>
          <w:sz w:val="22"/>
          <w:szCs w:val="22"/>
        </w:rPr>
        <w:t xml:space="preserve">What task they asked the AI to perform.</w:t>
      </w:r>
    </w:p>
    <w:p>
      <w:pPr>
        <w:pStyle w:val="ListParagraph"/>
        <w:numPr>
          <w:ilvl w:val="0"/>
          <w:numId w:val="2"/>
        </w:numPr>
        <w:spacing w:after="40" w:before="40"/>
      </w:pPr>
      <w:r>
        <w:rPr>
          <w:color w:val="1A2340"/>
          <w:sz w:val="22"/>
          <w:szCs w:val="22"/>
        </w:rPr>
        <w:t xml:space="preserve">What type of output the AI produced (draft, analysis, summary, classification, etc.).</w:t>
      </w:r>
    </w:p>
    <w:p>
      <w:pPr>
        <w:pStyle w:val="ListParagraph"/>
        <w:numPr>
          <w:ilvl w:val="0"/>
          <w:numId w:val="2"/>
        </w:numPr>
        <w:spacing w:after="40" w:before="40"/>
      </w:pPr>
      <w:r>
        <w:rPr>
          <w:color w:val="1A2340"/>
          <w:sz w:val="22"/>
          <w:szCs w:val="22"/>
        </w:rPr>
        <w:t xml:space="preserve">What they reviewed and validated in the AI output.</w:t>
      </w:r>
    </w:p>
    <w:p>
      <w:pPr>
        <w:pStyle w:val="ListParagraph"/>
        <w:numPr>
          <w:ilvl w:val="0"/>
          <w:numId w:val="2"/>
        </w:numPr>
        <w:spacing w:after="40" w:before="40"/>
      </w:pPr>
      <w:r>
        <w:rPr>
          <w:color w:val="1A2340"/>
          <w:sz w:val="22"/>
          <w:szCs w:val="22"/>
        </w:rPr>
        <w:t xml:space="preserve">What changes, if any, they made to the AI output before using it.</w:t>
      </w:r>
    </w:p>
    <w:p>
      <w:pPr>
        <w:pStyle w:val="ListParagraph"/>
        <w:numPr>
          <w:ilvl w:val="0"/>
          <w:numId w:val="2"/>
        </w:numPr>
        <w:spacing w:after="40" w:before="40"/>
      </w:pPr>
      <w:r>
        <w:rPr>
          <w:color w:val="1A2340"/>
          <w:sz w:val="22"/>
          <w:szCs w:val="22"/>
        </w:rPr>
        <w:t xml:space="preserve">Why they believe the final output is accurate and appropriate for its intended use.</w:t>
      </w:r>
    </w:p>
    <w:p>
      <w:pPr>
        <w:spacing w:after="0" w:before="80"/>
      </w:pPr>
    </w:p>
    <w:p>
      <w:pPr>
        <w:spacing w:after="100" w:before="60"/>
      </w:pPr>
      <w:r>
        <w:rPr>
          <w:color w:val="1A2340"/>
          <w:sz w:val="22"/>
          <w:szCs w:val="22"/>
        </w:rPr>
        <w:t xml:space="preserve">AI System Owners for High-Impact use cases must maintain documentation of how the AI system in their domain produces its outputs, expressed in terms understandable by a non-technical business user.</w:t>
      </w:r>
    </w:p>
    <w:p>
      <w:pPr>
        <w:spacing w:after="0" w:before="120"/>
      </w:pPr>
    </w:p>
    <w:p>
      <w:pPr>
        <w:pStyle w:val="Heading2"/>
        <w:spacing w:after="80" w:before="240"/>
      </w:pPr>
      <w:r>
        <w:rPr>
          <w:b/>
          <w:bCs/>
          <w:color w:val="07B4D9"/>
          <w:sz w:val="26"/>
          <w:szCs w:val="26"/>
        </w:rPr>
        <w:t xml:space="preserve">6.8 </w:t>
      </w:r>
      <w:r>
        <w:rPr>
          <w:b/>
          <w:bCs/>
          <w:color w:val="152168"/>
          <w:sz w:val="26"/>
          <w:szCs w:val="26"/>
        </w:rPr>
        <w:t xml:space="preserve">Audit Trail Requirements</w:t>
      </w:r>
    </w:p>
    <w:p>
      <w:pPr>
        <w:spacing w:after="100" w:before="60"/>
      </w:pPr>
      <w:r>
        <w:rPr>
          <w:color w:val="1A2340"/>
          <w:sz w:val="22"/>
          <w:szCs w:val="22"/>
        </w:rPr>
        <w:t xml:space="preserve">High-Impact use cases require a contemporaneous audit trail. The following must be logged at the time of AI use:</w:t>
      </w:r>
    </w:p>
    <w:p>
      <w:pPr>
        <w:pStyle w:val="ListParagraph"/>
        <w:numPr>
          <w:ilvl w:val="0"/>
          <w:numId w:val="2"/>
        </w:numPr>
        <w:spacing w:after="40" w:before="40"/>
      </w:pPr>
      <w:r>
        <w:rPr>
          <w:color w:val="1A2340"/>
          <w:sz w:val="22"/>
          <w:szCs w:val="22"/>
        </w:rPr>
        <w:t xml:space="preserve">The AI tool used (name and version where available).</w:t>
      </w:r>
    </w:p>
    <w:p>
      <w:pPr>
        <w:pStyle w:val="ListParagraph"/>
        <w:numPr>
          <w:ilvl w:val="0"/>
          <w:numId w:val="2"/>
        </w:numPr>
        <w:spacing w:after="40" w:before="40"/>
      </w:pPr>
      <w:r>
        <w:rPr>
          <w:color w:val="1A2340"/>
          <w:sz w:val="22"/>
          <w:szCs w:val="22"/>
        </w:rPr>
        <w:t xml:space="preserve">The category of prompt submitted (e.g., 'email drafting', 'financial analysis', 'HR decision support') — verbatim prompt text is not required.</w:t>
      </w:r>
    </w:p>
    <w:p>
      <w:pPr>
        <w:pStyle w:val="ListParagraph"/>
        <w:numPr>
          <w:ilvl w:val="0"/>
          <w:numId w:val="2"/>
        </w:numPr>
        <w:spacing w:after="40" w:before="40"/>
      </w:pPr>
      <w:r>
        <w:rPr>
          <w:color w:val="1A2340"/>
          <w:sz w:val="22"/>
          <w:szCs w:val="22"/>
        </w:rPr>
        <w:t xml:space="preserve">The category of output produced (e.g., 'draft letter', 'scoring output', 'risk summary').</w:t>
      </w:r>
    </w:p>
    <w:p>
      <w:pPr>
        <w:pStyle w:val="ListParagraph"/>
        <w:numPr>
          <w:ilvl w:val="0"/>
          <w:numId w:val="2"/>
        </w:numPr>
        <w:spacing w:after="40" w:before="40"/>
      </w:pPr>
      <w:r>
        <w:rPr>
          <w:color w:val="1A2340"/>
          <w:sz w:val="22"/>
          <w:szCs w:val="22"/>
        </w:rPr>
        <w:t xml:space="preserve">The name of the human who reviewed the output.</w:t>
      </w:r>
    </w:p>
    <w:p>
      <w:pPr>
        <w:pStyle w:val="ListParagraph"/>
        <w:numPr>
          <w:ilvl w:val="0"/>
          <w:numId w:val="2"/>
        </w:numPr>
        <w:spacing w:after="40" w:before="40"/>
      </w:pPr>
      <w:r>
        <w:rPr>
          <w:color w:val="1A2340"/>
          <w:sz w:val="22"/>
          <w:szCs w:val="22"/>
        </w:rPr>
        <w:t xml:space="preserve">The decision made or action taken on the basis of the output.</w:t>
      </w:r>
    </w:p>
    <w:p>
      <w:pPr>
        <w:pStyle w:val="ListParagraph"/>
        <w:numPr>
          <w:ilvl w:val="0"/>
          <w:numId w:val="2"/>
        </w:numPr>
        <w:spacing w:after="40" w:before="40"/>
      </w:pPr>
      <w:r>
        <w:rPr>
          <w:color w:val="1A2340"/>
          <w:sz w:val="22"/>
          <w:szCs w:val="22"/>
        </w:rPr>
        <w:t xml:space="preserve">The date of AI use and human review.</w:t>
      </w:r>
    </w:p>
    <w:p>
      <w:pPr>
        <w:spacing w:after="0" w:before="80"/>
      </w:pPr>
    </w:p>
    <w:p>
      <w:pPr>
        <w:spacing w:after="100" w:before="60"/>
      </w:pPr>
      <w:r>
        <w:rPr>
          <w:color w:val="1A2340"/>
          <w:sz w:val="22"/>
          <w:szCs w:val="22"/>
        </w:rPr>
        <w:t xml:space="preserve">Audit trail records for High-Impact use cases must be retained for a minimum of three (3) years. See Appendix D for the approved log template.</w:t>
      </w:r>
    </w:p>
    <w:p>
      <w:pPr>
        <w:spacing w:after="0" w:before="120"/>
      </w:pPr>
    </w:p>
    <w:p>
      <w:pPr>
        <w:pStyle w:val="Heading2"/>
        <w:spacing w:after="80" w:before="240"/>
      </w:pPr>
      <w:r>
        <w:rPr>
          <w:b/>
          <w:bCs/>
          <w:color w:val="07B4D9"/>
          <w:sz w:val="26"/>
          <w:szCs w:val="26"/>
        </w:rPr>
        <w:t xml:space="preserve">6.9 </w:t>
      </w:r>
      <w:r>
        <w:rPr>
          <w:b/>
          <w:bCs/>
          <w:color w:val="152168"/>
          <w:sz w:val="26"/>
          <w:szCs w:val="26"/>
        </w:rPr>
        <w:t xml:space="preserve">Regulatory Compliance</w:t>
      </w:r>
    </w:p>
    <w:p>
      <w:pPr>
        <w:spacing w:after="100" w:before="60"/>
      </w:pPr>
      <w:r>
        <w:rPr>
          <w:color w:val="1A2340"/>
          <w:sz w:val="22"/>
          <w:szCs w:val="22"/>
        </w:rPr>
        <w:t xml:space="preserve">The following regulatory frameworks impose specific obligations that apply to AI use within this Policy:</w:t>
      </w:r>
    </w:p>
    <w:p>
      <w:pPr>
        <w:spacing w:after="0" w:before="80"/>
      </w:pPr>
    </w:p>
    <w:p>
      <w:pPr>
        <w:spacing w:after="40" w:before="140"/>
      </w:pPr>
      <w:r>
        <w:rPr>
          <w:b/>
          <w:bCs/>
          <w:color w:val="152168"/>
          <w:sz w:val="22"/>
          <w:szCs w:val="22"/>
        </w:rPr>
        <w:t xml:space="preserve">EU AI Act</w:t>
      </w:r>
    </w:p>
    <w:p>
      <w:pPr>
        <w:spacing w:after="100" w:before="60"/>
      </w:pPr>
      <w:r>
        <w:rPr>
          <w:color w:val="1A2340"/>
          <w:sz w:val="22"/>
          <w:szCs w:val="22"/>
        </w:rPr>
        <w:t xml:space="preserve">Where this organization uses AI systems classified as High-Risk under Annex III of the EU AI Act, additional obligations apply including: fundamental rights impact assessment, registration in the EU database, and enhanced transparency obligations to users and affected individuals. Legal and the CISO must be notified before any High-Risk AI system is deployed.</w:t>
      </w:r>
    </w:p>
    <w:p>
      <w:pPr>
        <w:spacing w:after="0" w:before="80"/>
      </w:pPr>
    </w:p>
    <w:p>
      <w:pPr>
        <w:spacing w:after="40" w:before="140"/>
      </w:pPr>
      <w:r>
        <w:rPr>
          <w:b/>
          <w:bCs/>
          <w:color w:val="152168"/>
          <w:sz w:val="22"/>
          <w:szCs w:val="22"/>
        </w:rPr>
        <w:t xml:space="preserve">GDPR Article 22 — Automated Individual Decision-Making</w:t>
      </w:r>
    </w:p>
    <w:p>
      <w:pPr>
        <w:spacing w:after="100" w:before="60"/>
      </w:pPr>
      <w:r>
        <w:rPr>
          <w:color w:val="1A2340"/>
          <w:sz w:val="22"/>
          <w:szCs w:val="22"/>
        </w:rPr>
        <w:t xml:space="preserve">Where a decision is based solely on automated processing, including AI, and produces legal effects or similarly significant effects on an individual, that individual has the right to: human review of the decision; explanation of the logic applied; and the ability to contest the decision. This organization must not make solely automated decisions of this type without legal review and appropriate safeguards.</w:t>
      </w:r>
    </w:p>
    <w:p>
      <w:pPr>
        <w:spacing w:after="0" w:before="80"/>
      </w:pPr>
    </w:p>
    <w:p>
      <w:pPr>
        <w:spacing w:after="40" w:before="140"/>
      </w:pPr>
      <w:r>
        <w:rPr>
          <w:b/>
          <w:bCs/>
          <w:color w:val="152168"/>
          <w:sz w:val="22"/>
          <w:szCs w:val="22"/>
        </w:rPr>
        <w:t xml:space="preserve">Sector-Specific Requirements</w:t>
      </w:r>
    </w:p>
    <w:p>
      <w:pPr>
        <w:spacing w:after="100" w:before="60"/>
      </w:pPr>
      <w:r>
        <w:rPr>
          <w:color w:val="1A2340"/>
          <w:sz w:val="22"/>
          <w:szCs w:val="22"/>
        </w:rPr>
        <w:t xml:space="preserve">Additional disclosure and explainability requirements may apply in regulated sectors including financial services, healthcare, and employment. Legal and Compliance are responsible for maintaining a register of applicable sector-specific obligations and ensuring this Policy is consistent with them.</w:t>
      </w:r>
    </w:p>
    <w:p>
      <w:pPr>
        <w:pStyle w:val="Heading1"/>
        <w:spacing w:after="120" w:before="320"/>
      </w:pPr>
      <w:r>
        <w:rPr>
          <w:b/>
          <w:bCs/>
          <w:color w:val="07B4D9"/>
          <w:sz w:val="32"/>
          <w:szCs w:val="32"/>
        </w:rPr>
        <w:t xml:space="preserve">7. </w:t>
      </w:r>
      <w:r>
        <w:rPr>
          <w:b/>
          <w:bCs/>
          <w:color w:val="152168"/>
          <w:sz w:val="32"/>
          <w:szCs w:val="32"/>
        </w:rPr>
        <w:t xml:space="preserve">Compliance and Enforcement</w:t>
      </w:r>
    </w:p>
    <w:p>
      <w:pPr>
        <w:pBdr>
          <w:bottom w:val="single" w:color="07B4D9" w:sz="6" w:space="1"/>
        </w:pBdr>
        <w:spacing w:after="120" w:before="120"/>
      </w:pPr>
    </w:p>
    <w:p>
      <w:pPr>
        <w:spacing w:after="100" w:before="60"/>
      </w:pPr>
      <w:r>
        <w:rPr>
          <w:color w:val="1A2340"/>
          <w:sz w:val="22"/>
          <w:szCs w:val="22"/>
        </w:rPr>
        <w:t xml:space="preserve">All staff are expected to comply with this Policy. Non-compliance may result in disciplinary action up to and including termination of employment or contract.</w:t>
      </w:r>
    </w:p>
    <w:p>
      <w:pPr>
        <w:spacing w:after="0" w:before="80"/>
      </w:pPr>
    </w:p>
    <w:p>
      <w:pPr>
        <w:spacing w:after="100" w:before="60"/>
      </w:pPr>
      <w:r>
        <w:rPr>
          <w:color w:val="1A2340"/>
          <w:sz w:val="22"/>
          <w:szCs w:val="22"/>
        </w:rPr>
        <w:t xml:space="preserve">Compliance is monitored through:</w:t>
      </w:r>
    </w:p>
    <w:p>
      <w:pPr>
        <w:pStyle w:val="ListParagraph"/>
        <w:numPr>
          <w:ilvl w:val="0"/>
          <w:numId w:val="2"/>
        </w:numPr>
        <w:spacing w:after="40" w:before="40"/>
      </w:pPr>
      <w:r>
        <w:rPr>
          <w:color w:val="1A2340"/>
          <w:sz w:val="22"/>
          <w:szCs w:val="22"/>
        </w:rPr>
        <w:t xml:space="preserve">Annual AI transparency audits conducted by the CISO or delegated auditor.</w:t>
      </w:r>
    </w:p>
    <w:p>
      <w:pPr>
        <w:pStyle w:val="ListParagraph"/>
        <w:numPr>
          <w:ilvl w:val="0"/>
          <w:numId w:val="2"/>
        </w:numPr>
        <w:spacing w:after="40" w:before="40"/>
      </w:pPr>
      <w:r>
        <w:rPr>
          <w:color w:val="1A2340"/>
          <w:sz w:val="22"/>
          <w:szCs w:val="22"/>
        </w:rPr>
        <w:t xml:space="preserve">Review of audit trail records for High-Impact use cases.</w:t>
      </w:r>
    </w:p>
    <w:p>
      <w:pPr>
        <w:pStyle w:val="ListParagraph"/>
        <w:numPr>
          <w:ilvl w:val="0"/>
          <w:numId w:val="2"/>
        </w:numPr>
        <w:spacing w:after="40" w:before="40"/>
      </w:pPr>
      <w:r>
        <w:rPr>
          <w:color w:val="1A2340"/>
          <w:sz w:val="22"/>
          <w:szCs w:val="22"/>
        </w:rPr>
        <w:t xml:space="preserve">Incident reports and escalations from staff and management.</w:t>
      </w:r>
    </w:p>
    <w:p>
      <w:pPr>
        <w:pStyle w:val="ListParagraph"/>
        <w:numPr>
          <w:ilvl w:val="0"/>
          <w:numId w:val="2"/>
        </w:numPr>
        <w:spacing w:after="40" w:before="40"/>
      </w:pPr>
      <w:r>
        <w:rPr>
          <w:color w:val="1A2340"/>
          <w:sz w:val="22"/>
          <w:szCs w:val="22"/>
        </w:rPr>
        <w:t xml:space="preserve">Regulatory examination findings or third-party assessments.</w:t>
      </w:r>
    </w:p>
    <w:p>
      <w:pPr>
        <w:spacing w:after="0" w:before="80"/>
      </w:pPr>
    </w:p>
    <w:p>
      <w:pPr>
        <w:spacing w:after="100" w:before="60"/>
      </w:pPr>
      <w:r>
        <w:rPr>
          <w:color w:val="1A2340"/>
          <w:sz w:val="22"/>
          <w:szCs w:val="22"/>
        </w:rPr>
        <w:t xml:space="preserve">Material non-compliance — particularly concealment of AI use in legal, regulatory, or consequential contexts — will be escalated to the AIGC, Legal, and where required, the relevant regulator.</w:t>
      </w:r>
    </w:p>
    <w:p>
      <w:pPr>
        <w:pStyle w:val="Heading1"/>
        <w:spacing w:after="120" w:before="320"/>
      </w:pPr>
      <w:r>
        <w:rPr>
          <w:b/>
          <w:bCs/>
          <w:color w:val="07B4D9"/>
          <w:sz w:val="32"/>
          <w:szCs w:val="32"/>
        </w:rPr>
        <w:t xml:space="preserve">8. </w:t>
      </w:r>
      <w:r>
        <w:rPr>
          <w:b/>
          <w:bCs/>
          <w:color w:val="152168"/>
          <w:sz w:val="32"/>
          <w:szCs w:val="32"/>
        </w:rPr>
        <w:t xml:space="preserve">Related Documents</w:t>
      </w:r>
    </w:p>
    <w:p>
      <w:pPr>
        <w:pBdr>
          <w:bottom w:val="single" w:color="07B4D9" w:sz="6" w:space="1"/>
        </w:pBdr>
        <w:spacing w:after="120" w:before="120"/>
      </w:pPr>
    </w:p>
    <w:p>
      <w:pPr>
        <w:pStyle w:val="ListParagraph"/>
        <w:numPr>
          <w:ilvl w:val="0"/>
          <w:numId w:val="2"/>
        </w:numPr>
        <w:spacing w:after="40" w:before="40"/>
      </w:pPr>
      <w:r>
        <w:rPr>
          <w:color w:val="1A2340"/>
          <w:sz w:val="22"/>
          <w:szCs w:val="22"/>
        </w:rPr>
        <w:t xml:space="preserve">AI Acceptable Use Policy</w:t>
      </w:r>
    </w:p>
    <w:p>
      <w:pPr>
        <w:pStyle w:val="ListParagraph"/>
        <w:numPr>
          <w:ilvl w:val="0"/>
          <w:numId w:val="2"/>
        </w:numPr>
        <w:spacing w:after="40" w:before="40"/>
      </w:pPr>
      <w:r>
        <w:rPr>
          <w:color w:val="1A2340"/>
          <w:sz w:val="22"/>
          <w:szCs w:val="22"/>
        </w:rPr>
        <w:t xml:space="preserve">AI Risk Management Policy</w:t>
      </w:r>
    </w:p>
    <w:p>
      <w:pPr>
        <w:pStyle w:val="ListParagraph"/>
        <w:numPr>
          <w:ilvl w:val="0"/>
          <w:numId w:val="2"/>
        </w:numPr>
        <w:spacing w:after="40" w:before="40"/>
      </w:pPr>
      <w:r>
        <w:rPr>
          <w:color w:val="1A2340"/>
          <w:sz w:val="22"/>
          <w:szCs w:val="22"/>
        </w:rPr>
        <w:t xml:space="preserve">Information Security Policy</w:t>
      </w:r>
    </w:p>
    <w:p>
      <w:pPr>
        <w:pStyle w:val="ListParagraph"/>
        <w:numPr>
          <w:ilvl w:val="0"/>
          <w:numId w:val="2"/>
        </w:numPr>
        <w:spacing w:after="40" w:before="40"/>
      </w:pPr>
      <w:r>
        <w:rPr>
          <w:color w:val="1A2340"/>
          <w:sz w:val="22"/>
          <w:szCs w:val="22"/>
        </w:rPr>
        <w:t xml:space="preserve">Privacy and Data Protection Policy</w:t>
      </w:r>
    </w:p>
    <w:p>
      <w:pPr>
        <w:pStyle w:val="ListParagraph"/>
        <w:numPr>
          <w:ilvl w:val="0"/>
          <w:numId w:val="2"/>
        </w:numPr>
        <w:spacing w:after="40" w:before="40"/>
      </w:pPr>
      <w:r>
        <w:rPr>
          <w:color w:val="1A2340"/>
          <w:sz w:val="22"/>
          <w:szCs w:val="22"/>
        </w:rPr>
        <w:t xml:space="preserve">Records Retention Policy</w:t>
      </w:r>
    </w:p>
    <w:p>
      <w:pPr>
        <w:pStyle w:val="ListParagraph"/>
        <w:numPr>
          <w:ilvl w:val="0"/>
          <w:numId w:val="2"/>
        </w:numPr>
        <w:spacing w:after="40" w:before="40"/>
      </w:pPr>
      <w:r>
        <w:rPr>
          <w:color w:val="1A2340"/>
          <w:sz w:val="22"/>
          <w:szCs w:val="22"/>
        </w:rPr>
        <w:t xml:space="preserve">Disciplinary and Code of Conduct Policy</w:t>
      </w:r>
    </w:p>
    <w:p>
      <w:pPr>
        <w:pStyle w:val="Heading1"/>
        <w:spacing w:after="120" w:before="320"/>
      </w:pPr>
      <w:r>
        <w:rPr>
          <w:b/>
          <w:bCs/>
          <w:color w:val="07B4D9"/>
          <w:sz w:val="32"/>
          <w:szCs w:val="32"/>
        </w:rPr>
        <w:t xml:space="preserve">9. </w:t>
      </w:r>
      <w:r>
        <w:rPr>
          <w:b/>
          <w:bCs/>
          <w:color w:val="152168"/>
          <w:sz w:val="32"/>
          <w:szCs w:val="32"/>
        </w:rPr>
        <w:t xml:space="preserve">Document Control</w:t>
      </w:r>
    </w:p>
    <w:p>
      <w:pPr>
        <w:pBdr>
          <w:bottom w:val="single" w:color="07B4D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Version</w:t>
            </w:r>
          </w:p>
        </w:tc>
        <w:tc>
          <w:tcPr>
            <w:tcW w:type="dxa" w:w="24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Date</w:t>
            </w:r>
          </w:p>
        </w:tc>
        <w:tc>
          <w:tcPr>
            <w:tcW w:type="dxa" w:w="24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Author</w:t>
            </w:r>
          </w:p>
        </w:tc>
        <w:tc>
          <w:tcPr>
            <w:tcW w:type="dxa" w:w="21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Change Summary</w:t>
            </w:r>
          </w:p>
        </w:tc>
      </w:tr>
      <w:tr>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Draft 1.0</w:t>
            </w:r>
          </w:p>
        </w:tc>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June 2026</w:t>
            </w:r>
          </w:p>
        </w:tc>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[Author Name]</w:t>
            </w:r>
          </w:p>
        </w:tc>
        <w:tc>
          <w:tcPr>
            <w:tcW w:type="dxa" w:w="21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Initial draft</w:t>
            </w:r>
          </w:p>
        </w:tc>
      </w:tr>
    </w:tbl>
    <w:p>
      <w:r>
        <w:br w:type="page"/>
      </w:r>
    </w:p>
    <w:p>
      <w:pPr>
        <w:shd w:fill="152168" w:color="auto" w:val="clear"/>
        <w:spacing w:after="200" w:before="0"/>
        <w:jc w:val="center"/>
      </w:pPr>
      <w:r>
        <w:rPr>
          <w:b/>
          <w:bCs/>
          <w:color w:val="FFFFFF"/>
          <w:sz w:val="36"/>
          <w:szCs w:val="36"/>
        </w:rPr>
        <w:t xml:space="preserve">APPENDICES</w:t>
      </w:r>
    </w:p>
    <w:p>
      <w:pPr>
        <w:pStyle w:val="Heading1"/>
        <w:spacing w:after="120" w:before="320"/>
      </w:pPr>
      <w:r>
        <w:rPr>
          <w:b/>
          <w:bCs/>
          <w:color w:val="152168"/>
          <w:sz w:val="28"/>
          <w:szCs w:val="28"/>
        </w:rPr>
        <w:t xml:space="preserve">Appendix A: AI Disclosure Decision Guide</w:t>
      </w:r>
    </w:p>
    <w:p>
      <w:pPr>
        <w:spacing w:after="100" w:before="60"/>
      </w:pPr>
      <w:r>
        <w:rPr>
          <w:color w:val="1A2340"/>
          <w:sz w:val="22"/>
          <w:szCs w:val="22"/>
        </w:rPr>
        <w:t xml:space="preserve">Use the decision questions below to determine whether disclosure of AI use is required. Work through the questions in order and stop when you reach an action.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Decision Question</w:t>
            </w:r>
          </w:p>
        </w:tc>
        <w:tc>
          <w:tcPr>
            <w:tcW w:type="dxa" w:w="288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Answer</w:t>
            </w:r>
          </w:p>
        </w:tc>
        <w:tc>
          <w:tcPr>
            <w:tcW w:type="dxa" w:w="288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Action</w:t>
            </w:r>
          </w:p>
        </w:tc>
      </w:tr>
      <w:tr>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Is the output going to an external party?</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Disclosure almost certainly required — proceed to next question</w:t>
            </w:r>
          </w:p>
        </w:tc>
      </w:tr>
      <w:tr>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Is the output going to an external party?</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NO</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Internal only — nominal AI use does not require disclosure</w:t>
            </w:r>
          </w:p>
        </w:tc>
      </w:tr>
      <w:tr>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Does the output affect an individual's rights, employment, finances, or legal standing?</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Mandatory disclosure + human review sign-off required</w:t>
            </w:r>
          </w:p>
        </w:tc>
      </w:tr>
      <w:tr>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Does the output affect an individual's rights, employment, finances, or legal standing?</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NO</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Continue assessment</w:t>
            </w:r>
          </w:p>
        </w:tc>
      </w:tr>
      <w:tr>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Is the output being submitted to a regulator, court, or official body?</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Mandatory disclosure — see Section 6.9</w:t>
            </w:r>
          </w:p>
        </w:tc>
      </w:tr>
      <w:tr>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Is the output being submitted to a regulator, court, or official body?</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NO</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Continue assessment</w:t>
            </w:r>
          </w:p>
        </w:tc>
      </w:tr>
      <w:tr>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Was AI used to generate more than grammar/spell-check assistance?</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 — material use</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Disclose using approved language (Appendix B)</w:t>
            </w:r>
          </w:p>
        </w:tc>
      </w:tr>
      <w:tr>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Was AI used to generate more than grammar/spell-check assistance?</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NO — nominal use</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No disclosure required; human authorship is accurate</w:t>
            </w:r>
          </w:p>
        </w:tc>
      </w:tr>
      <w:tr>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Is the communication branded or signed as coming from a named human?</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YES — AI generated it</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Disclose or rewrite to accurately represent authorship</w:t>
            </w:r>
          </w:p>
        </w:tc>
      </w:tr>
      <w:tr>
        <w:tc>
          <w:tcPr>
            <w:tcW w:type="dxa" w:w="36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Is the communication branded or signed as coming from a named human?</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NO</w:t>
            </w:r>
          </w:p>
        </w:tc>
        <w:tc>
          <w:tcPr>
            <w:tcW w:type="dxa" w:w="288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Standard review process applies</w:t>
            </w:r>
          </w:p>
        </w:tc>
      </w:tr>
    </w:tbl>
    <w:p>
      <w:r>
        <w:br w:type="page"/>
      </w:r>
    </w:p>
    <w:p>
      <w:pPr>
        <w:pStyle w:val="Heading1"/>
        <w:spacing w:after="120" w:before="0"/>
      </w:pPr>
      <w:r>
        <w:rPr>
          <w:b/>
          <w:bCs/>
          <w:color w:val="152168"/>
          <w:sz w:val="28"/>
          <w:szCs w:val="28"/>
        </w:rPr>
        <w:t xml:space="preserve">Appendix B: Approved Disclosure Language Templates</w:t>
      </w:r>
    </w:p>
    <w:p>
      <w:pPr>
        <w:spacing w:after="100" w:before="60"/>
      </w:pPr>
      <w:r>
        <w:rPr>
          <w:color w:val="1A2340"/>
          <w:sz w:val="22"/>
          <w:szCs w:val="22"/>
        </w:rPr>
        <w:t xml:space="preserve">Use these approved templates verbatim or adapt minimally to context. Do not reduce the substance of any disclosure statement.</w:t>
      </w:r>
    </w:p>
    <w:p>
      <w:pPr>
        <w:spacing w:after="0" w:before="80"/>
      </w:pPr>
    </w:p>
    <w:p>
      <w:pPr>
        <w:spacing w:after="40" w:before="140"/>
      </w:pPr>
      <w:r>
        <w:rPr>
          <w:b/>
          <w:bCs/>
          <w:color w:val="152168"/>
          <w:sz w:val="22"/>
          <w:szCs w:val="22"/>
        </w:rPr>
        <w:t xml:space="preserve">B1 — Internal Document Label</w:t>
      </w:r>
    </w:p>
    <w:p>
      <w:pPr>
        <w:shd w:fill="EBF0FA" w:color="auto" w:val="clear"/>
        <w:spacing w:after="80" w:before="80"/>
        <w:ind w:left="120" w:right="120"/>
      </w:pPr>
      <w:r>
        <w:rPr>
          <w:b w:val="false"/>
          <w:bCs w:val="false"/>
          <w:color w:val="1A2340"/>
          <w:sz w:val="22"/>
          <w:szCs w:val="22"/>
        </w:rPr>
        <w:t xml:space="preserve">AI-Assisted Draft — Human Reviewed: [Full Name], [Date]</w:t>
      </w:r>
    </w:p>
    <w:p>
      <w:pPr>
        <w:spacing w:after="100" w:before="60"/>
      </w:pPr>
      <w:r>
        <w:rPr>
          <w:color w:val="1A2340"/>
          <w:sz w:val="22"/>
          <w:szCs w:val="22"/>
        </w:rPr>
        <w:t xml:space="preserve">Apply to: internal memos, reports, policy drafts, briefing documents, and meeting summaries where AI was materially used.</w:t>
      </w:r>
    </w:p>
    <w:p>
      <w:pPr>
        <w:spacing w:after="40" w:before="140"/>
      </w:pPr>
      <w:r>
        <w:rPr>
          <w:b/>
          <w:bCs/>
          <w:color w:val="152168"/>
          <w:sz w:val="22"/>
          <w:szCs w:val="22"/>
        </w:rPr>
        <w:t xml:space="preserve">B2 — External Communication Brief Disclosure</w:t>
      </w:r>
    </w:p>
    <w:p>
      <w:pPr>
        <w:shd w:fill="EBF0FA" w:color="auto" w:val="clear"/>
        <w:spacing w:after="80" w:before="80"/>
        <w:ind w:left="120" w:right="120"/>
      </w:pPr>
      <w:r>
        <w:rPr>
          <w:b w:val="false"/>
          <w:bCs w:val="false"/>
          <w:color w:val="1A2340"/>
          <w:sz w:val="22"/>
          <w:szCs w:val="22"/>
        </w:rPr>
        <w:t xml:space="preserve">This communication was prepared with AI assistance and reviewed and approved by [Full Name], [Title], on [Date].</w:t>
      </w:r>
    </w:p>
    <w:p>
      <w:pPr>
        <w:spacing w:after="100" w:before="60"/>
      </w:pPr>
      <w:r>
        <w:rPr>
          <w:color w:val="1A2340"/>
          <w:sz w:val="22"/>
          <w:szCs w:val="22"/>
        </w:rPr>
        <w:t xml:space="preserve">Apply to: customer emails, client reports, marketing content, and partner communications where AI materially contributed to the content.</w:t>
      </w:r>
    </w:p>
    <w:p>
      <w:pPr>
        <w:spacing w:after="40" w:before="140"/>
      </w:pPr>
      <w:r>
        <w:rPr>
          <w:b/>
          <w:bCs/>
          <w:color w:val="152168"/>
          <w:sz w:val="22"/>
          <w:szCs w:val="22"/>
        </w:rPr>
        <w:t xml:space="preserve">B3 — Extended Disclosure for Regulated Contexts</w:t>
      </w:r>
    </w:p>
    <w:p>
      <w:pPr>
        <w:shd w:fill="EBF0FA" w:color="auto" w:val="clear"/>
        <w:spacing w:after="80" w:before="80"/>
        <w:ind w:left="120" w:right="120"/>
      </w:pPr>
      <w:r>
        <w:rPr>
          <w:b w:val="false"/>
          <w:bCs w:val="false"/>
          <w:color w:val="1A2340"/>
          <w:sz w:val="22"/>
          <w:szCs w:val="22"/>
        </w:rPr>
        <w:t xml:space="preserve">Disclosure: Artificial intelligence tools were used in the preparation of this document. All content has been reviewed for accuracy and appropriateness and is approved and signed off by [Full Name], [Title], [Organization], on [Date]. The use of AI tools does not affect the accuracy of the information contained herein or the accountability of the named individual for its contents.</w:t>
      </w:r>
    </w:p>
    <w:p>
      <w:pPr>
        <w:spacing w:after="100" w:before="60"/>
      </w:pPr>
      <w:r>
        <w:rPr>
          <w:color w:val="1A2340"/>
          <w:sz w:val="22"/>
          <w:szCs w:val="22"/>
        </w:rPr>
        <w:t xml:space="preserve">Apply to: legal filings, regulatory submissions, audit responses, signed financial statements, and any other document submitted to an official body.</w:t>
      </w:r>
    </w:p>
    <w:p>
      <w:pPr>
        <w:spacing w:after="40" w:before="140"/>
      </w:pPr>
      <w:r>
        <w:rPr>
          <w:b/>
          <w:bCs/>
          <w:color w:val="152168"/>
          <w:sz w:val="22"/>
          <w:szCs w:val="22"/>
        </w:rPr>
        <w:t xml:space="preserve">B4 — Customer-Facing AI Interaction Disclosure</w:t>
      </w:r>
    </w:p>
    <w:p>
      <w:pPr>
        <w:shd w:fill="EBF0FA" w:color="auto" w:val="clear"/>
        <w:spacing w:after="80" w:before="80"/>
        <w:ind w:left="120" w:right="120"/>
      </w:pPr>
      <w:r>
        <w:rPr>
          <w:b w:val="false"/>
          <w:bCs w:val="false"/>
          <w:color w:val="1A2340"/>
          <w:sz w:val="22"/>
          <w:szCs w:val="22"/>
        </w:rPr>
        <w:t xml:space="preserve">You are communicating with an AI assistant. AI responses are provided for information only. For decisions, escalations, or formal requests, please contact [Team Name] at [contact details].</w:t>
      </w:r>
    </w:p>
    <w:p>
      <w:pPr>
        <w:spacing w:after="100" w:before="60"/>
      </w:pPr>
      <w:r>
        <w:rPr>
          <w:color w:val="1A2340"/>
          <w:sz w:val="22"/>
          <w:szCs w:val="22"/>
        </w:rPr>
        <w:t xml:space="preserve">Apply to: AI-powered chatbots, automated email responders, and any customer-facing interface that uses AI to generate responses.</w:t>
      </w:r>
    </w:p>
    <w:p>
      <w:r>
        <w:br w:type="page"/>
      </w:r>
    </w:p>
    <w:p>
      <w:pPr>
        <w:pStyle w:val="Heading1"/>
        <w:spacing w:after="120" w:before="0"/>
      </w:pPr>
      <w:r>
        <w:rPr>
          <w:b/>
          <w:bCs/>
          <w:color w:val="152168"/>
          <w:sz w:val="28"/>
          <w:szCs w:val="28"/>
        </w:rPr>
        <w:t xml:space="preserve">Appendix C: Consequential Decision Categories and Approval Requirements</w:t>
      </w:r>
    </w:p>
    <w:p>
      <w:pPr>
        <w:spacing w:after="100" w:before="60"/>
      </w:pPr>
      <w:r>
        <w:rPr>
          <w:color w:val="1A2340"/>
          <w:sz w:val="22"/>
          <w:szCs w:val="22"/>
        </w:rPr>
        <w:t xml:space="preserve">The following table defines Consequential Decision categories for the purposes of this Policy and specifies the required approval authority and documentation for each.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400"/>
        <w:gridCol w:w="2200"/>
      </w:tblGrid>
      <w:tr>
        <w:trPr>
          <w:tblHeader/>
        </w:trPr>
        <w:tc>
          <w:tcPr>
            <w:tcW w:type="dxa" w:w="22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Decision Category</w:t>
            </w:r>
          </w:p>
        </w:tc>
        <w:tc>
          <w:tcPr>
            <w:tcW w:type="dxa" w:w="25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Examples</w:t>
            </w:r>
          </w:p>
        </w:tc>
        <w:tc>
          <w:tcPr>
            <w:tcW w:type="dxa" w:w="24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Approval Authority</w:t>
            </w:r>
          </w:p>
        </w:tc>
        <w:tc>
          <w:tcPr>
            <w:tcW w:type="dxa" w:w="22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Documentation Required</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Employment (hiring/firing)</w:t>
            </w:r>
          </w:p>
        </w:tc>
        <w:tc>
          <w:tcPr>
            <w:tcW w:type="dxa" w:w="2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HR screening output, performance score, interview summary</w:t>
            </w:r>
          </w:p>
        </w:tc>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HR Director + Legal</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Written record; candidate notification</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Financial eligibility</w:t>
            </w:r>
          </w:p>
        </w:tc>
        <w:tc>
          <w:tcPr>
            <w:tcW w:type="dxa" w:w="2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Credit scoring, loan decision, payment approval</w:t>
            </w:r>
          </w:p>
        </w:tc>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Finance Manager + CFO</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Written decision record; GDPR Art. 22 rights notice</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Legal filing or pleading</w:t>
            </w:r>
          </w:p>
        </w:tc>
        <w:tc>
          <w:tcPr>
            <w:tcW w:type="dxa" w:w="2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Court submission, regulatory declaration, contract execution</w:t>
            </w:r>
          </w:p>
        </w:tc>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Legal Counsel (signature)</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Docketed record; filing confirmation</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Safety or operational</w:t>
            </w:r>
          </w:p>
        </w:tc>
        <w:tc>
          <w:tcPr>
            <w:tcW w:type="dxa" w:w="2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Incident response action, access revocation, facility control</w:t>
            </w:r>
          </w:p>
        </w:tc>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Named Incident Commander</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Incident log entry; post-event review</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Individual rights determination</w:t>
            </w:r>
          </w:p>
        </w:tc>
        <w:tc>
          <w:tcPr>
            <w:tcW w:type="dxa" w:w="2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GDPR rights request, accommodation, complaint outcome</w:t>
            </w:r>
          </w:p>
        </w:tc>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Privacy Officer</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Rights response log; regulator-reportable</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Disciplinary action</w:t>
            </w:r>
          </w:p>
        </w:tc>
        <w:tc>
          <w:tcPr>
            <w:tcW w:type="dxa" w:w="2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Formal warning, suspension, performance improvement plan</w:t>
            </w:r>
          </w:p>
        </w:tc>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HR Director</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Employee record; appeal rights notice</w:t>
            </w:r>
          </w:p>
        </w:tc>
      </w:tr>
      <w:tr>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Regulatory attestation</w:t>
            </w:r>
          </w:p>
        </w:tc>
        <w:tc>
          <w:tcPr>
            <w:tcW w:type="dxa" w:w="2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Signed declaration, compliance certification, audit response</w:t>
            </w:r>
          </w:p>
        </w:tc>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Accountable Executive</w:t>
            </w:r>
          </w:p>
        </w:tc>
        <w:tc>
          <w:tcPr>
            <w:tcW w:type="dxa" w:w="22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Signed document retained; legal exposure if false</w:t>
            </w:r>
          </w:p>
        </w:tc>
      </w:tr>
    </w:tbl>
    <w:p>
      <w:r>
        <w:br w:type="page"/>
      </w:r>
    </w:p>
    <w:p>
      <w:pPr>
        <w:pStyle w:val="Heading1"/>
        <w:spacing w:after="120" w:before="0"/>
      </w:pPr>
      <w:r>
        <w:rPr>
          <w:b/>
          <w:bCs/>
          <w:color w:val="152168"/>
          <w:sz w:val="28"/>
          <w:szCs w:val="28"/>
        </w:rPr>
        <w:t xml:space="preserve">Appendix D: Audit Trail Log Template</w:t>
      </w:r>
    </w:p>
    <w:p>
      <w:pPr>
        <w:spacing w:after="100" w:before="60"/>
      </w:pPr>
      <w:r>
        <w:rPr>
          <w:color w:val="1A2340"/>
          <w:sz w:val="22"/>
          <w:szCs w:val="22"/>
        </w:rPr>
        <w:t xml:space="preserve">This template must be used for High-Impact AI use cases. Records must be retained for a minimum of three years.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Date</w:t>
            </w:r>
          </w:p>
        </w:tc>
        <w:tc>
          <w:tcPr>
            <w:tcW w:type="dxa" w:w="15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AI Tool Used</w:t>
            </w:r>
          </w:p>
        </w:tc>
        <w:tc>
          <w:tcPr>
            <w:tcW w:type="dxa" w:w="15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Prompt Category</w:t>
            </w:r>
          </w:p>
        </w:tc>
        <w:tc>
          <w:tcPr>
            <w:tcW w:type="dxa" w:w="15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Output Category</w:t>
            </w:r>
          </w:p>
        </w:tc>
        <w:tc>
          <w:tcPr>
            <w:tcW w:type="dxa" w:w="15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Human Reviewer</w:t>
            </w:r>
          </w:p>
        </w:tc>
        <w:tc>
          <w:tcPr>
            <w:tcW w:type="dxa" w:w="15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Decision / Action Taken</w:t>
            </w:r>
          </w:p>
        </w:tc>
      </w:tr>
      <w:tr>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r>
      <w:tr>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r>
      <w:tr>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c>
          <w:tcPr>
            <w:tcW w:type="dxa" w:w="1560"/>
            <w:tcBorders>
              <w:top w:val="single" w:color="DDE3EF" w:sz="4"/>
              <w:left w:val="single" w:color="DDE3EF" w:sz="4"/>
              <w:bottom w:val="single" w:color="DDE3EF" w:sz="4"/>
              <w:right w:val="single" w:color="DDE3EF" w:sz="4"/>
            </w:tcBorders>
            <w:shd w:fill="EBF0FA"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[Enter]</w:t>
            </w:r>
          </w:p>
        </w:tc>
      </w:tr>
    </w:tbl>
    <w:p>
      <w:pPr>
        <w:spacing w:after="0" w:before="80"/>
      </w:pPr>
    </w:p>
    <w:p>
      <w:pPr>
        <w:spacing w:after="100" w:before="60"/>
      </w:pPr>
      <w:r>
        <w:rPr>
          <w:color w:val="1A2340"/>
          <w:sz w:val="22"/>
          <w:szCs w:val="22"/>
        </w:rPr>
        <w:t xml:space="preserve">High-Impact Use Case: any AI use that contributes to a consequential decision, regulatory submission, legal filing, customer-facing communication, financial reporting, or any use case designated as High-Impact by the AIGC.</w:t>
      </w:r>
    </w:p>
    <w:p>
      <w:r>
        <w:br w:type="page"/>
      </w:r>
    </w:p>
    <w:p>
      <w:pPr>
        <w:pStyle w:val="Heading1"/>
        <w:spacing w:after="120" w:before="0"/>
      </w:pPr>
      <w:r>
        <w:rPr>
          <w:b/>
          <w:bCs/>
          <w:color w:val="152168"/>
          <w:sz w:val="28"/>
          <w:szCs w:val="28"/>
        </w:rPr>
        <w:t xml:space="preserve">Appendix E: Framework Mapping</w:t>
      </w:r>
    </w:p>
    <w:p>
      <w:pPr>
        <w:spacing w:after="100" w:before="60"/>
      </w:pPr>
      <w:r>
        <w:rPr>
          <w:color w:val="1A2340"/>
          <w:sz w:val="22"/>
          <w:szCs w:val="22"/>
        </w:rPr>
        <w:t xml:space="preserve">The table below maps Policy sections to the applicable clauses of NIST AI RMF 1.0, ISO/IEC 42001:2023, the EU AI Act, and GDPR.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Policy Section</w:t>
            </w:r>
          </w:p>
        </w:tc>
        <w:tc>
          <w:tcPr>
            <w:tcW w:type="dxa" w:w="18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NIST AI RMF 1.0</w:t>
            </w:r>
          </w:p>
        </w:tc>
        <w:tc>
          <w:tcPr>
            <w:tcW w:type="dxa" w:w="18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ISO/IEC 42001:2023</w:t>
            </w:r>
          </w:p>
        </w:tc>
        <w:tc>
          <w:tcPr>
            <w:tcW w:type="dxa" w:w="180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EU AI Act</w:t>
            </w:r>
          </w:p>
        </w:tc>
        <w:tc>
          <w:tcPr>
            <w:tcW w:type="dxa" w:w="1560"/>
            <w:tcBorders>
              <w:top w:val="single" w:color="07B4D9" w:sz="4"/>
              <w:left w:val="single" w:color="07B4D9" w:sz="4"/>
              <w:bottom w:val="single" w:color="07B4D9" w:sz="4"/>
              <w:right w:val="single" w:color="07B4D9" w:sz="4"/>
            </w:tcBorders>
            <w:shd w:fill="152168" w:color="auto" w:val="clear"/>
            <w:tcMar>
              <w:top w:type="dxa" w:w="80"/>
              <w:left w:type="dxa" w:w="120"/>
              <w:bottom w:type="dxa" w:w="80"/>
              <w:right w:type="dxa" w:w="120"/>
            </w:tcMar>
            <w:vAlign w:val="center"/>
          </w:tcPr>
          <w:p>
            <w:r>
              <w:rPr>
                <w:b/>
                <w:bCs/>
                <w:color w:val="FFFFFF"/>
                <w:sz w:val="20"/>
                <w:szCs w:val="20"/>
              </w:rPr>
              <w:t xml:space="preserve">GDPR</w:t>
            </w:r>
          </w:p>
        </w:tc>
      </w:tr>
      <w:tr>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Human Accountability Requirement (6.1)</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GOVERN 1.1, 1.2</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Clause 5.3, 6.2</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14 (human oversight)</w:t>
            </w:r>
          </w:p>
        </w:tc>
        <w:tc>
          <w:tcPr>
            <w:tcW w:type="dxa" w:w="1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w:t>
            </w:r>
          </w:p>
        </w:tc>
      </w:tr>
      <w:tr>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AI Disclosure Requirements (6.2)</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GOVERN 6.1, 6.2</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Clause 7.4, 8.5</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13 (transparency)</w:t>
            </w:r>
          </w:p>
        </w:tc>
        <w:tc>
          <w:tcPr>
            <w:tcW w:type="dxa" w:w="1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13 (info obligations)</w:t>
            </w:r>
          </w:p>
        </w:tc>
      </w:tr>
      <w:tr>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Prohibited Non-Disclosure (6.3)</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GOVERN 6.2</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Clause 8.6</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13</w:t>
            </w:r>
          </w:p>
        </w:tc>
        <w:tc>
          <w:tcPr>
            <w:tcW w:type="dxa" w:w="1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22</w:t>
            </w:r>
          </w:p>
        </w:tc>
      </w:tr>
      <w:tr>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AI Labelling Standards (6.4)</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MAP 5.1</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Clause 8.5</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13, Annex VIII</w:t>
            </w:r>
          </w:p>
        </w:tc>
        <w:tc>
          <w:tcPr>
            <w:tcW w:type="dxa" w:w="1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w:t>
            </w:r>
          </w:p>
        </w:tc>
      </w:tr>
      <w:tr>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Human Override Authority (6.5)</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GOVERN 5.1</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Clause 6.1.2</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14 (override rights)</w:t>
            </w:r>
          </w:p>
        </w:tc>
        <w:tc>
          <w:tcPr>
            <w:tcW w:type="dxa" w:w="1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22(3)</w:t>
            </w:r>
          </w:p>
        </w:tc>
      </w:tr>
      <w:tr>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Consequential Decision Requirements (6.6)</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GOVERN 1.3, MAP 5.2</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Clause 8.4, 8.6</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14, Annex III</w:t>
            </w:r>
          </w:p>
        </w:tc>
        <w:tc>
          <w:tcPr>
            <w:tcW w:type="dxa" w:w="1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22</w:t>
            </w:r>
          </w:p>
        </w:tc>
      </w:tr>
      <w:tr>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Explainability Standards (6.7)</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MAP 1.6</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Clause 8.5</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13 (meaningful info)</w:t>
            </w:r>
          </w:p>
        </w:tc>
        <w:tc>
          <w:tcPr>
            <w:tcW w:type="dxa" w:w="1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22(3) (logic)</w:t>
            </w:r>
          </w:p>
        </w:tc>
      </w:tr>
      <w:tr>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Audit Trail Requirements (6.8)</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GOVERN 4.1, 4.2</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Clause 9.1, 10.1</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12, 26</w:t>
            </w:r>
          </w:p>
        </w:tc>
        <w:tc>
          <w:tcPr>
            <w:tcW w:type="dxa" w:w="1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 5(2) accountability</w:t>
            </w:r>
          </w:p>
        </w:tc>
      </w:tr>
      <w:tr>
        <w:tc>
          <w:tcPr>
            <w:tcW w:type="dxa" w:w="24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Regulatory Compliance (6.9)</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GOVERN 6.1</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Clause 4.2</w:t>
            </w:r>
          </w:p>
        </w:tc>
        <w:tc>
          <w:tcPr>
            <w:tcW w:type="dxa" w:w="180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Articles 6, 9, 52</w:t>
            </w:r>
          </w:p>
        </w:tc>
        <w:tc>
          <w:tcPr>
            <w:tcW w:type="dxa" w:w="1560"/>
            <w:tcBorders>
              <w:top w:val="single" w:color="DDE3EF" w:sz="4"/>
              <w:left w:val="single" w:color="DDE3EF" w:sz="4"/>
              <w:bottom w:val="single" w:color="DDE3EF" w:sz="4"/>
              <w:right w:val="single" w:color="DDE3EF" w:sz="4"/>
            </w:tcBorders>
            <w:shd w:fill="FFFFFF" w:color="auto" w:val="clear"/>
            <w:tcMar>
              <w:top w:type="dxa" w:w="80"/>
              <w:left w:type="dxa" w:w="120"/>
              <w:bottom w:type="dxa" w:w="80"/>
              <w:right w:type="dxa" w:w="120"/>
            </w:tcMar>
            <w:vAlign w:val="top"/>
          </w:tcPr>
          <w:p>
            <w:pPr>
              <w:spacing w:after="60" w:before="60"/>
            </w:pPr>
            <w:r>
              <w:rPr>
                <w:b w:val="false"/>
                <w:bCs w:val="false"/>
                <w:color w:val="1A2340"/>
                <w:sz w:val="22"/>
                <w:szCs w:val="22"/>
              </w:rPr>
              <w:t xml:space="preserve">Articles 13, 22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1"/>
      </w:pBdr>
      <w:spacing w:after="0" w:before="80"/>
    </w:pPr>
    <w:r>
      <w:rPr>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4" w:space="1"/>
      </w:pBdr>
      <w:tabs>
        <w:tab w:val="right" w:pos="9026"/>
      </w:tabs>
      <w:spacing w:after="80" w:before="0"/>
    </w:pPr>
    <w:r>
      <w:rPr>
        <w:color w:val="5A6A8A"/>
        <w:sz w:val="16"/>
        <w:szCs w:val="16"/>
      </w:rPr>
      <w:t xml:space="preserve">ENT-Draft-POL-AI Transparency and Accountability-Comprehensive-6.26  |  AI Transparency and Accountability Policy</w:t>
    </w:r>
    <w:r>
      <w:rPr>
        <w:color w:val="5A6A8A"/>
        <w:sz w:val="16"/>
        <w:szCs w:val="16"/>
      </w:rPr>
      <w:t xml:space="preserve">	Page </w:t>
    </w:r>
    <w:r>
      <w:rPr>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5216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521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2026-06-19T00:22:48.198Z</dcterms:created>
  <dcterms:modified xsi:type="dcterms:W3CDTF">2026-06-19T00:22:48.199Z</dcterms:modified>
</cp:coreProperties>
</file>

<file path=docProps/custom.xml><?xml version="1.0" encoding="utf-8"?>
<Properties xmlns="http://schemas.openxmlformats.org/officeDocument/2006/custom-properties" xmlns:vt="http://schemas.openxmlformats.org/officeDocument/2006/docPropsVTypes"/>
</file>