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pBdr>
          <w:bottom w:val="single" w:color="07B4D9" w:sz="8"/>
        </w:pBdr>
        <w:spacing w:after="120" w:before="0"/>
        <w:jc w:val="center"/>
      </w:pPr>
      <w:r>
        <w:rPr>
          <w:rFonts w:ascii="Arial" w:cs="Arial" w:eastAsia="Arial" w:hAnsi="Arial"/>
          <w:b/>
          <w:bCs/>
          <w:color w:val="152168"/>
          <w:sz w:val="40"/>
          <w:szCs w:val="40"/>
        </w:rPr>
        <w:t xml:space="preserve">[ORGANIZATION NAME]</w:t>
      </w:r>
    </w:p>
    <w:p>
      <w:pPr>
        <w:spacing w:after="240" w:before="0"/>
      </w:pPr>
      <w:r>
        <w:t xml:space="preserve"/>
      </w:r>
    </w:p>
    <w:p>
      <w:pPr>
        <w:spacing w:after="60" w:before="60"/>
        <w:jc w:val="center"/>
      </w:pPr>
      <w:r>
        <w:rPr>
          <w:rFonts w:ascii="Arial" w:cs="Arial" w:eastAsia="Arial" w:hAnsi="Arial"/>
          <w:b/>
          <w:bCs/>
          <w:color w:val="152168"/>
          <w:sz w:val="44"/>
          <w:szCs w:val="44"/>
        </w:rPr>
        <w:t xml:space="preserve">ARTIFICIAL INTELLIGENCE</w:t>
      </w:r>
    </w:p>
    <w:p>
      <w:pPr>
        <w:spacing w:after="60" w:before="60"/>
        <w:jc w:val="center"/>
      </w:pPr>
      <w:r>
        <w:rPr>
          <w:rFonts w:ascii="Arial" w:cs="Arial" w:eastAsia="Arial" w:hAnsi="Arial"/>
          <w:b/>
          <w:bCs/>
          <w:color w:val="152168"/>
          <w:sz w:val="44"/>
          <w:szCs w:val="44"/>
        </w:rPr>
        <w:t xml:space="preserve">USE CASE INVENTORY POLICY</w:t>
      </w:r>
    </w:p>
    <w:p>
      <w:pPr>
        <w:spacing w:after="240" w:before="0"/>
      </w:pPr>
      <w:r>
        <w:t xml:space="preserve"/>
      </w:r>
    </w:p>
    <w:p>
      <w:pPr>
        <w:spacing w:after="60" w:before="60"/>
        <w:jc w:val="center"/>
      </w:pPr>
      <w:r>
        <w:rPr>
          <w:rFonts w:ascii="Arial" w:cs="Arial" w:eastAsia="Arial" w:hAnsi="Arial"/>
          <w:b/>
          <w:bCs/>
          <w:color w:val="07B4D9"/>
          <w:sz w:val="26"/>
          <w:szCs w:val="26"/>
        </w:rPr>
        <w:t xml:space="preserve">COMPREHENSIVE EDITION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 CONTROL</w:t>
            </w:r>
          </w:p>
        </w:tc>
      </w:tr>
      <w:tr>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Document ID</w:t>
            </w:r>
          </w:p>
        </w:tc>
        <w:tc>
          <w:tcPr>
            <w:tcW w:type="dxa" w:w="70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ENT-Draft-POL-AI Use Case Inventory-Comprehensive-6.26</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Document Title</w:t>
            </w:r>
          </w:p>
        </w:tc>
        <w:tc>
          <w:tcPr>
            <w:tcW w:type="dxa" w:w="70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Artificial Intelligence Use Case Inventory Policy</w:t>
            </w:r>
          </w:p>
        </w:tc>
      </w:tr>
      <w:tr>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Version</w:t>
            </w:r>
          </w:p>
        </w:tc>
        <w:tc>
          <w:tcPr>
            <w:tcW w:type="dxa" w:w="70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1.0 — DRAFT</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Date</w:t>
            </w:r>
          </w:p>
        </w:tc>
        <w:tc>
          <w:tcPr>
            <w:tcW w:type="dxa" w:w="70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June 2026</w:t>
            </w:r>
          </w:p>
        </w:tc>
      </w:tr>
      <w:tr>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Classification</w:t>
            </w:r>
          </w:p>
        </w:tc>
        <w:tc>
          <w:tcPr>
            <w:tcW w:type="dxa" w:w="70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INTERNAL — CONFIDENTIAL</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Frameworks</w:t>
            </w:r>
          </w:p>
        </w:tc>
        <w:tc>
          <w:tcPr>
            <w:tcW w:type="dxa" w:w="70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NIST AI RMF 1.0 (MAP) | ISO/IEC 42001:2023 Clause 8.4</w:t>
            </w:r>
          </w:p>
        </w:tc>
      </w:tr>
      <w:tr>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Policy Owner</w:t>
            </w:r>
          </w:p>
        </w:tc>
        <w:tc>
          <w:tcPr>
            <w:tcW w:type="dxa" w:w="70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CISO / vCISO</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Approved By</w:t>
            </w:r>
          </w:p>
        </w:tc>
        <w:tc>
          <w:tcPr>
            <w:tcW w:type="dxa" w:w="70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AI Governance Committee</w:t>
            </w:r>
          </w:p>
        </w:tc>
      </w:tr>
      <w:tr>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Review Cycle</w:t>
            </w:r>
          </w:p>
        </w:tc>
        <w:tc>
          <w:tcPr>
            <w:tcW w:type="dxa" w:w="70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Annual</w:t>
            </w:r>
          </w:p>
        </w:tc>
      </w:tr>
    </w:tbl>
    <w:p>
      <w:pPr>
        <w:spacing w:after="240" w:before="0"/>
      </w:pPr>
      <w:r>
        <w:t xml:space="preserve"/>
      </w:r>
    </w:p>
    <w:p>
      <w:pPr>
        <w:spacing w:after="60" w:before="60"/>
        <w:jc w:val="center"/>
      </w:pPr>
      <w:r>
        <w:rPr>
          <w:rFonts w:ascii="Arial" w:cs="Arial" w:eastAsia="Arial" w:hAnsi="Arial"/>
          <w:i/>
          <w:iCs/>
          <w:color w:val="5A6A8A"/>
          <w:sz w:val="18"/>
          <w:szCs w:val="18"/>
        </w:rPr>
        <w:t xml:space="preserve">NIST AI RMF 1.0 (MAP) | ISO/IEC 42001:2023 Clause 8.4</w:t>
      </w:r>
    </w:p>
    <w:p>
      <w:r>
        <w:br w:type="page"/>
      </w:r>
    </w:p>
    <w:p>
      <w:pPr>
        <w:pStyle w:val="Heading1"/>
        <w:spacing w:after="120" w:before="320"/>
      </w:pPr>
      <w:r>
        <w:rPr>
          <w:rFonts w:ascii="Arial" w:cs="Arial" w:eastAsia="Arial" w:hAnsi="Arial"/>
          <w:b/>
          <w:bCs/>
          <w:color w:val="152168"/>
          <w:sz w:val="28"/>
          <w:szCs w:val="28"/>
        </w:rPr>
        <w:t xml:space="preserve">TABLE OF CONTENTS</w:t>
      </w:r>
    </w:p>
    <w:p>
      <w:pPr>
        <w:tabs>
          <w:tab w:val="right" w:pos="9360"/>
        </w:tabs>
        <w:spacing w:after="40" w:before="40"/>
      </w:pPr>
      <w:r>
        <w:rPr>
          <w:rFonts w:ascii="Arial" w:cs="Arial" w:eastAsia="Arial" w:hAnsi="Arial"/>
          <w:color w:val="1A2340"/>
          <w:sz w:val="20"/>
          <w:szCs w:val="20"/>
        </w:rPr>
        <w:t xml:space="preserve">1.  Purpose</w:t>
      </w:r>
      <w:r>
        <w:rPr>
          <w:rFonts w:ascii="Arial" w:cs="Arial" w:eastAsia="Arial" w:hAnsi="Arial"/>
          <w:color w:val="5A6A8A"/>
          <w:sz w:val="20"/>
          <w:szCs w:val="20"/>
        </w:rPr>
        <w:t xml:space="preserve">	3</w:t>
      </w:r>
    </w:p>
    <w:p>
      <w:pPr>
        <w:tabs>
          <w:tab w:val="right" w:pos="9360"/>
        </w:tabs>
        <w:spacing w:after="40" w:before="40"/>
      </w:pPr>
      <w:r>
        <w:rPr>
          <w:rFonts w:ascii="Arial" w:cs="Arial" w:eastAsia="Arial" w:hAnsi="Arial"/>
          <w:color w:val="1A2340"/>
          <w:sz w:val="20"/>
          <w:szCs w:val="20"/>
        </w:rPr>
        <w:t xml:space="preserve">2.  Scope</w:t>
      </w:r>
      <w:r>
        <w:rPr>
          <w:rFonts w:ascii="Arial" w:cs="Arial" w:eastAsia="Arial" w:hAnsi="Arial"/>
          <w:color w:val="5A6A8A"/>
          <w:sz w:val="20"/>
          <w:szCs w:val="20"/>
        </w:rPr>
        <w:t xml:space="preserve">	3</w:t>
      </w:r>
    </w:p>
    <w:p>
      <w:pPr>
        <w:tabs>
          <w:tab w:val="right" w:pos="9360"/>
        </w:tabs>
        <w:spacing w:after="40" w:before="40"/>
      </w:pPr>
      <w:r>
        <w:rPr>
          <w:rFonts w:ascii="Arial" w:cs="Arial" w:eastAsia="Arial" w:hAnsi="Arial"/>
          <w:color w:val="1A2340"/>
          <w:sz w:val="20"/>
          <w:szCs w:val="20"/>
        </w:rPr>
        <w:t xml:space="preserve">3.  Policy Statement</w:t>
      </w:r>
      <w:r>
        <w:rPr>
          <w:rFonts w:ascii="Arial" w:cs="Arial" w:eastAsia="Arial" w:hAnsi="Arial"/>
          <w:color w:val="5A6A8A"/>
          <w:sz w:val="20"/>
          <w:szCs w:val="20"/>
        </w:rPr>
        <w:t xml:space="preserve">	3</w:t>
      </w:r>
    </w:p>
    <w:p>
      <w:pPr>
        <w:tabs>
          <w:tab w:val="right" w:pos="9360"/>
        </w:tabs>
        <w:spacing w:after="40" w:before="40"/>
      </w:pPr>
      <w:r>
        <w:rPr>
          <w:rFonts w:ascii="Arial" w:cs="Arial" w:eastAsia="Arial" w:hAnsi="Arial"/>
          <w:color w:val="1A2340"/>
          <w:sz w:val="20"/>
          <w:szCs w:val="20"/>
        </w:rPr>
        <w:t xml:space="preserve">4.  Definitions</w:t>
      </w:r>
      <w:r>
        <w:rPr>
          <w:rFonts w:ascii="Arial" w:cs="Arial" w:eastAsia="Arial" w:hAnsi="Arial"/>
          <w:color w:val="5A6A8A"/>
          <w:sz w:val="20"/>
          <w:szCs w:val="20"/>
        </w:rPr>
        <w:t xml:space="preserve">	4</w:t>
      </w:r>
    </w:p>
    <w:p>
      <w:pPr>
        <w:tabs>
          <w:tab w:val="right" w:pos="9360"/>
        </w:tabs>
        <w:spacing w:after="40" w:before="40"/>
      </w:pPr>
      <w:r>
        <w:rPr>
          <w:rFonts w:ascii="Arial" w:cs="Arial" w:eastAsia="Arial" w:hAnsi="Arial"/>
          <w:color w:val="1A2340"/>
          <w:sz w:val="20"/>
          <w:szCs w:val="20"/>
        </w:rPr>
        <w:t xml:space="preserve">5.  Roles and Responsibilities</w:t>
      </w:r>
      <w:r>
        <w:rPr>
          <w:rFonts w:ascii="Arial" w:cs="Arial" w:eastAsia="Arial" w:hAnsi="Arial"/>
          <w:color w:val="5A6A8A"/>
          <w:sz w:val="20"/>
          <w:szCs w:val="20"/>
        </w:rPr>
        <w:t xml:space="preserve">	5</w:t>
      </w:r>
    </w:p>
    <w:p>
      <w:pPr>
        <w:tabs>
          <w:tab w:val="right" w:pos="9360"/>
        </w:tabs>
        <w:spacing w:after="40" w:before="40"/>
      </w:pPr>
      <w:r>
        <w:rPr>
          <w:rFonts w:ascii="Arial" w:cs="Arial" w:eastAsia="Arial" w:hAnsi="Arial"/>
          <w:color w:val="1A2340"/>
          <w:sz w:val="20"/>
          <w:szCs w:val="20"/>
        </w:rPr>
        <w:t xml:space="preserve">6.  Policy Requirements</w:t>
      </w:r>
      <w:r>
        <w:rPr>
          <w:rFonts w:ascii="Arial" w:cs="Arial" w:eastAsia="Arial" w:hAnsi="Arial"/>
          <w:color w:val="5A6A8A"/>
          <w:sz w:val="20"/>
          <w:szCs w:val="20"/>
        </w:rPr>
        <w:t xml:space="preserve">	6</w:t>
      </w:r>
    </w:p>
    <w:p>
      <w:pPr>
        <w:tabs>
          <w:tab w:val="right" w:pos="9360"/>
        </w:tabs>
        <w:spacing w:after="40" w:before="40"/>
      </w:pPr>
      <w:r>
        <w:rPr>
          <w:rFonts w:ascii="Arial" w:cs="Arial" w:eastAsia="Arial" w:hAnsi="Arial"/>
          <w:color w:val="1A2340"/>
          <w:sz w:val="20"/>
          <w:szCs w:val="20"/>
        </w:rPr>
        <w:t xml:space="preserve">  6.1  Inventory Scope and Mandatory Coverage</w:t>
      </w:r>
      <w:r>
        <w:rPr>
          <w:rFonts w:ascii="Arial" w:cs="Arial" w:eastAsia="Arial" w:hAnsi="Arial"/>
          <w:color w:val="5A6A8A"/>
          <w:sz w:val="20"/>
          <w:szCs w:val="20"/>
        </w:rPr>
        <w:t xml:space="preserve">	6</w:t>
      </w:r>
    </w:p>
    <w:p>
      <w:pPr>
        <w:tabs>
          <w:tab w:val="right" w:pos="9360"/>
        </w:tabs>
        <w:spacing w:after="40" w:before="40"/>
      </w:pPr>
      <w:r>
        <w:rPr>
          <w:rFonts w:ascii="Arial" w:cs="Arial" w:eastAsia="Arial" w:hAnsi="Arial"/>
          <w:color w:val="1A2340"/>
          <w:sz w:val="20"/>
          <w:szCs w:val="20"/>
        </w:rPr>
        <w:t xml:space="preserve">  6.2  Use Case Registration</w:t>
      </w:r>
      <w:r>
        <w:rPr>
          <w:rFonts w:ascii="Arial" w:cs="Arial" w:eastAsia="Arial" w:hAnsi="Arial"/>
          <w:color w:val="5A6A8A"/>
          <w:sz w:val="20"/>
          <w:szCs w:val="20"/>
        </w:rPr>
        <w:t xml:space="preserve">	6</w:t>
      </w:r>
    </w:p>
    <w:p>
      <w:pPr>
        <w:tabs>
          <w:tab w:val="right" w:pos="9360"/>
        </w:tabs>
        <w:spacing w:after="40" w:before="40"/>
      </w:pPr>
      <w:r>
        <w:rPr>
          <w:rFonts w:ascii="Arial" w:cs="Arial" w:eastAsia="Arial" w:hAnsi="Arial"/>
          <w:color w:val="1A2340"/>
          <w:sz w:val="20"/>
          <w:szCs w:val="20"/>
        </w:rPr>
        <w:t xml:space="preserve">  6.3  Inventory Schema</w:t>
      </w:r>
      <w:r>
        <w:rPr>
          <w:rFonts w:ascii="Arial" w:cs="Arial" w:eastAsia="Arial" w:hAnsi="Arial"/>
          <w:color w:val="5A6A8A"/>
          <w:sz w:val="20"/>
          <w:szCs w:val="20"/>
        </w:rPr>
        <w:t xml:space="preserve">	7</w:t>
      </w:r>
    </w:p>
    <w:p>
      <w:pPr>
        <w:tabs>
          <w:tab w:val="right" w:pos="9360"/>
        </w:tabs>
        <w:spacing w:after="40" w:before="40"/>
      </w:pPr>
      <w:r>
        <w:rPr>
          <w:rFonts w:ascii="Arial" w:cs="Arial" w:eastAsia="Arial" w:hAnsi="Arial"/>
          <w:color w:val="1A2340"/>
          <w:sz w:val="20"/>
          <w:szCs w:val="20"/>
        </w:rPr>
        <w:t xml:space="preserve">  6.4  Impact Classification</w:t>
      </w:r>
      <w:r>
        <w:rPr>
          <w:rFonts w:ascii="Arial" w:cs="Arial" w:eastAsia="Arial" w:hAnsi="Arial"/>
          <w:color w:val="5A6A8A"/>
          <w:sz w:val="20"/>
          <w:szCs w:val="20"/>
        </w:rPr>
        <w:t xml:space="preserve">	8</w:t>
      </w:r>
    </w:p>
    <w:p>
      <w:pPr>
        <w:tabs>
          <w:tab w:val="right" w:pos="9360"/>
        </w:tabs>
        <w:spacing w:after="40" w:before="40"/>
      </w:pPr>
      <w:r>
        <w:rPr>
          <w:rFonts w:ascii="Arial" w:cs="Arial" w:eastAsia="Arial" w:hAnsi="Arial"/>
          <w:color w:val="1A2340"/>
          <w:sz w:val="20"/>
          <w:szCs w:val="20"/>
        </w:rPr>
        <w:t xml:space="preserve">  6.5  Approval Workflow</w:t>
      </w:r>
      <w:r>
        <w:rPr>
          <w:rFonts w:ascii="Arial" w:cs="Arial" w:eastAsia="Arial" w:hAnsi="Arial"/>
          <w:color w:val="5A6A8A"/>
          <w:sz w:val="20"/>
          <w:szCs w:val="20"/>
        </w:rPr>
        <w:t xml:space="preserve">	9</w:t>
      </w:r>
    </w:p>
    <w:p>
      <w:pPr>
        <w:tabs>
          <w:tab w:val="right" w:pos="9360"/>
        </w:tabs>
        <w:spacing w:after="40" w:before="40"/>
      </w:pPr>
      <w:r>
        <w:rPr>
          <w:rFonts w:ascii="Arial" w:cs="Arial" w:eastAsia="Arial" w:hAnsi="Arial"/>
          <w:color w:val="1A2340"/>
          <w:sz w:val="20"/>
          <w:szCs w:val="20"/>
        </w:rPr>
        <w:t xml:space="preserve">  6.6  Lifecycle Management</w:t>
      </w:r>
      <w:r>
        <w:rPr>
          <w:rFonts w:ascii="Arial" w:cs="Arial" w:eastAsia="Arial" w:hAnsi="Arial"/>
          <w:color w:val="5A6A8A"/>
          <w:sz w:val="20"/>
          <w:szCs w:val="20"/>
        </w:rPr>
        <w:t xml:space="preserve">	9</w:t>
      </w:r>
    </w:p>
    <w:p>
      <w:pPr>
        <w:tabs>
          <w:tab w:val="right" w:pos="9360"/>
        </w:tabs>
        <w:spacing w:after="40" w:before="40"/>
      </w:pPr>
      <w:r>
        <w:rPr>
          <w:rFonts w:ascii="Arial" w:cs="Arial" w:eastAsia="Arial" w:hAnsi="Arial"/>
          <w:color w:val="1A2340"/>
          <w:sz w:val="20"/>
          <w:szCs w:val="20"/>
        </w:rPr>
        <w:t xml:space="preserve">  6.7  Review and Audit</w:t>
      </w:r>
      <w:r>
        <w:rPr>
          <w:rFonts w:ascii="Arial" w:cs="Arial" w:eastAsia="Arial" w:hAnsi="Arial"/>
          <w:color w:val="5A6A8A"/>
          <w:sz w:val="20"/>
          <w:szCs w:val="20"/>
        </w:rPr>
        <w:t xml:space="preserve">	10</w:t>
      </w:r>
    </w:p>
    <w:p>
      <w:pPr>
        <w:tabs>
          <w:tab w:val="right" w:pos="9360"/>
        </w:tabs>
        <w:spacing w:after="40" w:before="40"/>
      </w:pPr>
      <w:r>
        <w:rPr>
          <w:rFonts w:ascii="Arial" w:cs="Arial" w:eastAsia="Arial" w:hAnsi="Arial"/>
          <w:color w:val="1A2340"/>
          <w:sz w:val="20"/>
          <w:szCs w:val="20"/>
        </w:rPr>
        <w:t xml:space="preserve">  6.8  Shadow AI Detection</w:t>
      </w:r>
      <w:r>
        <w:rPr>
          <w:rFonts w:ascii="Arial" w:cs="Arial" w:eastAsia="Arial" w:hAnsi="Arial"/>
          <w:color w:val="5A6A8A"/>
          <w:sz w:val="20"/>
          <w:szCs w:val="20"/>
        </w:rPr>
        <w:t xml:space="preserve">	10</w:t>
      </w:r>
    </w:p>
    <w:p>
      <w:pPr>
        <w:tabs>
          <w:tab w:val="right" w:pos="9360"/>
        </w:tabs>
        <w:spacing w:after="40" w:before="40"/>
      </w:pPr>
      <w:r>
        <w:rPr>
          <w:rFonts w:ascii="Arial" w:cs="Arial" w:eastAsia="Arial" w:hAnsi="Arial"/>
          <w:color w:val="1A2340"/>
          <w:sz w:val="20"/>
          <w:szCs w:val="20"/>
        </w:rPr>
        <w:t xml:space="preserve">7.  Compliance and Enforcement</w:t>
      </w:r>
      <w:r>
        <w:rPr>
          <w:rFonts w:ascii="Arial" w:cs="Arial" w:eastAsia="Arial" w:hAnsi="Arial"/>
          <w:color w:val="5A6A8A"/>
          <w:sz w:val="20"/>
          <w:szCs w:val="20"/>
        </w:rPr>
        <w:t xml:space="preserve">	11</w:t>
      </w:r>
    </w:p>
    <w:p>
      <w:pPr>
        <w:tabs>
          <w:tab w:val="right" w:pos="9360"/>
        </w:tabs>
        <w:spacing w:after="40" w:before="40"/>
      </w:pPr>
      <w:r>
        <w:rPr>
          <w:rFonts w:ascii="Arial" w:cs="Arial" w:eastAsia="Arial" w:hAnsi="Arial"/>
          <w:color w:val="1A2340"/>
          <w:sz w:val="20"/>
          <w:szCs w:val="20"/>
        </w:rPr>
        <w:t xml:space="preserve">8.  Related Documents</w:t>
      </w:r>
      <w:r>
        <w:rPr>
          <w:rFonts w:ascii="Arial" w:cs="Arial" w:eastAsia="Arial" w:hAnsi="Arial"/>
          <w:color w:val="5A6A8A"/>
          <w:sz w:val="20"/>
          <w:szCs w:val="20"/>
        </w:rPr>
        <w:t xml:space="preserve">	11</w:t>
      </w:r>
    </w:p>
    <w:p>
      <w:pPr>
        <w:tabs>
          <w:tab w:val="right" w:pos="9360"/>
        </w:tabs>
        <w:spacing w:after="40" w:before="40"/>
      </w:pPr>
      <w:r>
        <w:rPr>
          <w:rFonts w:ascii="Arial" w:cs="Arial" w:eastAsia="Arial" w:hAnsi="Arial"/>
          <w:color w:val="1A2340"/>
          <w:sz w:val="20"/>
          <w:szCs w:val="20"/>
        </w:rPr>
        <w:t xml:space="preserve">9.  Document Control</w:t>
      </w:r>
      <w:r>
        <w:rPr>
          <w:rFonts w:ascii="Arial" w:cs="Arial" w:eastAsia="Arial" w:hAnsi="Arial"/>
          <w:color w:val="5A6A8A"/>
          <w:sz w:val="20"/>
          <w:szCs w:val="20"/>
        </w:rPr>
        <w:t xml:space="preserve">	11</w:t>
      </w:r>
    </w:p>
    <w:p>
      <w:pPr>
        <w:tabs>
          <w:tab w:val="right" w:pos="9360"/>
        </w:tabs>
        <w:spacing w:after="40" w:before="40"/>
      </w:pPr>
      <w:r>
        <w:rPr>
          <w:rFonts w:ascii="Arial" w:cs="Arial" w:eastAsia="Arial" w:hAnsi="Arial"/>
          <w:color w:val="1A2340"/>
          <w:sz w:val="20"/>
          <w:szCs w:val="20"/>
        </w:rPr>
        <w:t xml:space="preserve">Appendix A  Use Case Registration Form</w:t>
      </w:r>
      <w:r>
        <w:rPr>
          <w:rFonts w:ascii="Arial" w:cs="Arial" w:eastAsia="Arial" w:hAnsi="Arial"/>
          <w:color w:val="5A6A8A"/>
          <w:sz w:val="20"/>
          <w:szCs w:val="20"/>
        </w:rPr>
        <w:t xml:space="preserve">	12</w:t>
      </w:r>
    </w:p>
    <w:p>
      <w:pPr>
        <w:tabs>
          <w:tab w:val="right" w:pos="9360"/>
        </w:tabs>
        <w:spacing w:after="40" w:before="40"/>
      </w:pPr>
      <w:r>
        <w:rPr>
          <w:rFonts w:ascii="Arial" w:cs="Arial" w:eastAsia="Arial" w:hAnsi="Arial"/>
          <w:color w:val="1A2340"/>
          <w:sz w:val="20"/>
          <w:szCs w:val="20"/>
        </w:rPr>
        <w:t xml:space="preserve">Appendix B  Use Case ID Naming Convention</w:t>
      </w:r>
      <w:r>
        <w:rPr>
          <w:rFonts w:ascii="Arial" w:cs="Arial" w:eastAsia="Arial" w:hAnsi="Arial"/>
          <w:color w:val="5A6A8A"/>
          <w:sz w:val="20"/>
          <w:szCs w:val="20"/>
        </w:rPr>
        <w:t xml:space="preserve">	13</w:t>
      </w:r>
    </w:p>
    <w:p>
      <w:pPr>
        <w:tabs>
          <w:tab w:val="right" w:pos="9360"/>
        </w:tabs>
        <w:spacing w:after="40" w:before="40"/>
      </w:pPr>
      <w:r>
        <w:rPr>
          <w:rFonts w:ascii="Arial" w:cs="Arial" w:eastAsia="Arial" w:hAnsi="Arial"/>
          <w:color w:val="1A2340"/>
          <w:sz w:val="20"/>
          <w:szCs w:val="20"/>
        </w:rPr>
        <w:t xml:space="preserve">Appendix C  Impact Classification Decision Tree</w:t>
      </w:r>
      <w:r>
        <w:rPr>
          <w:rFonts w:ascii="Arial" w:cs="Arial" w:eastAsia="Arial" w:hAnsi="Arial"/>
          <w:color w:val="5A6A8A"/>
          <w:sz w:val="20"/>
          <w:szCs w:val="20"/>
        </w:rPr>
        <w:t xml:space="preserve">	13</w:t>
      </w:r>
    </w:p>
    <w:p>
      <w:pPr>
        <w:tabs>
          <w:tab w:val="right" w:pos="9360"/>
        </w:tabs>
        <w:spacing w:after="40" w:before="40"/>
      </w:pPr>
      <w:r>
        <w:rPr>
          <w:rFonts w:ascii="Arial" w:cs="Arial" w:eastAsia="Arial" w:hAnsi="Arial"/>
          <w:color w:val="1A2340"/>
          <w:sz w:val="20"/>
          <w:szCs w:val="20"/>
        </w:rPr>
        <w:t xml:space="preserve">Appendix D  Semi-Annual Inventory Review Checklist</w:t>
      </w:r>
      <w:r>
        <w:rPr>
          <w:rFonts w:ascii="Arial" w:cs="Arial" w:eastAsia="Arial" w:hAnsi="Arial"/>
          <w:color w:val="5A6A8A"/>
          <w:sz w:val="20"/>
          <w:szCs w:val="20"/>
        </w:rPr>
        <w:t xml:space="preserve">	14</w:t>
      </w:r>
    </w:p>
    <w:p>
      <w:r>
        <w:br w:type="page"/>
      </w:r>
    </w:p>
    <w:p>
      <w:pPr>
        <w:pStyle w:val="Heading1"/>
        <w:spacing w:after="120" w:before="320"/>
      </w:pPr>
      <w:r>
        <w:rPr>
          <w:rFonts w:ascii="Arial" w:cs="Arial" w:eastAsia="Arial" w:hAnsi="Arial"/>
          <w:b/>
          <w:bCs/>
          <w:color w:val="152168"/>
          <w:sz w:val="28"/>
          <w:szCs w:val="28"/>
        </w:rPr>
        <w:t xml:space="preserve">1. Purpose</w:t>
      </w:r>
    </w:p>
    <w:p>
      <w:pPr>
        <w:spacing w:after="120" w:before="60"/>
      </w:pPr>
      <w:r>
        <w:rPr>
          <w:rFonts w:ascii="Arial" w:cs="Arial" w:eastAsia="Arial" w:hAnsi="Arial"/>
          <w:i/>
          <w:iCs/>
          <w:color w:val="5A6A8A"/>
          <w:sz w:val="18"/>
          <w:szCs w:val="18"/>
        </w:rPr>
        <w:t xml:space="preserve">Framework Reference: NIST AI RMF 1.0 MAP 1.1 | ISO/IEC 42001:2023 Clause 8.4</w:t>
      </w:r>
    </w:p>
    <w:p>
      <w:pPr>
        <w:spacing w:after="80" w:before="80"/>
      </w:pPr>
      <w:r>
        <w:rPr>
          <w:rFonts w:ascii="Arial" w:cs="Arial" w:eastAsia="Arial" w:hAnsi="Arial"/>
          <w:color w:val="1A2340"/>
          <w:sz w:val="20"/>
          <w:szCs w:val="20"/>
        </w:rPr>
        <w:t xml:space="preserve">This policy establishes the requirements for maintaining a complete, current, and auditable inventory of all Tier 1 Artificial Intelligence (AI) tool use cases within [ORGANIZATION NAME]. Tier 1 AI tools are commercially available, enterprise-grade AI platforms consumed by the organization as end users — including but not limited to Microsoft Copilot, ChatGPT Enterprise, Google Gemini for Workspace, and Claude — as distinguished from AI systems built or trained by the organization.</w:t>
      </w:r>
    </w:p>
    <w:p>
      <w:pPr>
        <w:spacing w:after="80" w:before="80"/>
      </w:pPr>
      <w:r>
        <w:rPr>
          <w:rFonts w:ascii="Arial" w:cs="Arial" w:eastAsia="Arial" w:hAnsi="Arial"/>
          <w:color w:val="1A2340"/>
          <w:sz w:val="20"/>
          <w:szCs w:val="20"/>
        </w:rPr>
        <w:t xml:space="preserve">The AI Use Case Inventory serves three primary objectives:</w:t>
      </w:r>
    </w:p>
    <w:p>
      <w:pPr>
        <w:pStyle w:val="ListParagraph"/>
        <w:numPr>
          <w:ilvl w:val="0"/>
          <w:numId w:val="2"/>
        </w:numPr>
        <w:spacing w:after="60" w:before="60"/>
      </w:pPr>
      <w:r>
        <w:rPr>
          <w:rFonts w:ascii="Arial" w:cs="Arial" w:eastAsia="Arial" w:hAnsi="Arial"/>
          <w:color w:val="1A2340"/>
          <w:sz w:val="20"/>
          <w:szCs w:val="20"/>
        </w:rPr>
        <w:t xml:space="preserve">Enable risk oversight by providing a consolidated view of how AI tools are being used, by whom, and at what data sensitivity level.</w:t>
      </w:r>
    </w:p>
    <w:p>
      <w:pPr>
        <w:pStyle w:val="ListParagraph"/>
        <w:numPr>
          <w:ilvl w:val="0"/>
          <w:numId w:val="2"/>
        </w:numPr>
        <w:spacing w:after="60" w:before="60"/>
      </w:pPr>
      <w:r>
        <w:rPr>
          <w:rFonts w:ascii="Arial" w:cs="Arial" w:eastAsia="Arial" w:hAnsi="Arial"/>
          <w:color w:val="1A2340"/>
          <w:sz w:val="20"/>
          <w:szCs w:val="20"/>
        </w:rPr>
        <w:t xml:space="preserve">Support audit readiness by maintaining verifiable records that demonstrate governance accountability to regulators, clients, cyber insurers, and certification bodies.</w:t>
      </w:r>
    </w:p>
    <w:p>
      <w:pPr>
        <w:pStyle w:val="ListParagraph"/>
        <w:numPr>
          <w:ilvl w:val="0"/>
          <w:numId w:val="2"/>
        </w:numPr>
        <w:spacing w:after="60" w:before="60"/>
      </w:pPr>
      <w:r>
        <w:rPr>
          <w:rFonts w:ascii="Arial" w:cs="Arial" w:eastAsia="Arial" w:hAnsi="Arial"/>
          <w:color w:val="1A2340"/>
          <w:sz w:val="20"/>
          <w:szCs w:val="20"/>
        </w:rPr>
        <w:t xml:space="preserve">Facilitate governance by connecting each use case to the appropriate approval, classification, and review process under the AI Governance Policy.</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2. Scope</w:t>
      </w:r>
    </w:p>
    <w:p>
      <w:pPr>
        <w:spacing w:after="120" w:before="60"/>
      </w:pPr>
      <w:r>
        <w:rPr>
          <w:rFonts w:ascii="Arial" w:cs="Arial" w:eastAsia="Arial" w:hAnsi="Arial"/>
          <w:i/>
          <w:iCs/>
          <w:color w:val="5A6A8A"/>
          <w:sz w:val="18"/>
          <w:szCs w:val="18"/>
        </w:rPr>
        <w:t xml:space="preserve">Framework Reference: NIST AI RMF 1.0 MAP 1.5 | ISO/IEC 42001:2023 Clause 4.3</w:t>
      </w:r>
    </w:p>
    <w:p>
      <w:pPr>
        <w:spacing w:after="80" w:before="80"/>
      </w:pPr>
      <w:r>
        <w:rPr>
          <w:rFonts w:ascii="Arial" w:cs="Arial" w:eastAsia="Arial" w:hAnsi="Arial"/>
          <w:color w:val="1A2340"/>
          <w:sz w:val="20"/>
          <w:szCs w:val="20"/>
        </w:rPr>
        <w:t xml:space="preserve">This policy applies to:</w:t>
      </w:r>
    </w:p>
    <w:p>
      <w:pPr>
        <w:pStyle w:val="ListParagraph"/>
        <w:numPr>
          <w:ilvl w:val="0"/>
          <w:numId w:val="2"/>
        </w:numPr>
        <w:spacing w:after="60" w:before="60"/>
      </w:pPr>
      <w:r>
        <w:rPr>
          <w:rFonts w:ascii="Arial" w:cs="Arial" w:eastAsia="Arial" w:hAnsi="Arial"/>
          <w:color w:val="1A2340"/>
          <w:sz w:val="20"/>
          <w:szCs w:val="20"/>
        </w:rPr>
        <w:t xml:space="preserve">All employees, contractors, and third parties who use Tier 1 AI tools on behalf of [ORGANIZATION NAME].</w:t>
      </w:r>
    </w:p>
    <w:p>
      <w:pPr>
        <w:pStyle w:val="ListParagraph"/>
        <w:numPr>
          <w:ilvl w:val="0"/>
          <w:numId w:val="2"/>
        </w:numPr>
        <w:spacing w:after="60" w:before="60"/>
      </w:pPr>
      <w:r>
        <w:rPr>
          <w:rFonts w:ascii="Arial" w:cs="Arial" w:eastAsia="Arial" w:hAnsi="Arial"/>
          <w:color w:val="1A2340"/>
          <w:sz w:val="20"/>
          <w:szCs w:val="20"/>
        </w:rPr>
        <w:t xml:space="preserve">All departments and business units, including corporate, operational, technology, finance, legal, and client-facing functions.</w:t>
      </w:r>
    </w:p>
    <w:p>
      <w:pPr>
        <w:pStyle w:val="ListParagraph"/>
        <w:numPr>
          <w:ilvl w:val="0"/>
          <w:numId w:val="2"/>
        </w:numPr>
        <w:spacing w:after="60" w:before="60"/>
      </w:pPr>
      <w:r>
        <w:rPr>
          <w:rFonts w:ascii="Arial" w:cs="Arial" w:eastAsia="Arial" w:hAnsi="Arial"/>
          <w:color w:val="1A2340"/>
          <w:sz w:val="20"/>
          <w:szCs w:val="20"/>
        </w:rPr>
        <w:t xml:space="preserve">All approved Tier 1 AI tools, whether procured at the organizational, departmental, or individual subscription level.</w:t>
      </w:r>
    </w:p>
    <w:p>
      <w:pPr>
        <w:pStyle w:val="ListParagraph"/>
        <w:numPr>
          <w:ilvl w:val="0"/>
          <w:numId w:val="2"/>
        </w:numPr>
        <w:spacing w:after="60" w:before="60"/>
      </w:pPr>
      <w:r>
        <w:rPr>
          <w:rFonts w:ascii="Arial" w:cs="Arial" w:eastAsia="Arial" w:hAnsi="Arial"/>
          <w:color w:val="1A2340"/>
          <w:sz w:val="20"/>
          <w:szCs w:val="20"/>
        </w:rPr>
        <w:t xml:space="preserve">All use cases, whether ad-hoc or systematic, provided the use involves organizational data, client data, or work product produced on behalf of [ORGANIZATION NAME].</w:t>
      </w:r>
    </w:p>
    <w:p>
      <w:pPr>
        <w:spacing w:after="80" w:before="0"/>
      </w:pPr>
      <w:r>
        <w:t xml:space="preserve"/>
      </w:r>
    </w:p>
    <w:p>
      <w:pPr>
        <w:spacing w:after="80" w:before="80"/>
      </w:pPr>
      <w:r>
        <w:rPr>
          <w:rFonts w:ascii="Arial" w:cs="Arial" w:eastAsia="Arial" w:hAnsi="Arial"/>
          <w:color w:val="1A2340"/>
          <w:sz w:val="20"/>
          <w:szCs w:val="20"/>
        </w:rPr>
        <w:t xml:space="preserve">This policy does not apply to:</w:t>
      </w:r>
    </w:p>
    <w:p>
      <w:pPr>
        <w:pStyle w:val="ListParagraph"/>
        <w:numPr>
          <w:ilvl w:val="0"/>
          <w:numId w:val="2"/>
        </w:numPr>
        <w:spacing w:after="60" w:before="60"/>
      </w:pPr>
      <w:r>
        <w:rPr>
          <w:rFonts w:ascii="Arial" w:cs="Arial" w:eastAsia="Arial" w:hAnsi="Arial"/>
          <w:color w:val="1A2340"/>
          <w:sz w:val="20"/>
          <w:szCs w:val="20"/>
        </w:rPr>
        <w:t xml:space="preserve">AI systems designed, built, trained, or fine-tuned by [ORGANIZATION NAME] (governed separately).</w:t>
      </w:r>
    </w:p>
    <w:p>
      <w:pPr>
        <w:pStyle w:val="ListParagraph"/>
        <w:numPr>
          <w:ilvl w:val="0"/>
          <w:numId w:val="2"/>
        </w:numPr>
        <w:spacing w:after="60" w:before="60"/>
      </w:pPr>
      <w:r>
        <w:rPr>
          <w:rFonts w:ascii="Arial" w:cs="Arial" w:eastAsia="Arial" w:hAnsi="Arial"/>
          <w:color w:val="1A2340"/>
          <w:sz w:val="20"/>
          <w:szCs w:val="20"/>
        </w:rPr>
        <w:t xml:space="preserve">Personal use of AI tools on personal devices with no organizational data.</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3. Policy Statement</w:t>
      </w:r>
    </w:p>
    <w:p>
      <w:pPr>
        <w:spacing w:after="120" w:before="60"/>
      </w:pPr>
      <w:r>
        <w:rPr>
          <w:rFonts w:ascii="Arial" w:cs="Arial" w:eastAsia="Arial" w:hAnsi="Arial"/>
          <w:i/>
          <w:iCs/>
          <w:color w:val="5A6A8A"/>
          <w:sz w:val="18"/>
          <w:szCs w:val="18"/>
        </w:rPr>
        <w:t xml:space="preserve">Framework Reference: NIST AI RMF 1.0 GOVERN 1.2 | ISO/IEC 42001:2023 Clause 5.2</w:t>
      </w:r>
    </w:p>
    <w:p>
      <w:pPr>
        <w:spacing w:after="80" w:before="80"/>
      </w:pPr>
      <w:r>
        <w:rPr>
          <w:rFonts w:ascii="Arial" w:cs="Arial" w:eastAsia="Arial" w:hAnsi="Arial"/>
          <w:color w:val="1A2340"/>
          <w:sz w:val="20"/>
          <w:szCs w:val="20"/>
        </w:rPr>
        <w:t xml:space="preserve">[ORGANIZATION NAME] is committed to responsible AI use. The following principles govern the AI Use Case Inventory:</w:t>
      </w:r>
    </w:p>
    <w:p>
      <w:pPr>
        <w:spacing w:after="60" w:before="0"/>
      </w:pPr>
      <w:r>
        <w:t xml:space="preserve"/>
      </w:r>
    </w:p>
    <w:p>
      <w:pPr>
        <w:pStyle w:val="ListParagraph"/>
        <w:numPr>
          <w:ilvl w:val="0"/>
          <w:numId w:val="2"/>
        </w:numPr>
        <w:spacing w:after="60" w:before="60"/>
      </w:pPr>
      <w:r>
        <w:rPr>
          <w:rFonts w:ascii="Arial" w:cs="Arial" w:eastAsia="Arial" w:hAnsi="Arial"/>
          <w:b/>
          <w:bCs/>
          <w:color w:val="1A2340"/>
          <w:sz w:val="20"/>
          <w:szCs w:val="20"/>
        </w:rPr>
        <w:t xml:space="preserve">Complete Visibility. </w:t>
      </w:r>
      <w:r>
        <w:rPr>
          <w:rFonts w:ascii="Arial" w:cs="Arial" w:eastAsia="Arial" w:hAnsi="Arial"/>
          <w:color w:val="1A2340"/>
          <w:sz w:val="20"/>
          <w:szCs w:val="20"/>
        </w:rPr>
        <w:t xml:space="preserve">All AI tool use cases that are systematic in nature must be registered in the inventory before deployment or within five (5) business days of identification. No use case may operate without a registered record.</w:t>
      </w:r>
    </w:p>
    <w:p>
      <w:pPr>
        <w:pStyle w:val="ListParagraph"/>
        <w:numPr>
          <w:ilvl w:val="0"/>
          <w:numId w:val="2"/>
        </w:numPr>
        <w:spacing w:after="60" w:before="60"/>
      </w:pPr>
      <w:r>
        <w:rPr>
          <w:rFonts w:ascii="Arial" w:cs="Arial" w:eastAsia="Arial" w:hAnsi="Arial"/>
          <w:b/>
          <w:bCs/>
          <w:color w:val="1A2340"/>
          <w:sz w:val="20"/>
          <w:szCs w:val="20"/>
        </w:rPr>
        <w:t xml:space="preserve">Accountability. </w:t>
      </w:r>
      <w:r>
        <w:rPr>
          <w:rFonts w:ascii="Arial" w:cs="Arial" w:eastAsia="Arial" w:hAnsi="Arial"/>
          <w:color w:val="1A2340"/>
          <w:sz w:val="20"/>
          <w:szCs w:val="20"/>
        </w:rPr>
        <w:t xml:space="preserve">Every use case must have a designated AI System Owner who is accountable for accuracy, currency, and compliance of the use case record.</w:t>
      </w:r>
    </w:p>
    <w:p>
      <w:pPr>
        <w:pStyle w:val="ListParagraph"/>
        <w:numPr>
          <w:ilvl w:val="0"/>
          <w:numId w:val="2"/>
        </w:numPr>
        <w:spacing w:after="60" w:before="60"/>
      </w:pPr>
      <w:r>
        <w:rPr>
          <w:rFonts w:ascii="Arial" w:cs="Arial" w:eastAsia="Arial" w:hAnsi="Arial"/>
          <w:b/>
          <w:bCs/>
          <w:color w:val="1A2340"/>
          <w:sz w:val="20"/>
          <w:szCs w:val="20"/>
        </w:rPr>
        <w:t xml:space="preserve">Classification Accuracy. </w:t>
      </w:r>
      <w:r>
        <w:rPr>
          <w:rFonts w:ascii="Arial" w:cs="Arial" w:eastAsia="Arial" w:hAnsi="Arial"/>
          <w:color w:val="1A2340"/>
          <w:sz w:val="20"/>
          <w:szCs w:val="20"/>
        </w:rPr>
        <w:t xml:space="preserve">Every use case must be assigned the correct Impact Classification (Standard, Elevated, or High-Impact) as defined in the AI Governance Policy. Misclassification is a compliance violation.</w:t>
      </w:r>
    </w:p>
    <w:p>
      <w:pPr>
        <w:pStyle w:val="ListParagraph"/>
        <w:numPr>
          <w:ilvl w:val="0"/>
          <w:numId w:val="2"/>
        </w:numPr>
        <w:spacing w:after="60" w:before="60"/>
      </w:pPr>
      <w:r>
        <w:rPr>
          <w:rFonts w:ascii="Arial" w:cs="Arial" w:eastAsia="Arial" w:hAnsi="Arial"/>
          <w:b/>
          <w:bCs/>
          <w:color w:val="1A2340"/>
          <w:sz w:val="20"/>
          <w:szCs w:val="20"/>
        </w:rPr>
        <w:t xml:space="preserve">Lifecycle Management. </w:t>
      </w:r>
      <w:r>
        <w:rPr>
          <w:rFonts w:ascii="Arial" w:cs="Arial" w:eastAsia="Arial" w:hAnsi="Arial"/>
          <w:color w:val="1A2340"/>
          <w:sz w:val="20"/>
          <w:szCs w:val="20"/>
        </w:rPr>
        <w:t xml:space="preserve">Use case records must be updated to reflect material changes in scope, tooling, data inputs, or user population. Retired use cases must be formally closed and retained per data retention requirements.</w:t>
      </w:r>
    </w:p>
    <w:p>
      <w:pPr>
        <w:pStyle w:val="ListParagraph"/>
        <w:numPr>
          <w:ilvl w:val="0"/>
          <w:numId w:val="2"/>
        </w:numPr>
        <w:spacing w:after="60" w:before="60"/>
      </w:pPr>
      <w:r>
        <w:rPr>
          <w:rFonts w:ascii="Arial" w:cs="Arial" w:eastAsia="Arial" w:hAnsi="Arial"/>
          <w:b/>
          <w:bCs/>
          <w:color w:val="1A2340"/>
          <w:sz w:val="20"/>
          <w:szCs w:val="20"/>
        </w:rPr>
        <w:t xml:space="preserve">Audit Readiness. </w:t>
      </w:r>
      <w:r>
        <w:rPr>
          <w:rFonts w:ascii="Arial" w:cs="Arial" w:eastAsia="Arial" w:hAnsi="Arial"/>
          <w:color w:val="1A2340"/>
          <w:sz w:val="20"/>
          <w:szCs w:val="20"/>
        </w:rPr>
        <w:t xml:space="preserve">The inventory must be maintained in a condition that enables complete audit within 48 hours of request. Semi-annual reviews are mandatory.</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4. Definitions</w:t>
      </w:r>
    </w:p>
    <w:p>
      <w:pPr>
        <w:spacing w:after="120" w:before="60"/>
      </w:pPr>
      <w:r>
        <w:rPr>
          <w:rFonts w:ascii="Arial" w:cs="Arial" w:eastAsia="Arial" w:hAnsi="Arial"/>
          <w:i/>
          <w:iCs/>
          <w:color w:val="5A6A8A"/>
          <w:sz w:val="18"/>
          <w:szCs w:val="18"/>
        </w:rPr>
        <w:t xml:space="preserve">Framework Reference: ISO/IEC 42001:2023 Clause 3 | NIST AI RMF 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Key Terms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Use Case</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 defined, recurring application of a Tier 1 AI tool to accomplish a specific organizational task or workflow. A use case is distinct from a one-time experimental prompt.</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AI Use Case Inventory</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The authoritative registry of all active and retired AI tool use cases within [ORGANIZATION NAME], maintained by the CISO/vCISO.</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Impact Classification</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 three-tier risk rating assigned to each use case — Standard, Elevated, or High-Impact — based on data sensitivity, decision consequence, and regulatory exposure, as defined in the AI Governance Policy.</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Use Case Lifecycle</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The sequence of states a use case may occupy: Draft, Active, Paused, or Retired.</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Active Use Case</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 use case that has completed the registration and approval process and is currently in operational use.</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Retired Use Case</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 use case that has been formally decommissioned. The record is closed and retained for audit purposes but is no longer operational.</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Ad-Hoc Use</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An isolated, non-recurring use of a Tier 1 AI tool by an individual that does not constitute a systematic workflow. Ad-hoc use does not require registration but is subject to acceptable use policies.</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Systematic Use</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Any recurring or structured use of a Tier 1 AI tool to perform a defined task — regardless of frequency — that involves organizational or client data. Systematic use triggers the registration requirement.</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Material Change</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Any change to an active use case that meaningfully alters its risk profile, including: addition of a new AI tool, change of data input classification, significant expansion of the user population, change in output type, or change in oversight mechanism.</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Use Case Owner</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The individual, typically a department head or designated functional lead, who is accountable for the ongoing operation and compliance of a registered use case.</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Review Cycle</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The scheduled interval at which use cases are reviewed for accuracy, continued relevance, and correct classification. The default review cycle is semi-annual.</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Shadow AI</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The use of AI tools or capabilities that have not been approved, registered, or disclosed to IT or the CISO/vCISO. Shadow AI represents a compliance and data security risk.</w:t>
            </w:r>
          </w:p>
        </w:tc>
      </w:tr>
    </w:tbl>
    <w:p>
      <w:pPr>
        <w:spacing w:after="80" w:before="0"/>
      </w:pPr>
      <w:r>
        <w:t xml:space="preserve"/>
      </w:r>
    </w:p>
    <w:p>
      <w:pPr>
        <w:pStyle w:val="Heading1"/>
        <w:spacing w:after="120" w:before="320"/>
      </w:pPr>
      <w:r>
        <w:rPr>
          <w:rFonts w:ascii="Arial" w:cs="Arial" w:eastAsia="Arial" w:hAnsi="Arial"/>
          <w:b/>
          <w:bCs/>
          <w:color w:val="152168"/>
          <w:sz w:val="28"/>
          <w:szCs w:val="28"/>
        </w:rPr>
        <w:t xml:space="preserve">5. Roles and Responsibilities</w:t>
      </w:r>
    </w:p>
    <w:p>
      <w:pPr>
        <w:spacing w:after="120" w:before="60"/>
      </w:pPr>
      <w:r>
        <w:rPr>
          <w:rFonts w:ascii="Arial" w:cs="Arial" w:eastAsia="Arial" w:hAnsi="Arial"/>
          <w:i/>
          <w:iCs/>
          <w:color w:val="5A6A8A"/>
          <w:sz w:val="18"/>
          <w:szCs w:val="18"/>
        </w:rPr>
        <w:t xml:space="preserve">Framework Reference: NIST AI RMF 1.0 GOVERN 2.2 | ISO/IEC 42001:2023 Clause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0"/>
        <w:gridCol w:w="4580"/>
      </w:tblGrid>
      <w:tr>
        <w:tc>
          <w:tcPr>
            <w:tcW w:type="dxa" w:w="25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2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Accountability</w:t>
            </w:r>
          </w:p>
        </w:tc>
        <w:tc>
          <w:tcPr>
            <w:tcW w:type="dxa" w:w="45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Responsibilities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CISO / vCISO</w:t>
            </w:r>
          </w:p>
        </w:tc>
        <w:tc>
          <w:tcPr>
            <w:tcW w:type="dxa" w:w="22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Inventory Owner</w:t>
            </w:r>
          </w:p>
        </w:tc>
        <w:tc>
          <w:tcPr>
            <w:tcW w:type="dxa" w:w="45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Maintain the AI Use Case Inventory; conduct semi-annual reviews; escalate non-compliant use cases; report to AIGC; approve Standard and Elevated use cases.</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AI System Owners</w:t>
            </w:r>
          </w:p>
        </w:tc>
        <w:tc>
          <w:tcPr>
            <w:tcW w:type="dxa" w:w="22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Use Case Accountability</w:t>
            </w:r>
          </w:p>
        </w:tc>
        <w:tc>
          <w:tcPr>
            <w:tcW w:type="dxa" w:w="45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Submit use case registrations; maintain accuracy of records; notify CISO/vCISO of material changes; participate in review cycles; ensure use case remains within approved scope.</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Department Heads</w:t>
            </w:r>
          </w:p>
        </w:tc>
        <w:tc>
          <w:tcPr>
            <w:tcW w:type="dxa" w:w="22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Coverage Assurance</w:t>
            </w:r>
          </w:p>
        </w:tc>
        <w:tc>
          <w:tcPr>
            <w:tcW w:type="dxa" w:w="45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Ensure all systematic AI use within their department is registered; designate AI System Owners for each use case; escalate shadow AI discoveries.</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AI Governance Committee (AIGC)</w:t>
            </w:r>
          </w:p>
        </w:tc>
        <w:tc>
          <w:tcPr>
            <w:tcW w:type="dxa" w:w="22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High-Impact Approval</w:t>
            </w:r>
          </w:p>
        </w:tc>
        <w:tc>
          <w:tcPr>
            <w:tcW w:type="dxa" w:w="45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Formally review and approve High-Impact use cases; require AI Impact Assessments where applicable; provide governance guidance on novel or boundary use cases.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All Staff</w:t>
            </w:r>
          </w:p>
        </w:tc>
        <w:tc>
          <w:tcPr>
            <w:tcW w:type="dxa" w:w="22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Compliance</w:t>
            </w:r>
          </w:p>
        </w:tc>
        <w:tc>
          <w:tcPr>
            <w:tcW w:type="dxa" w:w="45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Comply with this policy; register systematic AI use within the required timeframe; report shadow AI discoveries; complete required AI governance training.</w:t>
            </w:r>
          </w:p>
        </w:tc>
      </w:tr>
    </w:tbl>
    <w:p>
      <w:pPr>
        <w:spacing w:after="80" w:before="0"/>
      </w:pPr>
      <w:r>
        <w:t xml:space="preserve"/>
      </w:r>
    </w:p>
    <w:p>
      <w:pPr>
        <w:pStyle w:val="Heading1"/>
        <w:spacing w:after="120" w:before="320"/>
      </w:pPr>
      <w:r>
        <w:rPr>
          <w:rFonts w:ascii="Arial" w:cs="Arial" w:eastAsia="Arial" w:hAnsi="Arial"/>
          <w:b/>
          <w:bCs/>
          <w:color w:val="152168"/>
          <w:sz w:val="28"/>
          <w:szCs w:val="28"/>
        </w:rPr>
        <w:t xml:space="preserve">6. Policy Requirements</w:t>
      </w:r>
    </w:p>
    <w:p>
      <w:pPr>
        <w:spacing w:after="120" w:before="60"/>
      </w:pPr>
      <w:r>
        <w:rPr>
          <w:rFonts w:ascii="Arial" w:cs="Arial" w:eastAsia="Arial" w:hAnsi="Arial"/>
          <w:i/>
          <w:iCs/>
          <w:color w:val="5A6A8A"/>
          <w:sz w:val="18"/>
          <w:szCs w:val="18"/>
        </w:rPr>
        <w:t xml:space="preserve">Framework Reference: NIST AI RMF 1.0 MAP 1.1, MAP 1.6 | ISO/IEC 42001:2023 Clause 8.4</w:t>
      </w:r>
    </w:p>
    <w:p>
      <w:pPr>
        <w:pStyle w:val="Heading2"/>
        <w:spacing w:after="80" w:before="240"/>
      </w:pPr>
      <w:r>
        <w:rPr>
          <w:rFonts w:ascii="Arial" w:cs="Arial" w:eastAsia="Arial" w:hAnsi="Arial"/>
          <w:b/>
          <w:bCs/>
          <w:color w:val="152168"/>
          <w:sz w:val="22"/>
          <w:szCs w:val="22"/>
        </w:rPr>
        <w:t xml:space="preserve">6.1  Inventory Scope and Mandatory Coverage</w:t>
      </w:r>
    </w:p>
    <w:p>
      <w:pPr>
        <w:spacing w:after="80" w:before="80"/>
      </w:pPr>
      <w:r>
        <w:rPr>
          <w:rFonts w:ascii="Arial" w:cs="Arial" w:eastAsia="Arial" w:hAnsi="Arial"/>
          <w:color w:val="1A2340"/>
          <w:sz w:val="20"/>
          <w:szCs w:val="20"/>
        </w:rPr>
        <w:t xml:space="preserve">The AI Use Case Inventory must cover all systematic use of Tier 1 AI tools for organizational purposes. Registration is mandatory when any of the following conditions are met:</w:t>
      </w:r>
    </w:p>
    <w:p>
      <w:pPr>
        <w:pStyle w:val="ListParagraph"/>
        <w:numPr>
          <w:ilvl w:val="0"/>
          <w:numId w:val="2"/>
        </w:numPr>
        <w:spacing w:after="60" w:before="60"/>
      </w:pPr>
      <w:r>
        <w:rPr>
          <w:rFonts w:ascii="Arial" w:cs="Arial" w:eastAsia="Arial" w:hAnsi="Arial"/>
          <w:color w:val="1A2340"/>
          <w:sz w:val="20"/>
          <w:szCs w:val="20"/>
        </w:rPr>
        <w:t xml:space="preserve">A Tier 1 AI tool is used to process, generate, summarize, or analyze content that contains organizational data, client data, or personally identifiable information (PII).</w:t>
      </w:r>
    </w:p>
    <w:p>
      <w:pPr>
        <w:pStyle w:val="ListParagraph"/>
        <w:numPr>
          <w:ilvl w:val="0"/>
          <w:numId w:val="2"/>
        </w:numPr>
        <w:spacing w:after="60" w:before="60"/>
      </w:pPr>
      <w:r>
        <w:rPr>
          <w:rFonts w:ascii="Arial" w:cs="Arial" w:eastAsia="Arial" w:hAnsi="Arial"/>
          <w:color w:val="1A2340"/>
          <w:sz w:val="20"/>
          <w:szCs w:val="20"/>
        </w:rPr>
        <w:t xml:space="preserve">A Tier 1 AI tool is used more than three (3) times for the same type of task within a 30-day period by the same user or team (threshold for systematic use).</w:t>
      </w:r>
    </w:p>
    <w:p>
      <w:pPr>
        <w:pStyle w:val="ListParagraph"/>
        <w:numPr>
          <w:ilvl w:val="0"/>
          <w:numId w:val="2"/>
        </w:numPr>
        <w:spacing w:after="60" w:before="60"/>
      </w:pPr>
      <w:r>
        <w:rPr>
          <w:rFonts w:ascii="Arial" w:cs="Arial" w:eastAsia="Arial" w:hAnsi="Arial"/>
          <w:color w:val="1A2340"/>
          <w:sz w:val="20"/>
          <w:szCs w:val="20"/>
        </w:rPr>
        <w:t xml:space="preserve">A Tier 1 AI tool is integrated into a business process, workflow, or automated pipeline.</w:t>
      </w:r>
    </w:p>
    <w:p>
      <w:pPr>
        <w:pStyle w:val="ListParagraph"/>
        <w:numPr>
          <w:ilvl w:val="0"/>
          <w:numId w:val="2"/>
        </w:numPr>
        <w:spacing w:after="60" w:before="60"/>
      </w:pPr>
      <w:r>
        <w:rPr>
          <w:rFonts w:ascii="Arial" w:cs="Arial" w:eastAsia="Arial" w:hAnsi="Arial"/>
          <w:color w:val="1A2340"/>
          <w:sz w:val="20"/>
          <w:szCs w:val="20"/>
        </w:rPr>
        <w:t xml:space="preserve">Output from a Tier 1 AI tool is shared externally with clients, partners, or regulators.</w:t>
      </w:r>
    </w:p>
    <w:p>
      <w:pPr>
        <w:pStyle w:val="ListParagraph"/>
        <w:numPr>
          <w:ilvl w:val="0"/>
          <w:numId w:val="2"/>
        </w:numPr>
        <w:spacing w:after="60" w:before="60"/>
      </w:pPr>
      <w:r>
        <w:rPr>
          <w:rFonts w:ascii="Arial" w:cs="Arial" w:eastAsia="Arial" w:hAnsi="Arial"/>
          <w:color w:val="1A2340"/>
          <w:sz w:val="20"/>
          <w:szCs w:val="20"/>
        </w:rPr>
        <w:t xml:space="preserve">A team or department adopts a Tier 1 AI tool at the subscription or licensing level.</w:t>
      </w:r>
    </w:p>
    <w:p>
      <w:pPr>
        <w:spacing w:after="60" w:before="0"/>
      </w:pPr>
      <w:r>
        <w:t xml:space="preserve"/>
      </w:r>
    </w:p>
    <w:p>
      <w:pPr>
        <w:spacing w:after="80" w:before="80"/>
      </w:pPr>
      <w:r>
        <w:rPr>
          <w:rFonts w:ascii="Arial" w:cs="Arial" w:eastAsia="Arial" w:hAnsi="Arial"/>
          <w:color w:val="1A2340"/>
          <w:sz w:val="20"/>
          <w:szCs w:val="20"/>
        </w:rPr>
        <w:t xml:space="preserve">Ad-hoc use — defined as isolated, non-recurring prompts by individuals with no organizational data — does not require registration but remains subject to the Acceptable Use Policy.</w:t>
      </w:r>
    </w:p>
    <w:p>
      <w:pPr>
        <w:pStyle w:val="Heading2"/>
        <w:spacing w:after="80" w:before="240"/>
      </w:pPr>
      <w:r>
        <w:rPr>
          <w:rFonts w:ascii="Arial" w:cs="Arial" w:eastAsia="Arial" w:hAnsi="Arial"/>
          <w:b/>
          <w:bCs/>
          <w:color w:val="152168"/>
          <w:sz w:val="22"/>
          <w:szCs w:val="22"/>
        </w:rPr>
        <w:t xml:space="preserve">6.2  Use Case Registration</w:t>
      </w:r>
    </w:p>
    <w:p>
      <w:pPr>
        <w:spacing w:after="80" w:before="80"/>
      </w:pPr>
      <w:r>
        <w:rPr>
          <w:rFonts w:ascii="Arial" w:cs="Arial" w:eastAsia="Arial" w:hAnsi="Arial"/>
          <w:color w:val="1A2340"/>
          <w:sz w:val="20"/>
          <w:szCs w:val="20"/>
        </w:rPr>
        <w:t xml:space="preserve">All new use cases must be registered prior to operational deployment. Where a use case is discovered retrospectively (e.g., through shadow AI detection), registration must be completed within five (5) business days of discovery.</w:t>
      </w:r>
    </w:p>
    <w:p>
      <w:pPr>
        <w:spacing w:after="60" w:before="0"/>
      </w:pPr>
      <w:r>
        <w:t xml:space="preserve"/>
      </w:r>
    </w:p>
    <w:p>
      <w:pPr>
        <w:spacing w:after="80" w:before="80"/>
      </w:pPr>
      <w:r>
        <w:rPr>
          <w:rFonts w:ascii="Arial" w:cs="Arial" w:eastAsia="Arial" w:hAnsi="Arial"/>
          <w:color w:val="1A2340"/>
          <w:sz w:val="20"/>
          <w:szCs w:val="20"/>
        </w:rPr>
        <w:t xml:space="preserve">Registration is triggered by:</w:t>
      </w:r>
    </w:p>
    <w:p>
      <w:pPr>
        <w:pStyle w:val="ListParagraph"/>
        <w:numPr>
          <w:ilvl w:val="0"/>
          <w:numId w:val="3"/>
        </w:numPr>
        <w:spacing w:after="60" w:before="60"/>
      </w:pPr>
      <w:r>
        <w:rPr>
          <w:rFonts w:ascii="Arial" w:cs="Arial" w:eastAsia="Arial" w:hAnsi="Arial"/>
          <w:color w:val="1A2340"/>
          <w:sz w:val="20"/>
          <w:szCs w:val="20"/>
        </w:rPr>
        <w:t xml:space="preserve">Adoption of a new Tier 1 AI tool by any department or individual for organizational purposes.</w:t>
      </w:r>
    </w:p>
    <w:p>
      <w:pPr>
        <w:pStyle w:val="ListParagraph"/>
        <w:numPr>
          <w:ilvl w:val="0"/>
          <w:numId w:val="3"/>
        </w:numPr>
        <w:spacing w:after="60" w:before="60"/>
      </w:pPr>
      <w:r>
        <w:rPr>
          <w:rFonts w:ascii="Arial" w:cs="Arial" w:eastAsia="Arial" w:hAnsi="Arial"/>
          <w:color w:val="1A2340"/>
          <w:sz w:val="20"/>
          <w:szCs w:val="20"/>
        </w:rPr>
        <w:t xml:space="preserve">Creation of a new systematic use case using an existing approved tool.</w:t>
      </w:r>
    </w:p>
    <w:p>
      <w:pPr>
        <w:pStyle w:val="ListParagraph"/>
        <w:numPr>
          <w:ilvl w:val="0"/>
          <w:numId w:val="3"/>
        </w:numPr>
        <w:spacing w:after="60" w:before="60"/>
      </w:pPr>
      <w:r>
        <w:rPr>
          <w:rFonts w:ascii="Arial" w:cs="Arial" w:eastAsia="Arial" w:hAnsi="Arial"/>
          <w:color w:val="1A2340"/>
          <w:sz w:val="20"/>
          <w:szCs w:val="20"/>
        </w:rPr>
        <w:t xml:space="preserve">Onboarding of a new department or team onto an existing AI tool.</w:t>
      </w:r>
    </w:p>
    <w:p>
      <w:pPr>
        <w:pStyle w:val="ListParagraph"/>
        <w:numPr>
          <w:ilvl w:val="0"/>
          <w:numId w:val="3"/>
        </w:numPr>
        <w:spacing w:after="60" w:before="60"/>
      </w:pPr>
      <w:r>
        <w:rPr>
          <w:rFonts w:ascii="Arial" w:cs="Arial" w:eastAsia="Arial" w:hAnsi="Arial"/>
          <w:color w:val="1A2340"/>
          <w:sz w:val="20"/>
          <w:szCs w:val="20"/>
        </w:rPr>
        <w:t xml:space="preserve">A material change to an existing use case (see Section 4: Definitions).</w:t>
      </w:r>
    </w:p>
    <w:p>
      <w:pPr>
        <w:pStyle w:val="ListParagraph"/>
        <w:numPr>
          <w:ilvl w:val="0"/>
          <w:numId w:val="3"/>
        </w:numPr>
        <w:spacing w:after="60" w:before="60"/>
      </w:pPr>
      <w:r>
        <w:rPr>
          <w:rFonts w:ascii="Arial" w:cs="Arial" w:eastAsia="Arial" w:hAnsi="Arial"/>
          <w:color w:val="1A2340"/>
          <w:sz w:val="20"/>
          <w:szCs w:val="20"/>
        </w:rPr>
        <w:t xml:space="preserve">Discovery of shadow AI use that meets the systematic use threshold.</w:t>
      </w:r>
    </w:p>
    <w:p>
      <w:pPr>
        <w:spacing w:after="60" w:before="0"/>
      </w:pPr>
      <w:r>
        <w:t xml:space="preserve"/>
      </w:r>
    </w:p>
    <w:p>
      <w:pPr>
        <w:spacing w:after="80" w:before="80"/>
      </w:pPr>
      <w:r>
        <w:rPr>
          <w:rFonts w:ascii="Arial" w:cs="Arial" w:eastAsia="Arial" w:hAnsi="Arial"/>
          <w:color w:val="1A2340"/>
          <w:sz w:val="20"/>
          <w:szCs w:val="20"/>
        </w:rPr>
        <w:t xml:space="preserve">Registration must be completed using the Use Case Registration Form (Appendix A). The AI System Owner submits the form to the CISO/vCISO, who creates the inventory record and initiates the approval workflow within two (2) business days of receipt.</w:t>
      </w:r>
    </w:p>
    <w:p>
      <w:pPr>
        <w:pStyle w:val="Heading2"/>
        <w:spacing w:after="80" w:before="240"/>
      </w:pPr>
      <w:r>
        <w:rPr>
          <w:rFonts w:ascii="Arial" w:cs="Arial" w:eastAsia="Arial" w:hAnsi="Arial"/>
          <w:b/>
          <w:bCs/>
          <w:color w:val="152168"/>
          <w:sz w:val="22"/>
          <w:szCs w:val="22"/>
        </w:rPr>
        <w:t xml:space="preserve">6.3  Inventory Schema — Mandatory Fields</w:t>
      </w:r>
    </w:p>
    <w:p>
      <w:pPr>
        <w:spacing w:after="80" w:before="80"/>
      </w:pPr>
      <w:r>
        <w:rPr>
          <w:rFonts w:ascii="Arial" w:cs="Arial" w:eastAsia="Arial" w:hAnsi="Arial"/>
          <w:color w:val="1A2340"/>
          <w:sz w:val="20"/>
          <w:szCs w:val="20"/>
        </w:rPr>
        <w:t xml:space="preserve">Each use case record in the inventory must include the following fields: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300"/>
        <w:gridCol w:w="2760"/>
        <w:gridCol w:w="4100"/>
      </w:tblGrid>
      <w:tr>
        <w:tc>
          <w:tcPr>
            <w:tcW w:type="dxa" w:w="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27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Format / Values</w:t>
            </w:r>
          </w:p>
        </w:tc>
        <w:tc>
          <w:tcPr>
            <w:tcW w:type="dxa" w:w="41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Use Case ID</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[DEPT]-[TOOL]-[SEQ]</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Unique identifier per Appendix B naming convention.</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2</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Use Case Name</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Plain text</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Short, descriptive name for the use case.</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3</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Department</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Text</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Business unit or team responsible for the use case.</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4</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AI Tool</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Text</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Name of the Tier 1 AI tool (e.g., Microsoft Copilot).</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5</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Tool Vendor</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Text</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Vendor or provider of the AI tool.</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6</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Account / Subscription Tier</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Text</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License tier (e.g., Copilot M365 E3, ChatGPT Team).</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7</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Use Case Description</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Plain text</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Clear description of what the AI tool is being used to do.</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8</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Use Case Type</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Generative / Analytical / Automation</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Primary type of AI capability being used.</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9</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Data Input Classification</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Public / Internal / Confidential / Restricted</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Highest sensitivity class of data input into the AI tool.</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10</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Output Type</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Text / Code / Decision Support / External Communication / Other</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Nature of the AI-generated output.</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11</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Impact Classification</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Standard / Elevated / High-Impact</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Risk tier per AI Governance Policy Section 6.</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12</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Intended Users</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Text</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Roles or individuals authorized to use this use case.</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13</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User Count</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Number</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Approximate number of active users.</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14</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Oversight Mechanism</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Text</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How outputs are reviewed before use (human review, spot-check, automated validation, etc.).</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15</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AI System Owner</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Name + Title</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Accountable owner for this use case record.</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16</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Approval Status</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Pending / Approved / Rejected / Suspended</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Current approval state of the use case.</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17</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Date Registered</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YYYY-MM-DD</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Date the use case was first entered into the inventory.</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18</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Date Last Reviewed</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YYYY-MM-DD</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Date of most recent semi-annual or trigger-based review.</w:t>
            </w:r>
          </w:p>
        </w:tc>
      </w:tr>
      <w:tr>
        <w:tc>
          <w:tcPr>
            <w:tcW w:type="dxa" w:w="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19</w:t>
            </w:r>
          </w:p>
        </w:tc>
        <w:tc>
          <w:tcPr>
            <w:tcW w:type="dxa" w:w="23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Status</w:t>
            </w:r>
          </w:p>
        </w:tc>
        <w:tc>
          <w:tcPr>
            <w:tcW w:type="dxa" w:w="2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5A6A8A"/>
                <w:sz w:val="18"/>
                <w:szCs w:val="18"/>
              </w:rPr>
              <w:t xml:space="preserve">Active / Paused / Retired</w:t>
            </w:r>
          </w:p>
        </w:tc>
        <w:tc>
          <w:tcPr>
            <w:tcW w:type="dxa" w:w="41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Current operational status of the use case.</w:t>
            </w:r>
          </w:p>
        </w:tc>
      </w:tr>
      <w:tr>
        <w:tc>
          <w:tcPr>
            <w:tcW w:type="dxa" w:w="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20</w:t>
            </w:r>
          </w:p>
        </w:tc>
        <w:tc>
          <w:tcPr>
            <w:tcW w:type="dxa" w:w="23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Risk Register Reference</w:t>
            </w:r>
          </w:p>
        </w:tc>
        <w:tc>
          <w:tcPr>
            <w:tcW w:type="dxa" w:w="2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5A6A8A"/>
                <w:sz w:val="18"/>
                <w:szCs w:val="18"/>
              </w:rPr>
              <w:t xml:space="preserve">Reference ID or N/A</w:t>
            </w:r>
          </w:p>
        </w:tc>
        <w:tc>
          <w:tcPr>
            <w:tcW w:type="dxa" w:w="41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Cross-reference to risk register entry, if applicable.</w:t>
            </w:r>
          </w:p>
        </w:tc>
      </w:tr>
    </w:tbl>
    <w:p>
      <w:pPr>
        <w:spacing w:after="80" w:before="0"/>
      </w:pPr>
      <w:r>
        <w:t xml:space="preserve"/>
      </w:r>
    </w:p>
    <w:p>
      <w:pPr>
        <w:pStyle w:val="Heading2"/>
        <w:spacing w:after="80" w:before="240"/>
      </w:pPr>
      <w:r>
        <w:rPr>
          <w:rFonts w:ascii="Arial" w:cs="Arial" w:eastAsia="Arial" w:hAnsi="Arial"/>
          <w:b/>
          <w:bCs/>
          <w:color w:val="152168"/>
          <w:sz w:val="22"/>
          <w:szCs w:val="22"/>
        </w:rPr>
        <w:t xml:space="preserve">6.4  Impact Classification</w:t>
      </w:r>
    </w:p>
    <w:p>
      <w:pPr>
        <w:spacing w:after="80" w:before="80"/>
      </w:pPr>
      <w:r>
        <w:rPr>
          <w:rFonts w:ascii="Arial" w:cs="Arial" w:eastAsia="Arial" w:hAnsi="Arial"/>
          <w:color w:val="1A2340"/>
          <w:sz w:val="20"/>
          <w:szCs w:val="20"/>
        </w:rPr>
        <w:t xml:space="preserve">Impact Classification determines the level of governance scrutiny applied to a use case. Classification is defined in the AI Governance Policy and summarized below. The AI System Owner proposes the classification; the CISO/vCISO confirms or adjusts it as part of the approval workflow.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2480"/>
        <w:gridCol w:w="1800"/>
      </w:tblGrid>
      <w:tr>
        <w:tc>
          <w:tcPr>
            <w:tcW w:type="dxa" w:w="1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32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Triggers</w:t>
            </w:r>
          </w:p>
        </w:tc>
        <w:tc>
          <w:tcPr>
            <w:tcW w:type="dxa" w:w="24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Examples</w:t>
            </w:r>
          </w:p>
        </w:tc>
        <w:tc>
          <w:tcPr>
            <w:tcW w:type="dxa" w:w="1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Approval</w:t>
            </w:r>
          </w:p>
        </w:tc>
      </w:tr>
      <w:tr>
        <w:tc>
          <w:tcPr>
            <w:tcW w:type="dxa" w:w="180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bCs/>
                <w:color w:val="1A2340"/>
                <w:sz w:val="18"/>
                <w:szCs w:val="18"/>
              </w:rPr>
              <w:t xml:space="preserve">Standard</w:t>
            </w:r>
          </w:p>
        </w:tc>
        <w:tc>
          <w:tcPr>
            <w:tcW w:type="dxa" w:w="328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val="false"/>
                <w:bCs w:val="false"/>
                <w:color w:val="1A2340"/>
                <w:sz w:val="18"/>
                <w:szCs w:val="18"/>
              </w:rPr>
              <w:t xml:space="preserve">Internal data only; outputs reviewed before use; no external sharing; no regulatory exposure; low-volume.</w:t>
            </w:r>
          </w:p>
        </w:tc>
        <w:tc>
          <w:tcPr>
            <w:tcW w:type="dxa" w:w="248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val="false"/>
                <w:bCs w:val="false"/>
                <w:color w:val="1A2340"/>
                <w:sz w:val="18"/>
                <w:szCs w:val="18"/>
              </w:rPr>
              <w:t xml:space="preserve">Drafting internal memos; summarizing meeting notes; writing code for internal tools.</w:t>
            </w:r>
          </w:p>
        </w:tc>
        <w:tc>
          <w:tcPr>
            <w:tcW w:type="dxa" w:w="180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val="false"/>
                <w:bCs w:val="false"/>
                <w:color w:val="1A2340"/>
                <w:sz w:val="18"/>
                <w:szCs w:val="18"/>
              </w:rPr>
              <w:t xml:space="preserve">CISO/vCISO notification only.</w:t>
            </w:r>
          </w:p>
        </w:tc>
      </w:tr>
      <w:tr>
        <w:tc>
          <w:tcPr>
            <w:tcW w:type="dxa" w:w="180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bCs/>
                <w:color w:val="1A2340"/>
                <w:sz w:val="18"/>
                <w:szCs w:val="18"/>
              </w:rPr>
              <w:t xml:space="preserve">Elevated</w:t>
            </w:r>
          </w:p>
        </w:tc>
        <w:tc>
          <w:tcPr>
            <w:tcW w:type="dxa" w:w="328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18"/>
                <w:szCs w:val="18"/>
              </w:rPr>
              <w:t xml:space="preserve">Confidential data; client-related outputs; automated workflows without full human review; moderate regulatory exposure.</w:t>
            </w:r>
          </w:p>
        </w:tc>
        <w:tc>
          <w:tcPr>
            <w:tcW w:type="dxa" w:w="248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18"/>
                <w:szCs w:val="18"/>
              </w:rPr>
              <w:t xml:space="preserve">Generating client-facing reports; processing HR data; automating vendor communications.</w:t>
            </w:r>
          </w:p>
        </w:tc>
        <w:tc>
          <w:tcPr>
            <w:tcW w:type="dxa" w:w="180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18"/>
                <w:szCs w:val="18"/>
              </w:rPr>
              <w:t xml:space="preserve">CISO/vCISO formal approval.</w:t>
            </w:r>
          </w:p>
        </w:tc>
      </w:tr>
      <w:tr>
        <w:tc>
          <w:tcPr>
            <w:tcW w:type="dxa" w:w="180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bCs/>
                <w:color w:val="1A2340"/>
                <w:sz w:val="18"/>
                <w:szCs w:val="18"/>
              </w:rPr>
              <w:t xml:space="preserve">High-Impact</w:t>
            </w:r>
          </w:p>
        </w:tc>
        <w:tc>
          <w:tcPr>
            <w:tcW w:type="dxa" w:w="328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18"/>
                <w:szCs w:val="18"/>
              </w:rPr>
              <w:t xml:space="preserve">Restricted data (PII, financial, health); AI-assisted decisions affecting individuals; external-facing autonomous outputs; significant regulatory exposure.</w:t>
            </w:r>
          </w:p>
        </w:tc>
        <w:tc>
          <w:tcPr>
            <w:tcW w:type="dxa" w:w="248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18"/>
                <w:szCs w:val="18"/>
              </w:rPr>
              <w:t xml:space="preserve">AI-assisted hiring decisions; processing payment data; generating legal or compliance advice; client-facing autonomous responses.</w:t>
            </w:r>
          </w:p>
        </w:tc>
        <w:tc>
          <w:tcPr>
            <w:tcW w:type="dxa" w:w="180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18"/>
                <w:szCs w:val="18"/>
              </w:rPr>
              <w:t xml:space="preserve">AIGC formal approval + AI Impact Assessment.</w:t>
            </w:r>
          </w:p>
        </w:tc>
      </w:tr>
    </w:tbl>
    <w:p>
      <w:pPr>
        <w:spacing w:after="80" w:before="0"/>
      </w:pPr>
      <w:r>
        <w:t xml:space="preserve"/>
      </w:r>
    </w:p>
    <w:p>
      <w:pPr>
        <w:pStyle w:val="Heading2"/>
        <w:spacing w:after="80" w:before="240"/>
      </w:pPr>
      <w:r>
        <w:rPr>
          <w:rFonts w:ascii="Arial" w:cs="Arial" w:eastAsia="Arial" w:hAnsi="Arial"/>
          <w:b/>
          <w:bCs/>
          <w:color w:val="152168"/>
          <w:sz w:val="22"/>
          <w:szCs w:val="22"/>
        </w:rPr>
        <w:t xml:space="preserve">6.5  Approval Workflow</w:t>
      </w:r>
    </w:p>
    <w:p>
      <w:pPr>
        <w:spacing w:after="80" w:before="80"/>
      </w:pPr>
      <w:r>
        <w:rPr>
          <w:rFonts w:ascii="Arial" w:cs="Arial" w:eastAsia="Arial" w:hAnsi="Arial"/>
          <w:color w:val="1A2340"/>
          <w:sz w:val="20"/>
          <w:szCs w:val="20"/>
        </w:rPr>
        <w:t xml:space="preserve">Upon receipt of a completed Use Case Registration Form, the following approval workflow applies based on the Impact Classification:</w:t>
      </w:r>
    </w:p>
    <w:p>
      <w:pPr>
        <w:spacing w:after="60" w:before="0"/>
      </w:pPr>
      <w:r>
        <w:t xml:space="preserve"/>
      </w:r>
    </w:p>
    <w:p>
      <w:pPr>
        <w:pStyle w:val="ListParagraph"/>
        <w:numPr>
          <w:ilvl w:val="0"/>
          <w:numId w:val="2"/>
        </w:numPr>
        <w:spacing w:after="60" w:before="60"/>
      </w:pPr>
      <w:r>
        <w:rPr>
          <w:rFonts w:ascii="Arial" w:cs="Arial" w:eastAsia="Arial" w:hAnsi="Arial"/>
          <w:b/>
          <w:bCs/>
          <w:color w:val="1A2340"/>
          <w:sz w:val="20"/>
          <w:szCs w:val="20"/>
        </w:rPr>
        <w:t xml:space="preserve">Standard: </w:t>
      </w:r>
      <w:r>
        <w:rPr>
          <w:rFonts w:ascii="Arial" w:cs="Arial" w:eastAsia="Arial" w:hAnsi="Arial"/>
          <w:color w:val="1A2340"/>
          <w:sz w:val="20"/>
          <w:szCs w:val="20"/>
        </w:rPr>
        <w:t xml:space="preserve">CISO/vCISO acknowledges receipt and creates the inventory record within two (2) business days. No formal approval meeting required. The use case is marked Active upon record creation.</w:t>
      </w:r>
    </w:p>
    <w:p>
      <w:pPr>
        <w:pStyle w:val="ListParagraph"/>
        <w:numPr>
          <w:ilvl w:val="0"/>
          <w:numId w:val="2"/>
        </w:numPr>
        <w:spacing w:after="60" w:before="60"/>
      </w:pPr>
      <w:r>
        <w:rPr>
          <w:rFonts w:ascii="Arial" w:cs="Arial" w:eastAsia="Arial" w:hAnsi="Arial"/>
          <w:b/>
          <w:bCs/>
          <w:color w:val="1A2340"/>
          <w:sz w:val="20"/>
          <w:szCs w:val="20"/>
        </w:rPr>
        <w:t xml:space="preserve">Elevated: </w:t>
      </w:r>
      <w:r>
        <w:rPr>
          <w:rFonts w:ascii="Arial" w:cs="Arial" w:eastAsia="Arial" w:hAnsi="Arial"/>
          <w:color w:val="1A2340"/>
          <w:sz w:val="20"/>
          <w:szCs w:val="20"/>
        </w:rPr>
        <w:t xml:space="preserve">CISO/vCISO reviews the registration, confirms classification, and provides written approval within five (5) business days. The use case may not operate until approved.</w:t>
      </w:r>
    </w:p>
    <w:p>
      <w:pPr>
        <w:pStyle w:val="ListParagraph"/>
        <w:numPr>
          <w:ilvl w:val="0"/>
          <w:numId w:val="2"/>
        </w:numPr>
        <w:spacing w:after="60" w:before="60"/>
      </w:pPr>
      <w:r>
        <w:rPr>
          <w:rFonts w:ascii="Arial" w:cs="Arial" w:eastAsia="Arial" w:hAnsi="Arial"/>
          <w:b/>
          <w:bCs/>
          <w:color w:val="1A2340"/>
          <w:sz w:val="20"/>
          <w:szCs w:val="20"/>
        </w:rPr>
        <w:t xml:space="preserve">High-Impact: </w:t>
      </w:r>
      <w:r>
        <w:rPr>
          <w:rFonts w:ascii="Arial" w:cs="Arial" w:eastAsia="Arial" w:hAnsi="Arial"/>
          <w:color w:val="1A2340"/>
          <w:sz w:val="20"/>
          <w:szCs w:val="20"/>
        </w:rPr>
        <w:t xml:space="preserve">CISO/vCISO initiates an AIGC review. An AI Impact Assessment must be completed and submitted with the registration. The AIGC reviews within ten (10) business days. The use case may not operate until AIGC formal approval is received.</w:t>
      </w:r>
    </w:p>
    <w:p>
      <w:pPr>
        <w:spacing w:after="60" w:before="0"/>
      </w:pPr>
      <w:r>
        <w:t xml:space="preserve"/>
      </w:r>
    </w:p>
    <w:p>
      <w:pPr>
        <w:spacing w:after="80" w:before="80"/>
      </w:pPr>
      <w:r>
        <w:rPr>
          <w:rFonts w:ascii="Arial" w:cs="Arial" w:eastAsia="Arial" w:hAnsi="Arial"/>
          <w:color w:val="1A2340"/>
          <w:sz w:val="20"/>
          <w:szCs w:val="20"/>
        </w:rPr>
        <w:t xml:space="preserve">All approvals are recorded in the inventory record and retained for audit purposes.</w:t>
      </w:r>
    </w:p>
    <w:p>
      <w:pPr>
        <w:pStyle w:val="Heading2"/>
        <w:spacing w:after="80" w:before="240"/>
      </w:pPr>
      <w:r>
        <w:rPr>
          <w:rFonts w:ascii="Arial" w:cs="Arial" w:eastAsia="Arial" w:hAnsi="Arial"/>
          <w:b/>
          <w:bCs/>
          <w:color w:val="152168"/>
          <w:sz w:val="22"/>
          <w:szCs w:val="22"/>
        </w:rPr>
        <w:t xml:space="preserve">6.6  Lifecycle Management</w:t>
      </w:r>
    </w:p>
    <w:p>
      <w:pPr>
        <w:spacing w:after="80" w:before="80"/>
      </w:pPr>
      <w:r>
        <w:rPr>
          <w:rFonts w:ascii="Arial" w:cs="Arial" w:eastAsia="Arial" w:hAnsi="Arial"/>
          <w:color w:val="1A2340"/>
          <w:sz w:val="20"/>
          <w:szCs w:val="20"/>
        </w:rPr>
        <w:t xml:space="preserve">Use case records follow a defined lifecycle:</w:t>
      </w:r>
    </w:p>
    <w:p>
      <w:pPr>
        <w:spacing w:after="60" w:before="0"/>
      </w:pPr>
      <w:r>
        <w:t xml:space="preserve"/>
      </w:r>
    </w:p>
    <w:p>
      <w:pPr>
        <w:pStyle w:val="ListParagraph"/>
        <w:numPr>
          <w:ilvl w:val="0"/>
          <w:numId w:val="2"/>
        </w:numPr>
        <w:spacing w:after="60" w:before="60"/>
      </w:pPr>
      <w:r>
        <w:rPr>
          <w:rFonts w:ascii="Arial" w:cs="Arial" w:eastAsia="Arial" w:hAnsi="Arial"/>
          <w:b/>
          <w:bCs/>
          <w:color w:val="1A2340"/>
          <w:sz w:val="20"/>
          <w:szCs w:val="20"/>
        </w:rPr>
        <w:t xml:space="preserve">Active: </w:t>
      </w:r>
      <w:r>
        <w:rPr>
          <w:rFonts w:ascii="Arial" w:cs="Arial" w:eastAsia="Arial" w:hAnsi="Arial"/>
          <w:color w:val="1A2340"/>
          <w:sz w:val="20"/>
          <w:szCs w:val="20"/>
        </w:rPr>
        <w:t xml:space="preserve">The use case has been approved and is in operational use.</w:t>
      </w:r>
    </w:p>
    <w:p>
      <w:pPr>
        <w:pStyle w:val="ListParagraph"/>
        <w:numPr>
          <w:ilvl w:val="0"/>
          <w:numId w:val="2"/>
        </w:numPr>
        <w:spacing w:after="60" w:before="60"/>
      </w:pPr>
      <w:r>
        <w:rPr>
          <w:rFonts w:ascii="Arial" w:cs="Arial" w:eastAsia="Arial" w:hAnsi="Arial"/>
          <w:b/>
          <w:bCs/>
          <w:color w:val="1A2340"/>
          <w:sz w:val="20"/>
          <w:szCs w:val="20"/>
        </w:rPr>
        <w:t xml:space="preserve">Paused: </w:t>
      </w:r>
      <w:r>
        <w:rPr>
          <w:rFonts w:ascii="Arial" w:cs="Arial" w:eastAsia="Arial" w:hAnsi="Arial"/>
          <w:color w:val="1A2340"/>
          <w:sz w:val="20"/>
          <w:szCs w:val="20"/>
        </w:rPr>
        <w:t xml:space="preserve">The use case has been temporarily suspended (e.g., tool contract expiry, security review). The record remains in the inventory.</w:t>
      </w:r>
    </w:p>
    <w:p>
      <w:pPr>
        <w:pStyle w:val="ListParagraph"/>
        <w:numPr>
          <w:ilvl w:val="0"/>
          <w:numId w:val="2"/>
        </w:numPr>
        <w:spacing w:after="60" w:before="60"/>
      </w:pPr>
      <w:r>
        <w:rPr>
          <w:rFonts w:ascii="Arial" w:cs="Arial" w:eastAsia="Arial" w:hAnsi="Arial"/>
          <w:b/>
          <w:bCs/>
          <w:color w:val="1A2340"/>
          <w:sz w:val="20"/>
          <w:szCs w:val="20"/>
        </w:rPr>
        <w:t xml:space="preserve">Retired: </w:t>
      </w:r>
      <w:r>
        <w:rPr>
          <w:rFonts w:ascii="Arial" w:cs="Arial" w:eastAsia="Arial" w:hAnsi="Arial"/>
          <w:color w:val="1A2340"/>
          <w:sz w:val="20"/>
          <w:szCs w:val="20"/>
        </w:rPr>
        <w:t xml:space="preserve">The use case has been permanently decommissioned.</w:t>
      </w:r>
    </w:p>
    <w:p>
      <w:pPr>
        <w:spacing w:after="60" w:before="0"/>
      </w:pPr>
      <w:r>
        <w:t xml:space="preserve"/>
      </w:r>
    </w:p>
    <w:p>
      <w:pPr>
        <w:spacing w:after="80" w:before="80"/>
      </w:pPr>
      <w:r>
        <w:rPr>
          <w:rFonts w:ascii="Arial" w:cs="Arial" w:eastAsia="Arial" w:hAnsi="Arial"/>
          <w:b/>
          <w:bCs/>
          <w:color w:val="1A2340"/>
          <w:sz w:val="20"/>
          <w:szCs w:val="20"/>
        </w:rPr>
        <w:t xml:space="preserve">Material Change Process: </w:t>
      </w:r>
      <w:r>
        <w:rPr>
          <w:rFonts w:ascii="Arial" w:cs="Arial" w:eastAsia="Arial" w:hAnsi="Arial"/>
          <w:color w:val="1A2340"/>
          <w:sz w:val="20"/>
          <w:szCs w:val="20"/>
        </w:rPr>
        <w:t xml:space="preserve">When a material change occurs (see Section 4), the AI System Owner must notify the CISO/vCISO within five (5) business days. The CISO/vCISO will re-review the classification and, if the classification increases, route the use case through the corresponding approval tier.</w:t>
      </w:r>
    </w:p>
    <w:p>
      <w:pPr>
        <w:spacing w:after="60" w:before="0"/>
      </w:pPr>
      <w:r>
        <w:t xml:space="preserve"/>
      </w:r>
    </w:p>
    <w:p>
      <w:pPr>
        <w:spacing w:after="80" w:before="80"/>
      </w:pPr>
      <w:r>
        <w:rPr>
          <w:rFonts w:ascii="Arial" w:cs="Arial" w:eastAsia="Arial" w:hAnsi="Arial"/>
          <w:b/>
          <w:bCs/>
          <w:color w:val="1A2340"/>
          <w:sz w:val="20"/>
          <w:szCs w:val="20"/>
        </w:rPr>
        <w:t xml:space="preserve">Retirement Process: </w:t>
      </w:r>
      <w:r>
        <w:rPr>
          <w:rFonts w:ascii="Arial" w:cs="Arial" w:eastAsia="Arial" w:hAnsi="Arial"/>
          <w:color w:val="1A2340"/>
          <w:sz w:val="20"/>
          <w:szCs w:val="20"/>
        </w:rPr>
        <w:t xml:space="preserve">To retire a use case, the AI System Owner submits a retirement request to the CISO/vCISO. The CISO/vCISO updates the record status to Retired, records the retirement date and rationale, and confirms that data processing under the use case has ceased. Retired records are retained for a minimum of three (3) years from the retirement date.</w:t>
      </w:r>
    </w:p>
    <w:p>
      <w:pPr>
        <w:pStyle w:val="Heading2"/>
        <w:spacing w:after="80" w:before="240"/>
      </w:pPr>
      <w:r>
        <w:rPr>
          <w:rFonts w:ascii="Arial" w:cs="Arial" w:eastAsia="Arial" w:hAnsi="Arial"/>
          <w:b/>
          <w:bCs/>
          <w:color w:val="152168"/>
          <w:sz w:val="22"/>
          <w:szCs w:val="22"/>
        </w:rPr>
        <w:t xml:space="preserve">6.7  Review and Audit</w:t>
      </w:r>
    </w:p>
    <w:p>
      <w:pPr>
        <w:spacing w:after="80" w:before="80"/>
      </w:pPr>
      <w:r>
        <w:rPr>
          <w:rFonts w:ascii="Arial" w:cs="Arial" w:eastAsia="Arial" w:hAnsi="Arial"/>
          <w:color w:val="1A2340"/>
          <w:sz w:val="20"/>
          <w:szCs w:val="20"/>
        </w:rPr>
        <w:t xml:space="preserve">The CISO/vCISO shall conduct a semi-annual (twice yearly) review of the complete AI Use Case Inventory. Each review must confirm:</w:t>
      </w:r>
    </w:p>
    <w:p>
      <w:pPr>
        <w:pStyle w:val="ListParagraph"/>
        <w:numPr>
          <w:ilvl w:val="0"/>
          <w:numId w:val="2"/>
        </w:numPr>
        <w:spacing w:after="60" w:before="60"/>
      </w:pPr>
      <w:r>
        <w:rPr>
          <w:rFonts w:ascii="Arial" w:cs="Arial" w:eastAsia="Arial" w:hAnsi="Arial"/>
          <w:color w:val="1A2340"/>
          <w:sz w:val="20"/>
          <w:szCs w:val="20"/>
        </w:rPr>
        <w:t xml:space="preserve">All records are accurate and reflect current operational reality.</w:t>
      </w:r>
    </w:p>
    <w:p>
      <w:pPr>
        <w:pStyle w:val="ListParagraph"/>
        <w:numPr>
          <w:ilvl w:val="0"/>
          <w:numId w:val="2"/>
        </w:numPr>
        <w:spacing w:after="60" w:before="60"/>
      </w:pPr>
      <w:r>
        <w:rPr>
          <w:rFonts w:ascii="Arial" w:cs="Arial" w:eastAsia="Arial" w:hAnsi="Arial"/>
          <w:color w:val="1A2340"/>
          <w:sz w:val="20"/>
          <w:szCs w:val="20"/>
        </w:rPr>
        <w:t xml:space="preserve">All Impact Classifications remain correct given any changes in tool capability, data inputs, or regulatory landscape.</w:t>
      </w:r>
    </w:p>
    <w:p>
      <w:pPr>
        <w:pStyle w:val="ListParagraph"/>
        <w:numPr>
          <w:ilvl w:val="0"/>
          <w:numId w:val="2"/>
        </w:numPr>
        <w:spacing w:after="60" w:before="60"/>
      </w:pPr>
      <w:r>
        <w:rPr>
          <w:rFonts w:ascii="Arial" w:cs="Arial" w:eastAsia="Arial" w:hAnsi="Arial"/>
          <w:color w:val="1A2340"/>
          <w:sz w:val="20"/>
          <w:szCs w:val="20"/>
        </w:rPr>
        <w:t xml:space="preserve">All AI System Owners remain valid and have been notified of their accountability.</w:t>
      </w:r>
    </w:p>
    <w:p>
      <w:pPr>
        <w:pStyle w:val="ListParagraph"/>
        <w:numPr>
          <w:ilvl w:val="0"/>
          <w:numId w:val="2"/>
        </w:numPr>
        <w:spacing w:after="60" w:before="60"/>
      </w:pPr>
      <w:r>
        <w:rPr>
          <w:rFonts w:ascii="Arial" w:cs="Arial" w:eastAsia="Arial" w:hAnsi="Arial"/>
          <w:color w:val="1A2340"/>
          <w:sz w:val="20"/>
          <w:szCs w:val="20"/>
        </w:rPr>
        <w:t xml:space="preserve">All use cases classified as Elevated or High-Impact have received the required approval.</w:t>
      </w:r>
    </w:p>
    <w:p>
      <w:pPr>
        <w:pStyle w:val="ListParagraph"/>
        <w:numPr>
          <w:ilvl w:val="0"/>
          <w:numId w:val="2"/>
        </w:numPr>
        <w:spacing w:after="60" w:before="60"/>
      </w:pPr>
      <w:r>
        <w:rPr>
          <w:rFonts w:ascii="Arial" w:cs="Arial" w:eastAsia="Arial" w:hAnsi="Arial"/>
          <w:color w:val="1A2340"/>
          <w:sz w:val="20"/>
          <w:szCs w:val="20"/>
        </w:rPr>
        <w:t xml:space="preserve">No use cases are operating without a valid inventory record.</w:t>
      </w:r>
    </w:p>
    <w:p>
      <w:pPr>
        <w:spacing w:after="60" w:before="0"/>
      </w:pPr>
      <w:r>
        <w:t xml:space="preserve"/>
      </w:r>
    </w:p>
    <w:p>
      <w:pPr>
        <w:spacing w:after="80" w:before="80"/>
      </w:pPr>
      <w:r>
        <w:rPr>
          <w:rFonts w:ascii="Arial" w:cs="Arial" w:eastAsia="Arial" w:hAnsi="Arial"/>
          <w:color w:val="1A2340"/>
          <w:sz w:val="20"/>
          <w:szCs w:val="20"/>
        </w:rPr>
        <w:t xml:space="preserve">In addition to scheduled reviews, a trigger-based review is required when:</w:t>
      </w:r>
    </w:p>
    <w:p>
      <w:pPr>
        <w:pStyle w:val="ListParagraph"/>
        <w:numPr>
          <w:ilvl w:val="0"/>
          <w:numId w:val="2"/>
        </w:numPr>
        <w:spacing w:after="60" w:before="60"/>
      </w:pPr>
      <w:r>
        <w:rPr>
          <w:rFonts w:ascii="Arial" w:cs="Arial" w:eastAsia="Arial" w:hAnsi="Arial"/>
          <w:color w:val="1A2340"/>
          <w:sz w:val="20"/>
          <w:szCs w:val="20"/>
        </w:rPr>
        <w:t xml:space="preserve">A Tier 1 AI tool releases a significant capability update.</w:t>
      </w:r>
    </w:p>
    <w:p>
      <w:pPr>
        <w:pStyle w:val="ListParagraph"/>
        <w:numPr>
          <w:ilvl w:val="0"/>
          <w:numId w:val="2"/>
        </w:numPr>
        <w:spacing w:after="60" w:before="60"/>
      </w:pPr>
      <w:r>
        <w:rPr>
          <w:rFonts w:ascii="Arial" w:cs="Arial" w:eastAsia="Arial" w:hAnsi="Arial"/>
          <w:color w:val="1A2340"/>
          <w:sz w:val="20"/>
          <w:szCs w:val="20"/>
        </w:rPr>
        <w:t xml:space="preserve">A data breach or security incident involves an AI tool.</w:t>
      </w:r>
    </w:p>
    <w:p>
      <w:pPr>
        <w:pStyle w:val="ListParagraph"/>
        <w:numPr>
          <w:ilvl w:val="0"/>
          <w:numId w:val="2"/>
        </w:numPr>
        <w:spacing w:after="60" w:before="60"/>
      </w:pPr>
      <w:r>
        <w:rPr>
          <w:rFonts w:ascii="Arial" w:cs="Arial" w:eastAsia="Arial" w:hAnsi="Arial"/>
          <w:color w:val="1A2340"/>
          <w:sz w:val="20"/>
          <w:szCs w:val="20"/>
        </w:rPr>
        <w:t xml:space="preserve">A new regulation or guidance document affects AI use in the organization's sector.</w:t>
      </w:r>
    </w:p>
    <w:p>
      <w:pPr>
        <w:pStyle w:val="ListParagraph"/>
        <w:numPr>
          <w:ilvl w:val="0"/>
          <w:numId w:val="2"/>
        </w:numPr>
        <w:spacing w:after="60" w:before="60"/>
      </w:pPr>
      <w:r>
        <w:rPr>
          <w:rFonts w:ascii="Arial" w:cs="Arial" w:eastAsia="Arial" w:hAnsi="Arial"/>
          <w:color w:val="1A2340"/>
          <w:sz w:val="20"/>
          <w:szCs w:val="20"/>
        </w:rPr>
        <w:t xml:space="preserve">An AIGC or CISO/vCISO directive mandates re-review.</w:t>
      </w:r>
    </w:p>
    <w:p>
      <w:pPr>
        <w:spacing w:after="60" w:before="0"/>
      </w:pPr>
      <w:r>
        <w:t xml:space="preserve"/>
      </w:r>
    </w:p>
    <w:p>
      <w:pPr>
        <w:spacing w:after="80" w:before="80"/>
      </w:pPr>
      <w:r>
        <w:rPr>
          <w:rFonts w:ascii="Arial" w:cs="Arial" w:eastAsia="Arial" w:hAnsi="Arial"/>
          <w:color w:val="1A2340"/>
          <w:sz w:val="20"/>
          <w:szCs w:val="20"/>
        </w:rPr>
        <w:t xml:space="preserve">An annual audit of inventory completeness shall be conducted against actual tool usage data (access logs, license reports, IT procurement records) to identify unregistered use cases.</w:t>
      </w:r>
    </w:p>
    <w:p>
      <w:pPr>
        <w:pStyle w:val="Heading2"/>
        <w:spacing w:after="80" w:before="240"/>
      </w:pPr>
      <w:r>
        <w:rPr>
          <w:rFonts w:ascii="Arial" w:cs="Arial" w:eastAsia="Arial" w:hAnsi="Arial"/>
          <w:b/>
          <w:bCs/>
          <w:color w:val="152168"/>
          <w:sz w:val="22"/>
          <w:szCs w:val="22"/>
        </w:rPr>
        <w:t xml:space="preserve">6.8  Shadow AI Detection</w:t>
      </w:r>
    </w:p>
    <w:p>
      <w:pPr>
        <w:spacing w:after="80" w:before="80"/>
      </w:pPr>
      <w:r>
        <w:rPr>
          <w:rFonts w:ascii="Arial" w:cs="Arial" w:eastAsia="Arial" w:hAnsi="Arial"/>
          <w:color w:val="1A2340"/>
          <w:sz w:val="20"/>
          <w:szCs w:val="20"/>
        </w:rPr>
        <w:t xml:space="preserve">The organization actively monitors for shadow AI — the use of AI tools or capabilities that have not been registered or approved. Detection mechanisms include:</w:t>
      </w:r>
    </w:p>
    <w:p>
      <w:pPr>
        <w:pStyle w:val="ListParagraph"/>
        <w:numPr>
          <w:ilvl w:val="0"/>
          <w:numId w:val="2"/>
        </w:numPr>
        <w:spacing w:after="60" w:before="60"/>
      </w:pPr>
      <w:r>
        <w:rPr>
          <w:rFonts w:ascii="Arial" w:cs="Arial" w:eastAsia="Arial" w:hAnsi="Arial"/>
          <w:color w:val="1A2340"/>
          <w:sz w:val="20"/>
          <w:szCs w:val="20"/>
        </w:rPr>
        <w:t xml:space="preserve">Review of network access logs and DLP alerts for known AI tool domains.</w:t>
      </w:r>
    </w:p>
    <w:p>
      <w:pPr>
        <w:pStyle w:val="ListParagraph"/>
        <w:numPr>
          <w:ilvl w:val="0"/>
          <w:numId w:val="2"/>
        </w:numPr>
        <w:spacing w:after="60" w:before="60"/>
      </w:pPr>
      <w:r>
        <w:rPr>
          <w:rFonts w:ascii="Arial" w:cs="Arial" w:eastAsia="Arial" w:hAnsi="Arial"/>
          <w:color w:val="1A2340"/>
          <w:sz w:val="20"/>
          <w:szCs w:val="20"/>
        </w:rPr>
        <w:t xml:space="preserve">Review of IT procurement and expense reports for AI tool subscriptions.</w:t>
      </w:r>
    </w:p>
    <w:p>
      <w:pPr>
        <w:pStyle w:val="ListParagraph"/>
        <w:numPr>
          <w:ilvl w:val="0"/>
          <w:numId w:val="2"/>
        </w:numPr>
        <w:spacing w:after="60" w:before="60"/>
      </w:pPr>
      <w:r>
        <w:rPr>
          <w:rFonts w:ascii="Arial" w:cs="Arial" w:eastAsia="Arial" w:hAnsi="Arial"/>
          <w:color w:val="1A2340"/>
          <w:sz w:val="20"/>
          <w:szCs w:val="20"/>
        </w:rPr>
        <w:t xml:space="preserve">Staff reporting channels (anonymous tip line and manager escalation).</w:t>
      </w:r>
    </w:p>
    <w:p>
      <w:pPr>
        <w:pStyle w:val="ListParagraph"/>
        <w:numPr>
          <w:ilvl w:val="0"/>
          <w:numId w:val="2"/>
        </w:numPr>
        <w:spacing w:after="60" w:before="60"/>
      </w:pPr>
      <w:r>
        <w:rPr>
          <w:rFonts w:ascii="Arial" w:cs="Arial" w:eastAsia="Arial" w:hAnsi="Arial"/>
          <w:color w:val="1A2340"/>
          <w:sz w:val="20"/>
          <w:szCs w:val="20"/>
        </w:rPr>
        <w:t xml:space="preserve">Periodic employee surveys on AI tool use.</w:t>
      </w:r>
    </w:p>
    <w:p>
      <w:pPr>
        <w:pStyle w:val="ListParagraph"/>
        <w:numPr>
          <w:ilvl w:val="0"/>
          <w:numId w:val="2"/>
        </w:numPr>
        <w:spacing w:after="60" w:before="60"/>
      </w:pPr>
      <w:r>
        <w:rPr>
          <w:rFonts w:ascii="Arial" w:cs="Arial" w:eastAsia="Arial" w:hAnsi="Arial"/>
          <w:color w:val="1A2340"/>
          <w:sz w:val="20"/>
          <w:szCs w:val="20"/>
        </w:rPr>
        <w:t xml:space="preserve">Discovery during semi-annual inventory audits.</w:t>
      </w:r>
    </w:p>
    <w:p>
      <w:pPr>
        <w:spacing w:after="60" w:before="0"/>
      </w:pPr>
      <w:r>
        <w:t xml:space="preserve"/>
      </w:r>
    </w:p>
    <w:p>
      <w:pPr>
        <w:spacing w:after="80" w:before="80"/>
      </w:pPr>
      <w:r>
        <w:rPr>
          <w:rFonts w:ascii="Arial" w:cs="Arial" w:eastAsia="Arial" w:hAnsi="Arial"/>
          <w:b/>
          <w:bCs/>
          <w:color w:val="1A2340"/>
          <w:sz w:val="20"/>
          <w:szCs w:val="20"/>
        </w:rPr>
        <w:t xml:space="preserve">Remediation Path: </w:t>
      </w:r>
      <w:r>
        <w:rPr>
          <w:rFonts w:ascii="Arial" w:cs="Arial" w:eastAsia="Arial" w:hAnsi="Arial"/>
          <w:color w:val="1A2340"/>
          <w:sz w:val="20"/>
          <w:szCs w:val="20"/>
        </w:rPr>
        <w:t xml:space="preserve">When a shadow AI use case is discovered, the following process applies:</w:t>
      </w:r>
    </w:p>
    <w:p>
      <w:pPr>
        <w:pStyle w:val="ListParagraph"/>
        <w:numPr>
          <w:ilvl w:val="0"/>
          <w:numId w:val="3"/>
        </w:numPr>
        <w:spacing w:after="60" w:before="60"/>
      </w:pPr>
      <w:r>
        <w:rPr>
          <w:rFonts w:ascii="Arial" w:cs="Arial" w:eastAsia="Arial" w:hAnsi="Arial"/>
          <w:color w:val="1A2340"/>
          <w:sz w:val="20"/>
          <w:szCs w:val="20"/>
        </w:rPr>
        <w:t xml:space="preserve">CISO/vCISO notifies the relevant Department Head within two (2) business days.</w:t>
      </w:r>
    </w:p>
    <w:p>
      <w:pPr>
        <w:pStyle w:val="ListParagraph"/>
        <w:numPr>
          <w:ilvl w:val="0"/>
          <w:numId w:val="3"/>
        </w:numPr>
        <w:spacing w:after="60" w:before="60"/>
      </w:pPr>
      <w:r>
        <w:rPr>
          <w:rFonts w:ascii="Arial" w:cs="Arial" w:eastAsia="Arial" w:hAnsi="Arial"/>
          <w:color w:val="1A2340"/>
          <w:sz w:val="20"/>
          <w:szCs w:val="20"/>
        </w:rPr>
        <w:t xml:space="preserve">The department must submit a Use Case Registration Form within five (5) business days.</w:t>
      </w:r>
    </w:p>
    <w:p>
      <w:pPr>
        <w:pStyle w:val="ListParagraph"/>
        <w:numPr>
          <w:ilvl w:val="0"/>
          <w:numId w:val="3"/>
        </w:numPr>
        <w:spacing w:after="60" w:before="60"/>
      </w:pPr>
      <w:r>
        <w:rPr>
          <w:rFonts w:ascii="Arial" w:cs="Arial" w:eastAsia="Arial" w:hAnsi="Arial"/>
          <w:color w:val="1A2340"/>
          <w:sz w:val="20"/>
          <w:szCs w:val="20"/>
        </w:rPr>
        <w:t xml:space="preserve">The use case is classified and routed through the standard approval workflow.</w:t>
      </w:r>
    </w:p>
    <w:p>
      <w:pPr>
        <w:pStyle w:val="ListParagraph"/>
        <w:numPr>
          <w:ilvl w:val="0"/>
          <w:numId w:val="3"/>
        </w:numPr>
        <w:spacing w:after="60" w:before="60"/>
      </w:pPr>
      <w:r>
        <w:rPr>
          <w:rFonts w:ascii="Arial" w:cs="Arial" w:eastAsia="Arial" w:hAnsi="Arial"/>
          <w:color w:val="1A2340"/>
          <w:sz w:val="20"/>
          <w:szCs w:val="20"/>
        </w:rPr>
        <w:t xml:space="preserve">If approved, the use case is recorded with a backdated registration date and a compliance note.</w:t>
      </w:r>
    </w:p>
    <w:p>
      <w:pPr>
        <w:pStyle w:val="ListParagraph"/>
        <w:numPr>
          <w:ilvl w:val="0"/>
          <w:numId w:val="3"/>
        </w:numPr>
        <w:spacing w:after="60" w:before="60"/>
      </w:pPr>
      <w:r>
        <w:rPr>
          <w:rFonts w:ascii="Arial" w:cs="Arial" w:eastAsia="Arial" w:hAnsi="Arial"/>
          <w:color w:val="1A2340"/>
          <w:sz w:val="20"/>
          <w:szCs w:val="20"/>
        </w:rPr>
        <w:t xml:space="preserve">If not approved, the use case must be immediately ceased and the Department Head is responsible for ensuring cessation.</w:t>
      </w:r>
    </w:p>
    <w:p>
      <w:pPr>
        <w:pStyle w:val="ListParagraph"/>
        <w:numPr>
          <w:ilvl w:val="0"/>
          <w:numId w:val="3"/>
        </w:numPr>
        <w:spacing w:after="60" w:before="60"/>
      </w:pPr>
      <w:r>
        <w:rPr>
          <w:rFonts w:ascii="Arial" w:cs="Arial" w:eastAsia="Arial" w:hAnsi="Arial"/>
          <w:color w:val="1A2340"/>
          <w:sz w:val="20"/>
          <w:szCs w:val="20"/>
        </w:rPr>
        <w:t xml:space="preserve">Repeated or wilful shadow AI use is referred to HR for disciplinary review under the Compliance and Enforcement section.</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7. Compliance and Enforcement</w:t>
      </w:r>
    </w:p>
    <w:p>
      <w:pPr>
        <w:spacing w:after="80" w:before="80"/>
      </w:pPr>
      <w:r>
        <w:rPr>
          <w:rFonts w:ascii="Arial" w:cs="Arial" w:eastAsia="Arial" w:hAnsi="Arial"/>
          <w:color w:val="1A2340"/>
          <w:sz w:val="20"/>
          <w:szCs w:val="20"/>
        </w:rPr>
        <w:t xml:space="preserve">All employees, contractors, and third parties are required to comply with this policy. Compliance is monitored through the semi-annual inventory review, annual audit, and shadow AI detection mechanisms described in Section 6.</w:t>
      </w:r>
    </w:p>
    <w:p>
      <w:pPr>
        <w:spacing w:after="60" w:before="0"/>
      </w:pPr>
      <w:r>
        <w:t xml:space="preserve"/>
      </w:r>
    </w:p>
    <w:p>
      <w:pPr>
        <w:spacing w:after="80" w:before="80"/>
      </w:pPr>
      <w:r>
        <w:rPr>
          <w:rFonts w:ascii="Arial" w:cs="Arial" w:eastAsia="Arial" w:hAnsi="Arial"/>
          <w:color w:val="1A2340"/>
          <w:sz w:val="20"/>
          <w:szCs w:val="20"/>
        </w:rPr>
        <w:t xml:space="preserve">Non-compliance includes:</w:t>
      </w:r>
    </w:p>
    <w:p>
      <w:pPr>
        <w:pStyle w:val="ListParagraph"/>
        <w:numPr>
          <w:ilvl w:val="0"/>
          <w:numId w:val="2"/>
        </w:numPr>
        <w:spacing w:after="60" w:before="60"/>
      </w:pPr>
      <w:r>
        <w:rPr>
          <w:rFonts w:ascii="Arial" w:cs="Arial" w:eastAsia="Arial" w:hAnsi="Arial"/>
          <w:color w:val="1A2340"/>
          <w:sz w:val="20"/>
          <w:szCs w:val="20"/>
        </w:rPr>
        <w:t xml:space="preserve">Failing to register a systematic use case within the required timeframe.</w:t>
      </w:r>
    </w:p>
    <w:p>
      <w:pPr>
        <w:pStyle w:val="ListParagraph"/>
        <w:numPr>
          <w:ilvl w:val="0"/>
          <w:numId w:val="2"/>
        </w:numPr>
        <w:spacing w:after="60" w:before="60"/>
      </w:pPr>
      <w:r>
        <w:rPr>
          <w:rFonts w:ascii="Arial" w:cs="Arial" w:eastAsia="Arial" w:hAnsi="Arial"/>
          <w:color w:val="1A2340"/>
          <w:sz w:val="20"/>
          <w:szCs w:val="20"/>
        </w:rPr>
        <w:t xml:space="preserve">Providing false or materially inaccurate information in a registration form.</w:t>
      </w:r>
    </w:p>
    <w:p>
      <w:pPr>
        <w:pStyle w:val="ListParagraph"/>
        <w:numPr>
          <w:ilvl w:val="0"/>
          <w:numId w:val="2"/>
        </w:numPr>
        <w:spacing w:after="60" w:before="60"/>
      </w:pPr>
      <w:r>
        <w:rPr>
          <w:rFonts w:ascii="Arial" w:cs="Arial" w:eastAsia="Arial" w:hAnsi="Arial"/>
          <w:color w:val="1A2340"/>
          <w:sz w:val="20"/>
          <w:szCs w:val="20"/>
        </w:rPr>
        <w:t xml:space="preserve">Operating a use case without the required approval.</w:t>
      </w:r>
    </w:p>
    <w:p>
      <w:pPr>
        <w:pStyle w:val="ListParagraph"/>
        <w:numPr>
          <w:ilvl w:val="0"/>
          <w:numId w:val="2"/>
        </w:numPr>
        <w:spacing w:after="60" w:before="60"/>
      </w:pPr>
      <w:r>
        <w:rPr>
          <w:rFonts w:ascii="Arial" w:cs="Arial" w:eastAsia="Arial" w:hAnsi="Arial"/>
          <w:color w:val="1A2340"/>
          <w:sz w:val="20"/>
          <w:szCs w:val="20"/>
        </w:rPr>
        <w:t xml:space="preserve">Failing to report a material change.</w:t>
      </w:r>
    </w:p>
    <w:p>
      <w:pPr>
        <w:pStyle w:val="ListParagraph"/>
        <w:numPr>
          <w:ilvl w:val="0"/>
          <w:numId w:val="2"/>
        </w:numPr>
        <w:spacing w:after="60" w:before="60"/>
      </w:pPr>
      <w:r>
        <w:rPr>
          <w:rFonts w:ascii="Arial" w:cs="Arial" w:eastAsia="Arial" w:hAnsi="Arial"/>
          <w:color w:val="1A2340"/>
          <w:sz w:val="20"/>
          <w:szCs w:val="20"/>
        </w:rPr>
        <w:t xml:space="preserve">Repeated discovery of shadow AI use attributable to an individual.</w:t>
      </w:r>
    </w:p>
    <w:p>
      <w:pPr>
        <w:spacing w:after="60" w:before="0"/>
      </w:pPr>
      <w:r>
        <w:t xml:space="preserve"/>
      </w:r>
    </w:p>
    <w:p>
      <w:pPr>
        <w:spacing w:after="80" w:before="80"/>
      </w:pPr>
      <w:r>
        <w:rPr>
          <w:rFonts w:ascii="Arial" w:cs="Arial" w:eastAsia="Arial" w:hAnsi="Arial"/>
          <w:color w:val="1A2340"/>
          <w:sz w:val="20"/>
          <w:szCs w:val="20"/>
        </w:rPr>
        <w:t xml:space="preserve">Non-compliance consequences range from mandatory remediation and training (first occurrence, good-faith error) to formal disciplinary action up to and including termination (wilful or repeated violations). Enforcement is conducted by the CISO/vCISO in coordination with Human Resources and, where applicable, Legal Counsel. Material violations may be reportable to cyber insurers or regulators.</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8. Related Documents</w:t>
      </w:r>
    </w:p>
    <w:p>
      <w:pPr>
        <w:pStyle w:val="ListParagraph"/>
        <w:numPr>
          <w:ilvl w:val="0"/>
          <w:numId w:val="2"/>
        </w:numPr>
        <w:spacing w:after="60" w:before="60"/>
      </w:pPr>
      <w:r>
        <w:rPr>
          <w:rFonts w:ascii="Arial" w:cs="Arial" w:eastAsia="Arial" w:hAnsi="Arial"/>
          <w:color w:val="1A2340"/>
          <w:sz w:val="20"/>
          <w:szCs w:val="20"/>
        </w:rPr>
        <w:t xml:space="preserve">AI Governance Policy (ENT-POL-AI Governance)</w:t>
      </w:r>
    </w:p>
    <w:p>
      <w:pPr>
        <w:pStyle w:val="ListParagraph"/>
        <w:numPr>
          <w:ilvl w:val="0"/>
          <w:numId w:val="2"/>
        </w:numPr>
        <w:spacing w:after="60" w:before="60"/>
      </w:pPr>
      <w:r>
        <w:rPr>
          <w:rFonts w:ascii="Arial" w:cs="Arial" w:eastAsia="Arial" w:hAnsi="Arial"/>
          <w:color w:val="1A2340"/>
          <w:sz w:val="20"/>
          <w:szCs w:val="20"/>
        </w:rPr>
        <w:t xml:space="preserve">AI Acceptable Use Policy (ENT-POL-AUP)</w:t>
      </w:r>
    </w:p>
    <w:p>
      <w:pPr>
        <w:pStyle w:val="ListParagraph"/>
        <w:numPr>
          <w:ilvl w:val="0"/>
          <w:numId w:val="2"/>
        </w:numPr>
        <w:spacing w:after="60" w:before="60"/>
      </w:pPr>
      <w:r>
        <w:rPr>
          <w:rFonts w:ascii="Arial" w:cs="Arial" w:eastAsia="Arial" w:hAnsi="Arial"/>
          <w:color w:val="1A2340"/>
          <w:sz w:val="20"/>
          <w:szCs w:val="20"/>
        </w:rPr>
        <w:t xml:space="preserve">AI Impact Assessment Template</w:t>
      </w:r>
    </w:p>
    <w:p>
      <w:pPr>
        <w:pStyle w:val="ListParagraph"/>
        <w:numPr>
          <w:ilvl w:val="0"/>
          <w:numId w:val="2"/>
        </w:numPr>
        <w:spacing w:after="60" w:before="60"/>
      </w:pPr>
      <w:r>
        <w:rPr>
          <w:rFonts w:ascii="Arial" w:cs="Arial" w:eastAsia="Arial" w:hAnsi="Arial"/>
          <w:color w:val="1A2340"/>
          <w:sz w:val="20"/>
          <w:szCs w:val="20"/>
        </w:rPr>
        <w:t xml:space="preserve">Data Classification Policy</w:t>
      </w:r>
    </w:p>
    <w:p>
      <w:pPr>
        <w:pStyle w:val="ListParagraph"/>
        <w:numPr>
          <w:ilvl w:val="0"/>
          <w:numId w:val="2"/>
        </w:numPr>
        <w:spacing w:after="60" w:before="60"/>
      </w:pPr>
      <w:r>
        <w:rPr>
          <w:rFonts w:ascii="Arial" w:cs="Arial" w:eastAsia="Arial" w:hAnsi="Arial"/>
          <w:color w:val="1A2340"/>
          <w:sz w:val="20"/>
          <w:szCs w:val="20"/>
        </w:rPr>
        <w:t xml:space="preserve">Information Security Policy</w:t>
      </w:r>
    </w:p>
    <w:p>
      <w:pPr>
        <w:pStyle w:val="ListParagraph"/>
        <w:numPr>
          <w:ilvl w:val="0"/>
          <w:numId w:val="2"/>
        </w:numPr>
        <w:spacing w:after="60" w:before="60"/>
      </w:pPr>
      <w:r>
        <w:rPr>
          <w:rFonts w:ascii="Arial" w:cs="Arial" w:eastAsia="Arial" w:hAnsi="Arial"/>
          <w:color w:val="1A2340"/>
          <w:sz w:val="20"/>
          <w:szCs w:val="20"/>
        </w:rPr>
        <w:t xml:space="preserve">Vendor / Third-Party Risk Management Policy</w:t>
      </w:r>
    </w:p>
    <w:p>
      <w:pPr>
        <w:pStyle w:val="ListParagraph"/>
        <w:numPr>
          <w:ilvl w:val="0"/>
          <w:numId w:val="2"/>
        </w:numPr>
        <w:spacing w:after="60" w:before="60"/>
      </w:pPr>
      <w:r>
        <w:rPr>
          <w:rFonts w:ascii="Arial" w:cs="Arial" w:eastAsia="Arial" w:hAnsi="Arial"/>
          <w:color w:val="1A2340"/>
          <w:sz w:val="20"/>
          <w:szCs w:val="20"/>
        </w:rPr>
        <w:t xml:space="preserve">Incident Response Policy</w:t>
      </w:r>
    </w:p>
    <w:p>
      <w:pPr>
        <w:pStyle w:val="ListParagraph"/>
        <w:numPr>
          <w:ilvl w:val="0"/>
          <w:numId w:val="2"/>
        </w:numPr>
        <w:spacing w:after="60" w:before="60"/>
      </w:pPr>
      <w:r>
        <w:rPr>
          <w:rFonts w:ascii="Arial" w:cs="Arial" w:eastAsia="Arial" w:hAnsi="Arial"/>
          <w:color w:val="1A2340"/>
          <w:sz w:val="20"/>
          <w:szCs w:val="20"/>
        </w:rPr>
        <w:t xml:space="preserve">Records Retention Policy</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600"/>
        <w:gridCol w:w="3000"/>
      </w:tblGrid>
      <w:tr>
        <w:tc>
          <w:tcPr>
            <w:tcW w:type="dxa" w:w="1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3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1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0.1</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June 2026</w:t>
            </w:r>
          </w:p>
        </w:tc>
        <w:tc>
          <w:tcPr>
            <w:tcW w:type="dxa" w:w="3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Initial draft</w:t>
            </w:r>
          </w:p>
        </w:tc>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[AUTHOR NAME]</w:t>
            </w:r>
          </w:p>
        </w:tc>
      </w:tr>
      <w:tr>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1.0</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c>
          <w:tcPr>
            <w:tcW w:type="dxa" w:w="3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Approved for distribution</w:t>
            </w:r>
          </w:p>
        </w:tc>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bl>
    <w:p>
      <w:pPr>
        <w:spacing w:after="80" w:before="0"/>
      </w:pPr>
      <w:r>
        <w:t xml:space="preserve"/>
      </w:r>
    </w:p>
    <w:p>
      <w:pPr>
        <w:spacing w:after="80" w:before="80"/>
      </w:pPr>
      <w:r>
        <w:rPr>
          <w:rFonts w:ascii="Arial" w:cs="Arial" w:eastAsia="Arial" w:hAnsi="Arial"/>
          <w:color w:val="1A2340"/>
          <w:sz w:val="20"/>
          <w:szCs w:val="20"/>
        </w:rPr>
        <w:t xml:space="preserve">This policy is reviewed annually or when triggered by a significant change to the AI tool landscape, regulatory environment, or organizational structure. Policy exceptions require written approval from the CISO/vCISO and must be documented.</w:t>
      </w:r>
    </w:p>
    <w:p>
      <w:r>
        <w:br w:type="page"/>
      </w:r>
    </w:p>
    <w:p>
      <w:pPr>
        <w:pStyle w:val="Heading1"/>
        <w:spacing w:after="120" w:before="320"/>
      </w:pPr>
      <w:r>
        <w:rPr>
          <w:rFonts w:ascii="Arial" w:cs="Arial" w:eastAsia="Arial" w:hAnsi="Arial"/>
          <w:b/>
          <w:bCs/>
          <w:color w:val="152168"/>
          <w:sz w:val="28"/>
          <w:szCs w:val="28"/>
        </w:rPr>
        <w:t xml:space="preserve">Appendix A: Use Case Registration Form</w:t>
      </w:r>
    </w:p>
    <w:p>
      <w:pPr>
        <w:spacing w:after="120" w:before="60"/>
      </w:pPr>
      <w:r>
        <w:rPr>
          <w:rFonts w:ascii="Arial" w:cs="Arial" w:eastAsia="Arial" w:hAnsi="Arial"/>
          <w:i/>
          <w:iCs/>
          <w:color w:val="5A6A8A"/>
          <w:sz w:val="18"/>
          <w:szCs w:val="18"/>
        </w:rPr>
        <w:t xml:space="preserve">Framework Reference: Submit to CISO/vCISO within 5 business days of identifying a systematic use case.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USE CASE REGISTRATION FORM</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Use Case Name</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Department</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AI Tool Name</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Tool Vendor</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Account / Subscription Tier</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Use Case Description</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(Describe what the AI tool is being used to do. Include the task, frequency, and any workflow context.)</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Use Case Type</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Generative     [ ] Analytical     [ ] Automation     [ ] Other: ___________</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Data Input Classification</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Public     [ ] Internal     [ ] Confidential     [ ] Restricted</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Output Type</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Text     [ ] Code     [ ] Decision Support     [ ] External Communication     [ ] Other: ___</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Proposed Impact Classification</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Standard     [ ] Elevated     [ ] High-Impact</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Classification Rationale</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(Briefly explain why you selected this classification.)</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Intended Users</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(Roles or names of individuals who will use this use case.)</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Estimated User Count</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Oversight Mechanism</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(How will AI outputs be reviewed before use? Human review, spot-check, automated validation, etc.)</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Risk Factors / Concerns</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(Note any known risks, edge cases, or areas of uncertainty.)</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AI System Owner Name</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AI System Owner Title</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AI System Owner Email</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Date Submitted</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Supporting Documents Attached</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AI Impact Assessment     [ ] Vendor Documentation     [ ] Other: _____________</w:t>
            </w:r>
          </w:p>
        </w:tc>
      </w:tr>
    </w:tbl>
    <w:p>
      <w:pPr>
        <w:spacing w:after="80" w:before="0"/>
      </w:pPr>
      <w:r>
        <w:t xml:space="preserve"/>
      </w:r>
    </w:p>
    <w:p>
      <w:pPr>
        <w:spacing w:after="80" w:before="80"/>
      </w:pPr>
      <w:r>
        <w:rPr>
          <w:rFonts w:ascii="Arial" w:cs="Arial" w:eastAsia="Arial" w:hAnsi="Arial"/>
          <w:color w:val="1A2340"/>
          <w:sz w:val="20"/>
          <w:szCs w:val="20"/>
        </w:rPr>
        <w:t xml:space="preserve">For CISO/vCISO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Use Case ID Assigned</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Classification Confirmed</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Standard     [ ] Elevated     [ ] High-Impact</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Approval Status</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Pending     [ ] Approved     [ ] Rejected</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Date Entered in Inventory</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CISO/vCISO Signature</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bl>
    <w:p>
      <w:pPr>
        <w:spacing w:after="80" w:before="0"/>
      </w:pPr>
      <w:r>
        <w:t xml:space="preserve"/>
      </w:r>
    </w:p>
    <w:p>
      <w:pPr>
        <w:pStyle w:val="Heading1"/>
        <w:spacing w:after="120" w:before="320"/>
      </w:pPr>
      <w:r>
        <w:rPr>
          <w:rFonts w:ascii="Arial" w:cs="Arial" w:eastAsia="Arial" w:hAnsi="Arial"/>
          <w:b/>
          <w:bCs/>
          <w:color w:val="152168"/>
          <w:sz w:val="28"/>
          <w:szCs w:val="28"/>
        </w:rPr>
        <w:t xml:space="preserve">Appendix B: Use Case ID Naming Convention</w:t>
      </w:r>
    </w:p>
    <w:p>
      <w:pPr>
        <w:spacing w:after="80" w:before="80"/>
      </w:pPr>
      <w:r>
        <w:rPr>
          <w:rFonts w:ascii="Arial" w:cs="Arial" w:eastAsia="Arial" w:hAnsi="Arial"/>
          <w:color w:val="1A2340"/>
          <w:sz w:val="20"/>
          <w:szCs w:val="20"/>
        </w:rPr>
        <w:t xml:space="preserve">Each registered use case receives a unique identifier using the following format:</w:t>
      </w:r>
    </w:p>
    <w:p>
      <w:pPr>
        <w:spacing w:after="60" w:before="0"/>
      </w:pPr>
      <w:r>
        <w:t xml:space="preserve"/>
      </w:r>
    </w:p>
    <w:p>
      <w:pPr>
        <w:pBdr>
          <w:top w:val="single" w:color="DDE3EF" w:sz="1"/>
          <w:left w:val="single" w:color="DDE3EF" w:sz="1"/>
          <w:bottom w:val="single" w:color="DDE3EF" w:sz="1"/>
          <w:right w:val="single" w:color="DDE3EF" w:sz="1"/>
        </w:pBdr>
        <w:shd w:fill="EBF0FA" w:val="clear"/>
        <w:spacing w:after="120" w:before="120"/>
        <w:jc w:val="center"/>
      </w:pPr>
      <w:r>
        <w:rPr>
          <w:rFonts w:ascii="Arial" w:cs="Arial" w:eastAsia="Arial" w:hAnsi="Arial"/>
          <w:b/>
          <w:bCs/>
          <w:color w:val="152168"/>
          <w:sz w:val="24"/>
          <w:szCs w:val="24"/>
        </w:rPr>
        <w:t xml:space="preserve">[DEPT]-[TOOL_CODE]-[SEQ]</w:t>
      </w:r>
    </w:p>
    <w:p>
      <w:pPr>
        <w:spacing w:after="60" w:before="0"/>
      </w:pPr>
      <w:r>
        <w:t xml:space="preserve"/>
      </w:r>
    </w:p>
    <w:p>
      <w:pPr>
        <w:spacing w:after="80" w:before="80"/>
      </w:pPr>
      <w:r>
        <w:rPr>
          <w:rFonts w:ascii="Arial" w:cs="Arial" w:eastAsia="Arial" w:hAnsi="Arial"/>
          <w:color w:val="1A2340"/>
          <w:sz w:val="20"/>
          <w:szCs w:val="20"/>
        </w:rPr>
        <w:t xml:space="preserve">Components:</w:t>
      </w:r>
    </w:p>
    <w:p>
      <w:pPr>
        <w:pStyle w:val="ListParagraph"/>
        <w:numPr>
          <w:ilvl w:val="0"/>
          <w:numId w:val="2"/>
        </w:numPr>
        <w:spacing w:after="60" w:before="60"/>
      </w:pPr>
      <w:r>
        <w:rPr>
          <w:rFonts w:ascii="Arial" w:cs="Arial" w:eastAsia="Arial" w:hAnsi="Arial"/>
          <w:b/>
          <w:bCs/>
          <w:color w:val="1A2340"/>
          <w:sz w:val="20"/>
          <w:szCs w:val="20"/>
        </w:rPr>
        <w:t xml:space="preserve">[DEPT] </w:t>
      </w:r>
      <w:r>
        <w:rPr>
          <w:rFonts w:ascii="Arial" w:cs="Arial" w:eastAsia="Arial" w:hAnsi="Arial"/>
          <w:color w:val="1A2340"/>
          <w:sz w:val="20"/>
          <w:szCs w:val="20"/>
        </w:rPr>
        <w:t xml:space="preserve">— 2-4 character department code (e.g., FIN, HR, OPS, IT, MKT, LEG, EXE)</w:t>
      </w:r>
    </w:p>
    <w:p>
      <w:pPr>
        <w:pStyle w:val="ListParagraph"/>
        <w:numPr>
          <w:ilvl w:val="0"/>
          <w:numId w:val="2"/>
        </w:numPr>
        <w:spacing w:after="60" w:before="60"/>
      </w:pPr>
      <w:r>
        <w:rPr>
          <w:rFonts w:ascii="Arial" w:cs="Arial" w:eastAsia="Arial" w:hAnsi="Arial"/>
          <w:b/>
          <w:bCs/>
          <w:color w:val="1A2340"/>
          <w:sz w:val="20"/>
          <w:szCs w:val="20"/>
        </w:rPr>
        <w:t xml:space="preserve">[TOOL_CODE] </w:t>
      </w:r>
      <w:r>
        <w:rPr>
          <w:rFonts w:ascii="Arial" w:cs="Arial" w:eastAsia="Arial" w:hAnsi="Arial"/>
          <w:color w:val="1A2340"/>
          <w:sz w:val="20"/>
          <w:szCs w:val="20"/>
        </w:rPr>
        <w:t xml:space="preserve">— Abbreviated tool name (e.g., COPILOT, CHATGPT, GEMINI, CLAUDE, PERP)</w:t>
      </w:r>
    </w:p>
    <w:p>
      <w:pPr>
        <w:pStyle w:val="ListParagraph"/>
        <w:numPr>
          <w:ilvl w:val="0"/>
          <w:numId w:val="2"/>
        </w:numPr>
        <w:spacing w:after="60" w:before="60"/>
      </w:pPr>
      <w:r>
        <w:rPr>
          <w:rFonts w:ascii="Arial" w:cs="Arial" w:eastAsia="Arial" w:hAnsi="Arial"/>
          <w:b/>
          <w:bCs/>
          <w:color w:val="1A2340"/>
          <w:sz w:val="20"/>
          <w:szCs w:val="20"/>
        </w:rPr>
        <w:t xml:space="preserve">[SEQ] </w:t>
      </w:r>
      <w:r>
        <w:rPr>
          <w:rFonts w:ascii="Arial" w:cs="Arial" w:eastAsia="Arial" w:hAnsi="Arial"/>
          <w:color w:val="1A2340"/>
          <w:sz w:val="20"/>
          <w:szCs w:val="20"/>
        </w:rPr>
        <w:t xml:space="preserve">— 3-digit sequential number, zero-padded (e.g., 001, 002, 003)</w:t>
      </w:r>
    </w:p>
    <w:p>
      <w:pPr>
        <w:spacing w:after="60" w:before="0"/>
      </w:pPr>
      <w:r>
        <w:t xml:space="preserve"/>
      </w:r>
    </w:p>
    <w:p>
      <w:pPr>
        <w:spacing w:after="80" w:before="80"/>
      </w:pPr>
      <w:r>
        <w:rPr>
          <w:rFonts w:ascii="Arial" w:cs="Arial" w:eastAsia="Arial" w:hAnsi="Arial"/>
          <w:color w:val="1A2340"/>
          <w:sz w:val="20"/>
          <w:szCs w:val="20"/>
        </w:rP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 Case ID</w:t>
            </w:r>
          </w:p>
        </w:tc>
        <w:tc>
          <w:tcPr>
            <w:tcW w:type="dxa" w:w="68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FIN-COPILOT-001</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Finance department, Microsoft Copilot, first registered use case.</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HR-CHATGPT-001</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Human Resources, ChatGPT Enterprise, first registered use case.</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MKT-GEMINI-002</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Marketing, Google Gemini for Workspace, second registered use case.</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IT-CLAUDE-001</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IT department, Claude, first registered use case.</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OPS-COPILOT-003</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Operations, Microsoft Copilot, third registered use case.</w:t>
            </w:r>
          </w:p>
        </w:tc>
      </w:tr>
    </w:tbl>
    <w:p>
      <w:pPr>
        <w:spacing w:after="80" w:before="0"/>
      </w:pPr>
      <w:r>
        <w:t xml:space="preserve"/>
      </w:r>
    </w:p>
    <w:p>
      <w:pPr>
        <w:spacing w:after="80" w:before="80"/>
      </w:pPr>
      <w:r>
        <w:rPr>
          <w:rFonts w:ascii="Arial" w:cs="Arial" w:eastAsia="Arial" w:hAnsi="Arial"/>
          <w:color w:val="1A2340"/>
          <w:sz w:val="20"/>
          <w:szCs w:val="20"/>
        </w:rPr>
        <w:t xml:space="preserve">The CISO/vCISO assigns and controls Use Case IDs. Once assigned, IDs are never re-used, even for retired use cases.</w:t>
      </w:r>
    </w:p>
    <w:p>
      <w:pPr>
        <w:pStyle w:val="Heading1"/>
        <w:spacing w:after="120" w:before="320"/>
      </w:pPr>
      <w:r>
        <w:rPr>
          <w:rFonts w:ascii="Arial" w:cs="Arial" w:eastAsia="Arial" w:hAnsi="Arial"/>
          <w:b/>
          <w:bCs/>
          <w:color w:val="152168"/>
          <w:sz w:val="28"/>
          <w:szCs w:val="28"/>
        </w:rPr>
        <w:t xml:space="preserve">Appendix C: Impact Classification Decision Tree</w:t>
      </w:r>
    </w:p>
    <w:p>
      <w:pPr>
        <w:spacing w:after="80" w:before="80"/>
      </w:pPr>
      <w:r>
        <w:rPr>
          <w:rFonts w:ascii="Arial" w:cs="Arial" w:eastAsia="Arial" w:hAnsi="Arial"/>
          <w:color w:val="1A2340"/>
          <w:sz w:val="20"/>
          <w:szCs w:val="20"/>
        </w:rPr>
        <w:t xml:space="preserve">Use the following decision tree to determine the correct Impact Classification for a new use case. The CISO/vCISO confirms the classification during the approval workflow.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If YES</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If NO</w:t>
            </w:r>
          </w:p>
        </w:tc>
      </w:tr>
      <w:tr>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 Does the use case process Restricted data (PII, payment data, health data, legal-privilege material)?</w:t>
            </w:r>
          </w:p>
        </w:tc>
        <w:tc>
          <w:tcPr>
            <w:tcW w:type="dxa" w:w="234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18"/>
                <w:szCs w:val="18"/>
              </w:rPr>
              <w:t xml:space="preserve">HIGH-IMPACT — Stop. Submit for AIGC approval.</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Continue to Q2.</w:t>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2. Does the AI output directly influence decisions that affect individuals (hiring, access, credit, discipline)?</w:t>
            </w:r>
          </w:p>
        </w:tc>
        <w:tc>
          <w:tcPr>
            <w:tcW w:type="dxa" w:w="234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18"/>
                <w:szCs w:val="18"/>
              </w:rPr>
              <w:t xml:space="preserve">HIGH-IMPACT — Stop. Submit for AIGC approval.</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Continue to Q3.</w:t>
            </w:r>
          </w:p>
        </w:tc>
      </w:tr>
      <w:tr>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3. Is the AI output shared externally (clients, regulators, partners) without full human review?</w:t>
            </w:r>
          </w:p>
        </w:tc>
        <w:tc>
          <w:tcPr>
            <w:tcW w:type="dxa" w:w="234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18"/>
                <w:szCs w:val="18"/>
              </w:rPr>
              <w:t xml:space="preserve">HIGH-IMPACT — Stop. Submit for AIGC approval.</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Continue to Q4.</w:t>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4. Does the use case involve Confidential data OR generate client-related content?</w:t>
            </w:r>
          </w:p>
        </w:tc>
        <w:tc>
          <w:tcPr>
            <w:tcW w:type="dxa" w:w="234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18"/>
                <w:szCs w:val="18"/>
              </w:rPr>
              <w:t xml:space="preserve">ELEVATED — Submit for CISO/vCISO approval.</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Continue to Q5.</w:t>
            </w:r>
          </w:p>
        </w:tc>
      </w:tr>
      <w:tr>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5. Is the use case automated (runs without individual human initiation per instance)?</w:t>
            </w:r>
          </w:p>
        </w:tc>
        <w:tc>
          <w:tcPr>
            <w:tcW w:type="dxa" w:w="234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18"/>
                <w:szCs w:val="18"/>
              </w:rPr>
              <w:t xml:space="preserve">ELEVATED — Submit for CISO/vCISO approval.</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Continue to Q6.</w:t>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6. Does the use case have meaningful regulatory exposure (privacy law, sector regulation, contractual obligation)?</w:t>
            </w:r>
          </w:p>
        </w:tc>
        <w:tc>
          <w:tcPr>
            <w:tcW w:type="dxa" w:w="234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18"/>
                <w:szCs w:val="18"/>
              </w:rPr>
              <w:t xml:space="preserve">ELEVATED — Submit for CISO/vCISO approval.</w:t>
            </w:r>
          </w:p>
        </w:tc>
        <w:tc>
          <w:tcPr>
            <w:tcW w:type="dxa" w:w="234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val="false"/>
                <w:bCs w:val="false"/>
                <w:color w:val="1A2340"/>
                <w:sz w:val="18"/>
                <w:szCs w:val="18"/>
              </w:rPr>
              <w:t xml:space="preserve">STANDARD — CISO/vCISO notification only.</w:t>
            </w:r>
          </w:p>
        </w:tc>
      </w:tr>
    </w:tbl>
    <w:p>
      <w:pPr>
        <w:spacing w:after="60" w:before="0"/>
      </w:pPr>
      <w:r>
        <w:t xml:space="preserve"/>
      </w:r>
    </w:p>
    <w:p>
      <w:pPr>
        <w:spacing w:after="80" w:before="80"/>
      </w:pPr>
      <w:r>
        <w:rPr>
          <w:rFonts w:ascii="Arial" w:cs="Arial" w:eastAsia="Arial" w:hAnsi="Arial"/>
          <w:color w:val="1A2340"/>
          <w:sz w:val="20"/>
          <w:szCs w:val="20"/>
        </w:rPr>
        <w:t xml:space="preserve">Note: When in doubt, escalate to the next higher classification. Misclassification to a lower tier is a compliance violation.</w:t>
      </w:r>
    </w:p>
    <w:p>
      <w:pPr>
        <w:pStyle w:val="Heading1"/>
        <w:spacing w:after="120" w:before="320"/>
      </w:pPr>
      <w:r>
        <w:rPr>
          <w:rFonts w:ascii="Arial" w:cs="Arial" w:eastAsia="Arial" w:hAnsi="Arial"/>
          <w:b/>
          <w:bCs/>
          <w:color w:val="152168"/>
          <w:sz w:val="28"/>
          <w:szCs w:val="28"/>
        </w:rPr>
        <w:t xml:space="preserve">Appendix D: Semi-Annual Inventory Review Checklist</w:t>
      </w:r>
    </w:p>
    <w:p>
      <w:pPr>
        <w:spacing w:after="80" w:before="80"/>
      </w:pPr>
      <w:r>
        <w:rPr>
          <w:rFonts w:ascii="Arial" w:cs="Arial" w:eastAsia="Arial" w:hAnsi="Arial"/>
          <w:color w:val="1A2340"/>
          <w:sz w:val="20"/>
          <w:szCs w:val="20"/>
        </w:rPr>
        <w:t xml:space="preserve">Complete this checklist during each semi-annual review. Retain the completed checklist for audit purposes.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160"/>
        <w:gridCol w:w="1700"/>
      </w:tblGrid>
      <w:tr>
        <w:tc>
          <w:tcPr>
            <w:tcW w:type="dxa" w:w="5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71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Item</w:t>
            </w:r>
          </w:p>
        </w:tc>
        <w:tc>
          <w:tcPr>
            <w:tcW w:type="dxa" w:w="17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All use case records have been opened and reviewed for accuracy.</w:t>
            </w:r>
          </w:p>
        </w:tc>
        <w:tc>
          <w:tcPr>
            <w:tcW w:type="dxa" w:w="1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2</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Use Case Names and Descriptions accurately reflect current usage.</w:t>
            </w:r>
          </w:p>
        </w:tc>
        <w:tc>
          <w:tcPr>
            <w:tcW w:type="dxa" w:w="1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3</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Data Input Classifications are correct and have not changed.</w:t>
            </w:r>
          </w:p>
        </w:tc>
        <w:tc>
          <w:tcPr>
            <w:tcW w:type="dxa" w:w="1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4</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Impact Classifications remain appropriate given current tool capabilities and data inputs.</w:t>
            </w:r>
          </w:p>
        </w:tc>
        <w:tc>
          <w:tcPr>
            <w:tcW w:type="dxa" w:w="1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5</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All AI System Owners are current employees/contractors and have been notified of their accountability.</w:t>
            </w:r>
          </w:p>
        </w:tc>
        <w:tc>
          <w:tcPr>
            <w:tcW w:type="dxa" w:w="1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6</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All Elevated use cases have documented CISO/vCISO approval on file.</w:t>
            </w:r>
          </w:p>
        </w:tc>
        <w:tc>
          <w:tcPr>
            <w:tcW w:type="dxa" w:w="1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7</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All High-Impact use cases have documented AIGC approval and completed AI Impact Assessments on file.</w:t>
            </w:r>
          </w:p>
        </w:tc>
        <w:tc>
          <w:tcPr>
            <w:tcW w:type="dxa" w:w="1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8</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User Counts are approximately accurate.</w:t>
            </w:r>
          </w:p>
        </w:tc>
        <w:tc>
          <w:tcPr>
            <w:tcW w:type="dxa" w:w="1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9</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Oversight Mechanisms are still in place and functioning as described.</w:t>
            </w:r>
          </w:p>
        </w:tc>
        <w:tc>
          <w:tcPr>
            <w:tcW w:type="dxa" w:w="1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10</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No use cases have experienced unregistered material changes since last review.</w:t>
            </w:r>
          </w:p>
        </w:tc>
        <w:tc>
          <w:tcPr>
            <w:tcW w:type="dxa" w:w="1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11</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Tool access logs / license reports have been compared against the inventory to identify potential shadow AI.</w:t>
            </w:r>
          </w:p>
        </w:tc>
        <w:tc>
          <w:tcPr>
            <w:tcW w:type="dxa" w:w="1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12</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Any discovered shadow AI has been remediated per Section 6.8.</w:t>
            </w:r>
          </w:p>
        </w:tc>
        <w:tc>
          <w:tcPr>
            <w:tcW w:type="dxa" w:w="1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13</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Retired use cases have been formally closed and data retention confirmed.</w:t>
            </w:r>
          </w:p>
        </w:tc>
        <w:tc>
          <w:tcPr>
            <w:tcW w:type="dxa" w:w="1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r>
        <w:tc>
          <w:tcPr>
            <w:tcW w:type="dxa" w:w="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14</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Review completion date and findings have been documented for the audit record.</w:t>
            </w:r>
          </w:p>
        </w:tc>
        <w:tc>
          <w:tcPr>
            <w:tcW w:type="dxa" w:w="1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 Complete  [ ] N/A  [ ] Action Req.</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Completed By</w:t>
            </w:r>
          </w:p>
        </w:tc>
        <w:tc>
          <w:tcPr>
            <w:tcW w:type="dxa" w:w="4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 of Review</w:t>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r>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CISO/vCISO Signature</w:t>
            </w:r>
          </w:p>
        </w:tc>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18"/>
                <w:szCs w:val="18"/>
              </w:rPr>
              <w:t xml:space="preserve">Review Period (e.g., H1 2026)</w:t>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18"/>
                <w:szCs w:val="18"/>
              </w:rPr>
              <w:t xml:space="preserve"/>
            </w:r>
          </w:p>
        </w:tc>
      </w:tr>
    </w:tbl>
    <w:p>
      <w:pPr>
        <w:spacing w:after="60" w:before="0"/>
      </w:pPr>
      <w:r>
        <w:t xml:space="preserve"/>
      </w:r>
    </w:p>
    <w:p>
      <w:pPr>
        <w:spacing w:after="80" w:before="80"/>
      </w:pPr>
      <w:r>
        <w:rPr>
          <w:rFonts w:ascii="Arial" w:cs="Arial" w:eastAsia="Arial" w:hAnsi="Arial"/>
          <w:color w:val="1A2340"/>
          <w:sz w:val="20"/>
          <w:szCs w:val="20"/>
        </w:rPr>
        <w:t xml:space="preserve">Findings and actions from this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9360"/>
            <w:tcBorders>
              <w:top w:val="single" w:color="DDE3EF" w:sz="1"/>
              <w:left w:val="single" w:color="DDE3EF" w:sz="1"/>
              <w:bottom w:val="single" w:color="DDE3EF" w:sz="1"/>
              <w:right w:val="single" w:color="DDE3EF" w:sz="1"/>
            </w:tcBorders>
            <w:shd w:fill="FFFFFF" w:val="clear"/>
            <w:tcMar>
              <w:top w:type="dxa" w:w="200"/>
              <w:left w:type="dxa" w:w="120"/>
              <w:bottom w:type="dxa" w:w="200"/>
              <w:right w:type="dxa" w:w="120"/>
            </w:tcMar>
          </w:tcPr>
          <w:p>
            <w:r>
              <w:rPr>
                <w:rFonts w:ascii="Arial" w:cs="Arial" w:eastAsia="Arial" w:hAnsi="Arial"/>
                <w:sz w:val="20"/>
                <w:szCs w:val="20"/>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pBdr>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pBdr>
      <w:tabs>
        <w:tab w:val="right" w:pos="9360"/>
      </w:tabs>
    </w:pPr>
    <w:r>
      <w:rPr>
        <w:rFonts w:ascii="Arial" w:cs="Arial" w:eastAsia="Arial" w:hAnsi="Arial"/>
        <w:color w:val="5A6A8A"/>
        <w:sz w:val="16"/>
        <w:szCs w:val="16"/>
      </w:rPr>
      <w:t xml:space="preserve">ENT-Draft-POL-AI Use Case Inventory-Comprehensive-6.26 | Artificial Intelligence Use Case Inventory Policy</w:t>
    </w:r>
    <w:r>
      <w:rPr>
        <w:rFonts w:ascii="Arial" w:cs="Arial" w:eastAsia="Arial" w:hAnsi="Arial"/>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216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521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2026-06-19T00:19:28.979Z</dcterms:created>
  <dcterms:modified xsi:type="dcterms:W3CDTF">2026-06-19T00:19:28.979Z</dcterms:modified>
</cp:coreProperties>
</file>

<file path=docProps/custom.xml><?xml version="1.0" encoding="utf-8"?>
<Properties xmlns="http://schemas.openxmlformats.org/officeDocument/2006/custom-properties" xmlns:vt="http://schemas.openxmlformats.org/officeDocument/2006/docPropsVTypes"/>
</file>