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pBdr>
          <w:bottom w:val="single" w:color="07B4D9" w:sz="8"/>
        </w:pBdr>
        <w:spacing w:after="120" w:before="0"/>
        <w:jc w:val="center"/>
      </w:pPr>
      <w:r>
        <w:rPr>
          <w:rFonts w:ascii="Arial" w:cs="Arial" w:eastAsia="Arial" w:hAnsi="Arial"/>
          <w:b/>
          <w:bCs/>
          <w:color w:val="152168"/>
          <w:sz w:val="40"/>
          <w:szCs w:val="40"/>
        </w:rPr>
        <w:t xml:space="preserve">[ORGANIZATION NAME]</w:t>
      </w:r>
    </w:p>
    <w:p>
      <w:pPr>
        <w:spacing w:after="240" w:before="0"/>
      </w:pPr>
      <w:r>
        <w:t xml:space="preserve"/>
      </w:r>
    </w:p>
    <w:p>
      <w:pPr>
        <w:spacing w:after="60" w:before="60"/>
        <w:jc w:val="center"/>
      </w:pPr>
      <w:r>
        <w:rPr>
          <w:rFonts w:ascii="Arial" w:cs="Arial" w:eastAsia="Arial" w:hAnsi="Arial"/>
          <w:b/>
          <w:bCs/>
          <w:color w:val="152168"/>
          <w:sz w:val="38"/>
          <w:szCs w:val="38"/>
        </w:rPr>
        <w:t xml:space="preserve">AI USE CASE INVENTORY POLICY</w:t>
      </w:r>
    </w:p>
    <w:p>
      <w:pPr>
        <w:spacing w:after="60" w:before="60"/>
        <w:jc w:val="center"/>
      </w:pPr>
      <w:r>
        <w:rPr>
          <w:rFonts w:ascii="Arial" w:cs="Arial" w:eastAsia="Arial" w:hAnsi="Arial"/>
          <w:b/>
          <w:bCs/>
          <w:color w:val="07B4D9"/>
          <w:sz w:val="24"/>
          <w:szCs w:val="24"/>
        </w:rPr>
        <w:t xml:space="preserve">SMB EDITION — PLAIN ENGLISH</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Document ID</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ENT-Draft-POL-AI Use Case Inventory-SMB-6.26</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Version</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1.0 — DRAFT</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Date</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June 2026</w:t>
            </w:r>
          </w:p>
        </w:tc>
      </w:tr>
      <w:tr>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Classification</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INTERNAL — CONFIDENTIAL</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Policy Owner</w:t>
            </w:r>
          </w:p>
        </w:tc>
        <w:tc>
          <w:tcPr>
            <w:tcW w:type="dxa" w:w="68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CISO / vCISO</w:t>
            </w:r>
          </w:p>
        </w:tc>
      </w:tr>
    </w:tbl>
    <w:p>
      <w:pPr>
        <w:spacing w:after="240" w:before="0"/>
      </w:pPr>
      <w:r>
        <w:t xml:space="preserve"/>
      </w:r>
    </w:p>
    <w:p>
      <w:pPr>
        <w:spacing w:after="60" w:before="60"/>
        <w:jc w:val="center"/>
      </w:pPr>
      <w:r>
        <w:rPr>
          <w:rFonts w:ascii="Arial" w:cs="Arial" w:eastAsia="Arial" w:hAnsi="Arial"/>
          <w:i/>
          <w:iCs/>
          <w:color w:val="5A6A8A"/>
          <w:sz w:val="18"/>
          <w:szCs w:val="18"/>
        </w:rPr>
        <w:t xml:space="preserve">Questions? Contact your CISO/vCISO or IT lead.</w:t>
      </w:r>
    </w:p>
    <w:p>
      <w:r>
        <w:br w:type="page"/>
      </w:r>
    </w:p>
    <w:p>
      <w:pPr>
        <w:pStyle w:val="Heading1"/>
        <w:spacing w:after="120" w:before="320"/>
      </w:pPr>
      <w:r>
        <w:rPr>
          <w:rFonts w:ascii="Arial" w:cs="Arial" w:eastAsia="Arial" w:hAnsi="Arial"/>
          <w:b/>
          <w:bCs/>
          <w:color w:val="152168"/>
          <w:sz w:val="28"/>
          <w:szCs w:val="28"/>
        </w:rPr>
        <w:t xml:space="preserve">1. Why We Track AI Use</w:t>
      </w:r>
    </w:p>
    <w:p>
      <w:pPr>
        <w:spacing w:after="80" w:before="80"/>
      </w:pPr>
      <w:r>
        <w:rPr>
          <w:rFonts w:ascii="Arial" w:cs="Arial" w:eastAsia="Arial" w:hAnsi="Arial"/>
          <w:color w:val="1A2340"/>
          <w:sz w:val="20"/>
          <w:szCs w:val="20"/>
        </w:rPr>
        <w:t xml:space="preserve">AI tools like Microsoft Copilot, ChatGPT, Google Gemini, and Claude are becoming a regular part of how we work. That is a good thing — they help us move faster, write better, and do more with less.</w:t>
      </w:r>
    </w:p>
    <w:p>
      <w:pPr>
        <w:spacing w:after="60" w:before="0"/>
      </w:pPr>
      <w:r>
        <w:t xml:space="preserve"/>
      </w:r>
    </w:p>
    <w:p>
      <w:pPr>
        <w:spacing w:after="80" w:before="80"/>
      </w:pPr>
      <w:r>
        <w:rPr>
          <w:rFonts w:ascii="Arial" w:cs="Arial" w:eastAsia="Arial" w:hAnsi="Arial"/>
          <w:color w:val="1A2340"/>
          <w:sz w:val="20"/>
          <w:szCs w:val="20"/>
        </w:rPr>
        <w:t xml:space="preserve">But using AI tools in business is not the same as using Google Search. When someone uses an AI tool at work, they are typically feeding it business information — client names, internal processes, financial data, or confidential plans. That creates real risks:</w:t>
      </w:r>
    </w:p>
    <w:p>
      <w:pPr>
        <w:spacing w:after="60" w:before="0"/>
      </w:pPr>
      <w:r>
        <w:t xml:space="preserve"/>
      </w:r>
    </w:p>
    <w:p>
      <w:pPr>
        <w:pStyle w:val="ListParagraph"/>
        <w:numPr>
          <w:ilvl w:val="0"/>
          <w:numId w:val="2"/>
        </w:numPr>
        <w:spacing w:after="60" w:before="60"/>
      </w:pPr>
      <w:r>
        <w:rPr>
          <w:rFonts w:ascii="Arial" w:cs="Arial" w:eastAsia="Arial" w:hAnsi="Arial"/>
          <w:color w:val="1A2340"/>
          <w:sz w:val="20"/>
          <w:szCs w:val="20"/>
        </w:rPr>
        <w:t xml:space="preserve">The AI tool may store or use your inputs to train future models.</w:t>
      </w:r>
    </w:p>
    <w:p>
      <w:pPr>
        <w:pStyle w:val="ListParagraph"/>
        <w:numPr>
          <w:ilvl w:val="0"/>
          <w:numId w:val="2"/>
        </w:numPr>
        <w:spacing w:after="60" w:before="60"/>
      </w:pPr>
      <w:r>
        <w:rPr>
          <w:rFonts w:ascii="Arial" w:cs="Arial" w:eastAsia="Arial" w:hAnsi="Arial"/>
          <w:color w:val="1A2340"/>
          <w:sz w:val="20"/>
          <w:szCs w:val="20"/>
        </w:rPr>
        <w:t xml:space="preserve">Sensitive information could leave the organization in ways we did not intend.</w:t>
      </w:r>
    </w:p>
    <w:p>
      <w:pPr>
        <w:pStyle w:val="ListParagraph"/>
        <w:numPr>
          <w:ilvl w:val="0"/>
          <w:numId w:val="2"/>
        </w:numPr>
        <w:spacing w:after="60" w:before="60"/>
      </w:pPr>
      <w:r>
        <w:rPr>
          <w:rFonts w:ascii="Arial" w:cs="Arial" w:eastAsia="Arial" w:hAnsi="Arial"/>
          <w:color w:val="1A2340"/>
          <w:sz w:val="20"/>
          <w:szCs w:val="20"/>
        </w:rPr>
        <w:t xml:space="preserve">AI outputs may be wrong, biased, or misleading if not reviewed by a human.</w:t>
      </w:r>
    </w:p>
    <w:p>
      <w:pPr>
        <w:pStyle w:val="ListParagraph"/>
        <w:numPr>
          <w:ilvl w:val="0"/>
          <w:numId w:val="2"/>
        </w:numPr>
        <w:spacing w:after="60" w:before="60"/>
      </w:pPr>
      <w:r>
        <w:rPr>
          <w:rFonts w:ascii="Arial" w:cs="Arial" w:eastAsia="Arial" w:hAnsi="Arial"/>
          <w:color w:val="1A2340"/>
          <w:sz w:val="20"/>
          <w:szCs w:val="20"/>
        </w:rPr>
        <w:t xml:space="preserve">Regulators, insurers, and clients increasingly expect organizations to know what AI they are using and how.</w:t>
      </w:r>
    </w:p>
    <w:p>
      <w:pPr>
        <w:spacing w:after="60" w:before="0"/>
      </w:pPr>
      <w:r>
        <w:t xml:space="preserve"/>
      </w:r>
    </w:p>
    <w:p>
      <w:pPr>
        <w:spacing w:after="80" w:before="80"/>
      </w:pPr>
      <w:r>
        <w:rPr>
          <w:rFonts w:ascii="Arial" w:cs="Arial" w:eastAsia="Arial" w:hAnsi="Arial"/>
          <w:color w:val="1A2340"/>
          <w:sz w:val="20"/>
          <w:szCs w:val="20"/>
        </w:rPr>
        <w:t xml:space="preserve">Tracking AI use cases is how we stay in control. It is not about slowing people down — it is about knowing what is happening so we can protect the business, our clients, and our people.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1"/>
              <w:left w:val="single" w:color="DDE3EF" w:sz="1"/>
              <w:bottom w:val="single" w:color="DDE3EF" w:sz="1"/>
              <w:right w:val="single" w:color="DDE3EF" w:sz="1"/>
            </w:tcBorders>
            <w:shd w:fill="EBF0FA" w:val="clear"/>
            <w:tcMar>
              <w:top w:type="dxa" w:w="120"/>
              <w:left w:type="dxa" w:w="180"/>
              <w:bottom w:type="dxa" w:w="120"/>
              <w:right w:type="dxa" w:w="180"/>
            </w:tcMar>
          </w:tcPr>
          <w:p>
            <w:pPr>
              <w:spacing w:after="60" w:before="0"/>
            </w:pPr>
            <w:r>
              <w:rPr>
                <w:rFonts w:ascii="Arial" w:cs="Arial" w:eastAsia="Arial" w:hAnsi="Arial"/>
                <w:b/>
                <w:bCs/>
                <w:color w:val="152168"/>
                <w:sz w:val="20"/>
                <w:szCs w:val="20"/>
              </w:rPr>
              <w:t xml:space="preserve">Bottom line:</w:t>
            </w:r>
          </w:p>
          <w:p>
            <w:pPr>
              <w:spacing w:after="0" w:before="0"/>
            </w:pPr>
            <w:r>
              <w:rPr>
                <w:rFonts w:ascii="Arial" w:cs="Arial" w:eastAsia="Arial" w:hAnsi="Arial"/>
                <w:color w:val="1A2340"/>
                <w:sz w:val="20"/>
                <w:szCs w:val="20"/>
              </w:rPr>
              <w:t xml:space="preserve">If you use an AI tool regularly at work, that use needs to be logged. This policy tells you what that means and how to do it.</w:t>
            </w:r>
          </w:p>
        </w:tc>
      </w:tr>
    </w:tbl>
    <w:p>
      <w:pPr>
        <w:spacing w:after="80" w:before="0"/>
      </w:pPr>
      <w:r>
        <w:t xml:space="preserve"/>
      </w:r>
    </w:p>
    <w:p>
      <w:pPr>
        <w:pStyle w:val="Heading1"/>
        <w:spacing w:after="120" w:before="320"/>
      </w:pPr>
      <w:r>
        <w:rPr>
          <w:rFonts w:ascii="Arial" w:cs="Arial" w:eastAsia="Arial" w:hAnsi="Arial"/>
          <w:b/>
          <w:bCs/>
          <w:color w:val="152168"/>
          <w:sz w:val="28"/>
          <w:szCs w:val="28"/>
        </w:rPr>
        <w:t xml:space="preserve">2. What Goes in the Inventory</w:t>
      </w:r>
    </w:p>
    <w:p>
      <w:pPr>
        <w:spacing w:after="80" w:before="80"/>
      </w:pPr>
      <w:r>
        <w:rPr>
          <w:rFonts w:ascii="Arial" w:cs="Arial" w:eastAsia="Arial" w:hAnsi="Arial"/>
          <w:color w:val="1A2340"/>
          <w:sz w:val="20"/>
          <w:szCs w:val="20"/>
        </w:rPr>
        <w:t xml:space="preserve">The AI Use Case Inventory is a list — maintained by our CISO/vCISO — of every regular, work-related use of a Tier 1 AI tool in the organization.</w:t>
      </w:r>
    </w:p>
    <w:p>
      <w:pPr>
        <w:spacing w:after="60" w:before="0"/>
      </w:pPr>
      <w:r>
        <w:t xml:space="preserve"/>
      </w:r>
    </w:p>
    <w:p>
      <w:pPr>
        <w:spacing w:after="80" w:before="80"/>
      </w:pPr>
      <w:r>
        <w:rPr>
          <w:rFonts w:ascii="Arial" w:cs="Arial" w:eastAsia="Arial" w:hAnsi="Arial"/>
          <w:b/>
          <w:bCs/>
          <w:color w:val="1A2340"/>
          <w:sz w:val="20"/>
          <w:szCs w:val="20"/>
        </w:rPr>
        <w:t xml:space="preserve">"Tier 1 AI tools" </w:t>
      </w:r>
      <w:r>
        <w:rPr>
          <w:rFonts w:ascii="Arial" w:cs="Arial" w:eastAsia="Arial" w:hAnsi="Arial"/>
          <w:color w:val="1A2340"/>
          <w:sz w:val="20"/>
          <w:szCs w:val="20"/>
        </w:rPr>
        <w:t xml:space="preserve">means commercially available AI assistants we access as end users: Microsoft Copilot, ChatGPT (business accounts), Google Gemini for Workspace, Claude, and similar tools. It does not cover AI tools we build ourselves.</w:t>
      </w:r>
    </w:p>
    <w:p>
      <w:pPr>
        <w:spacing w:after="60" w:before="0"/>
      </w:pPr>
      <w:r>
        <w:t xml:space="preserve"/>
      </w:r>
    </w:p>
    <w:p>
      <w:pPr>
        <w:spacing w:after="80" w:before="80"/>
      </w:pPr>
      <w:r>
        <w:rPr>
          <w:rFonts w:ascii="Arial" w:cs="Arial" w:eastAsia="Arial" w:hAnsi="Arial"/>
          <w:color w:val="1A2340"/>
          <w:sz w:val="20"/>
          <w:szCs w:val="20"/>
        </w:rPr>
        <w:t xml:space="preserve">You need to register a use case when:</w:t>
      </w:r>
    </w:p>
    <w:p>
      <w:pPr>
        <w:spacing w:after="60" w:before="0"/>
      </w:pPr>
      <w:r>
        <w:t xml:space="preserve"/>
      </w:r>
    </w:p>
    <w:p>
      <w:pPr>
        <w:pStyle w:val="ListParagraph"/>
        <w:numPr>
          <w:ilvl w:val="0"/>
          <w:numId w:val="2"/>
        </w:numPr>
        <w:spacing w:after="60" w:before="60"/>
      </w:pPr>
      <w:r>
        <w:rPr>
          <w:rFonts w:ascii="Arial" w:cs="Arial" w:eastAsia="Arial" w:hAnsi="Arial"/>
          <w:b/>
          <w:bCs/>
          <w:color w:val="1A2340"/>
          <w:sz w:val="20"/>
          <w:szCs w:val="20"/>
        </w:rPr>
        <w:t xml:space="preserve">You use an AI tool regularly for the same task. </w:t>
      </w:r>
      <w:r>
        <w:rPr>
          <w:rFonts w:ascii="Arial" w:cs="Arial" w:eastAsia="Arial" w:hAnsi="Arial"/>
          <w:color w:val="1A2340"/>
          <w:sz w:val="20"/>
          <w:szCs w:val="20"/>
        </w:rPr>
        <w:t xml:space="preserve">If you use Copilot to draft client reports every week, that is a use case. If you used ChatGPT once to help write a birthday message, that is not.</w:t>
      </w:r>
    </w:p>
    <w:p>
      <w:pPr>
        <w:pStyle w:val="ListParagraph"/>
        <w:numPr>
          <w:ilvl w:val="0"/>
          <w:numId w:val="2"/>
        </w:numPr>
        <w:spacing w:after="60" w:before="60"/>
      </w:pPr>
      <w:r>
        <w:rPr>
          <w:rFonts w:ascii="Arial" w:cs="Arial" w:eastAsia="Arial" w:hAnsi="Arial"/>
          <w:b/>
          <w:bCs/>
          <w:color w:val="1A2340"/>
          <w:sz w:val="20"/>
          <w:szCs w:val="20"/>
        </w:rPr>
        <w:t xml:space="preserve">You use an AI tool with any business information. </w:t>
      </w:r>
      <w:r>
        <w:rPr>
          <w:rFonts w:ascii="Arial" w:cs="Arial" w:eastAsia="Arial" w:hAnsi="Arial"/>
          <w:color w:val="1A2340"/>
          <w:sz w:val="20"/>
          <w:szCs w:val="20"/>
        </w:rPr>
        <w:t xml:space="preserve">Client names, internal documents, financial data, employee information, contracts — any of these trigger a registration requirement.</w:t>
      </w:r>
    </w:p>
    <w:p>
      <w:pPr>
        <w:pStyle w:val="ListParagraph"/>
        <w:numPr>
          <w:ilvl w:val="0"/>
          <w:numId w:val="2"/>
        </w:numPr>
        <w:spacing w:after="60" w:before="60"/>
      </w:pPr>
      <w:r>
        <w:rPr>
          <w:rFonts w:ascii="Arial" w:cs="Arial" w:eastAsia="Arial" w:hAnsi="Arial"/>
          <w:b/>
          <w:bCs/>
          <w:color w:val="1A2340"/>
          <w:sz w:val="20"/>
          <w:szCs w:val="20"/>
        </w:rPr>
        <w:t xml:space="preserve">Your team adopts an AI tool together. </w:t>
      </w:r>
      <w:r>
        <w:rPr>
          <w:rFonts w:ascii="Arial" w:cs="Arial" w:eastAsia="Arial" w:hAnsi="Arial"/>
          <w:color w:val="1A2340"/>
          <w:sz w:val="20"/>
          <w:szCs w:val="20"/>
        </w:rPr>
        <w:t xml:space="preserve">If a department starts using Gemini for shared workflows, that needs to be registered.</w:t>
      </w:r>
    </w:p>
    <w:p>
      <w:pPr>
        <w:pStyle w:val="ListParagraph"/>
        <w:numPr>
          <w:ilvl w:val="0"/>
          <w:numId w:val="2"/>
        </w:numPr>
        <w:spacing w:after="60" w:before="60"/>
      </w:pPr>
      <w:r>
        <w:rPr>
          <w:rFonts w:ascii="Arial" w:cs="Arial" w:eastAsia="Arial" w:hAnsi="Arial"/>
          <w:b/>
          <w:bCs/>
          <w:color w:val="1A2340"/>
          <w:sz w:val="20"/>
          <w:szCs w:val="20"/>
        </w:rPr>
        <w:t xml:space="preserve">AI output goes to clients or partners. </w:t>
      </w:r>
      <w:r>
        <w:rPr>
          <w:rFonts w:ascii="Arial" w:cs="Arial" w:eastAsia="Arial" w:hAnsi="Arial"/>
          <w:color w:val="1A2340"/>
          <w:sz w:val="20"/>
          <w:szCs w:val="20"/>
        </w:rPr>
        <w:t xml:space="preserve">If what the AI produces ends up being shared outside the organization, registration is required regardless of how often.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1"/>
              <w:left w:val="single" w:color="DDE3EF" w:sz="1"/>
              <w:bottom w:val="single" w:color="DDE3EF" w:sz="1"/>
              <w:right w:val="single" w:color="DDE3EF" w:sz="1"/>
            </w:tcBorders>
            <w:shd w:fill="FFF9C4" w:val="clear"/>
            <w:tcMar>
              <w:top w:type="dxa" w:w="120"/>
              <w:left w:type="dxa" w:w="180"/>
              <w:bottom w:type="dxa" w:w="120"/>
              <w:right w:type="dxa" w:w="180"/>
            </w:tcMar>
          </w:tcPr>
          <w:p>
            <w:pPr>
              <w:spacing w:after="60" w:before="0"/>
            </w:pPr>
            <w:r>
              <w:rPr>
                <w:rFonts w:ascii="Arial" w:cs="Arial" w:eastAsia="Arial" w:hAnsi="Arial"/>
                <w:b/>
                <w:bCs/>
                <w:color w:val="152168"/>
                <w:sz w:val="20"/>
                <w:szCs w:val="20"/>
              </w:rPr>
              <w:t xml:space="preserve">What counts as "regular"?</w:t>
            </w:r>
          </w:p>
          <w:p>
            <w:pPr>
              <w:spacing w:after="0" w:before="0"/>
            </w:pPr>
            <w:r>
              <w:rPr>
                <w:rFonts w:ascii="Arial" w:cs="Arial" w:eastAsia="Arial" w:hAnsi="Arial"/>
                <w:color w:val="1A2340"/>
                <w:sz w:val="20"/>
                <w:szCs w:val="20"/>
              </w:rPr>
              <w:t xml:space="preserve">The rule of thumb is: if you have done the same thing with an AI tool more than three times in a month, it is regular use and needs to be registered.</w:t>
            </w:r>
          </w:p>
        </w:tc>
      </w:tr>
    </w:tbl>
    <w:p>
      <w:pPr>
        <w:spacing w:after="60" w:before="0"/>
      </w:pPr>
      <w:r>
        <w:t xml:space="preserve"/>
      </w:r>
    </w:p>
    <w:p>
      <w:pPr>
        <w:spacing w:after="80" w:before="80"/>
      </w:pPr>
      <w:r>
        <w:rPr>
          <w:rFonts w:ascii="Arial" w:cs="Arial" w:eastAsia="Arial" w:hAnsi="Arial"/>
          <w:color w:val="1A2340"/>
          <w:sz w:val="20"/>
          <w:szCs w:val="20"/>
        </w:rPr>
        <w:t xml:space="preserve">What does NOT need to be registered:</w:t>
      </w:r>
    </w:p>
    <w:p>
      <w:pPr>
        <w:pStyle w:val="ListParagraph"/>
        <w:numPr>
          <w:ilvl w:val="0"/>
          <w:numId w:val="2"/>
        </w:numPr>
        <w:spacing w:after="60" w:before="60"/>
      </w:pPr>
      <w:r>
        <w:rPr>
          <w:rFonts w:ascii="Arial" w:cs="Arial" w:eastAsia="Arial" w:hAnsi="Arial"/>
          <w:color w:val="1A2340"/>
          <w:sz w:val="20"/>
          <w:szCs w:val="20"/>
        </w:rPr>
        <w:t xml:space="preserve">One-off personal use with no business information (e.g., asking an AI to explain a concept for your own learning).</w:t>
      </w:r>
    </w:p>
    <w:p>
      <w:pPr>
        <w:pStyle w:val="ListParagraph"/>
        <w:numPr>
          <w:ilvl w:val="0"/>
          <w:numId w:val="2"/>
        </w:numPr>
        <w:spacing w:after="60" w:before="60"/>
      </w:pPr>
      <w:r>
        <w:rPr>
          <w:rFonts w:ascii="Arial" w:cs="Arial" w:eastAsia="Arial" w:hAnsi="Arial"/>
          <w:color w:val="1A2340"/>
          <w:sz w:val="20"/>
          <w:szCs w:val="20"/>
        </w:rPr>
        <w:t xml:space="preserve">Use on a personal device for personal tasks only.</w:t>
      </w:r>
    </w:p>
    <w:p>
      <w:pPr>
        <w:spacing w:after="80" w:before="0"/>
      </w:pPr>
      <w:r>
        <w:t xml:space="preserve"/>
      </w:r>
    </w:p>
    <w:p>
      <w:pPr>
        <w:pStyle w:val="Heading1"/>
        <w:spacing w:after="120" w:before="320"/>
      </w:pPr>
      <w:r>
        <w:rPr>
          <w:rFonts w:ascii="Arial" w:cs="Arial" w:eastAsia="Arial" w:hAnsi="Arial"/>
          <w:b/>
          <w:bCs/>
          <w:color w:val="152168"/>
          <w:sz w:val="28"/>
          <w:szCs w:val="28"/>
        </w:rPr>
        <w:t xml:space="preserve">3. How to Register a Use Case</w:t>
      </w:r>
    </w:p>
    <w:p>
      <w:pPr>
        <w:spacing w:after="80" w:before="80"/>
      </w:pPr>
      <w:r>
        <w:rPr>
          <w:rFonts w:ascii="Arial" w:cs="Arial" w:eastAsia="Arial" w:hAnsi="Arial"/>
          <w:color w:val="1A2340"/>
          <w:sz w:val="20"/>
          <w:szCs w:val="20"/>
        </w:rPr>
        <w:t xml:space="preserve">Registering a use case takes about 10 minutes. Here is the five-step process: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5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c>
          <w:tcPr>
            <w:tcW w:type="dxa" w:w="62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1</w:t>
            </w:r>
          </w:p>
        </w:tc>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Identify</w:t>
            </w:r>
          </w:p>
        </w:tc>
        <w:tc>
          <w:tcPr>
            <w:tcW w:type="dxa" w:w="62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Confirm that your use qualifies as systematic (see Section 2). Give the use case a short, clear name — e.g., "Weekly client report drafting using Copilot."</w:t>
            </w:r>
          </w:p>
        </w:tc>
      </w:tr>
      <w:tr>
        <w:tc>
          <w:tcPr>
            <w:tcW w:type="dxa" w:w="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2</w:t>
            </w:r>
          </w:p>
        </w:tc>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Classify</w:t>
            </w:r>
          </w:p>
        </w:tc>
        <w:tc>
          <w:tcPr>
            <w:tcW w:type="dxa" w:w="62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Determine the sensitivity of the data you are feeding into the AI tool (Public, Internal, Confidential, or Restricted) and the impact level of the use case (Standard, Elevated, or High-Impact — see Section 5).</w:t>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3</w:t>
            </w:r>
          </w:p>
        </w:tc>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Submit</w:t>
            </w:r>
          </w:p>
        </w:tc>
        <w:tc>
          <w:tcPr>
            <w:tcW w:type="dxa" w:w="62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Complete the Use Case Registration Form (ask your CISO/vCISO or IT lead for the form) and submit it within 5 business days of starting the use case.</w:t>
            </w:r>
          </w:p>
        </w:tc>
      </w:tr>
      <w:tr>
        <w:tc>
          <w:tcPr>
            <w:tcW w:type="dxa" w:w="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4</w:t>
            </w:r>
          </w:p>
        </w:tc>
        <w:tc>
          <w:tcPr>
            <w:tcW w:type="dxa" w:w="25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Get Approval</w:t>
            </w:r>
          </w:p>
        </w:tc>
        <w:tc>
          <w:tcPr>
            <w:tcW w:type="dxa" w:w="62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CISO/vCISO will review your submission and confirm or adjust the classification. Standard use cases are approved quickly (usually 2 business days). Elevated and High-Impact use cases take longer and may require additional review.</w:t>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5</w:t>
            </w:r>
          </w:p>
        </w:tc>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Stay Current</w:t>
            </w:r>
          </w:p>
        </w:tc>
        <w:tc>
          <w:tcPr>
            <w:tcW w:type="dxa" w:w="62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Keep your record up to date. If anything significant changes — new data types, more users, new tool — notify the CISO/vCISO within 5 business days.</w:t>
            </w:r>
          </w:p>
        </w:tc>
      </w:tr>
    </w:tbl>
    <w:p>
      <w:pPr>
        <w:spacing w:after="80" w:before="0"/>
      </w:pPr>
      <w:r>
        <w:t xml:space="preserve"/>
      </w:r>
    </w:p>
    <w:p>
      <w:pPr>
        <w:pStyle w:val="Heading1"/>
        <w:spacing w:after="120" w:before="320"/>
      </w:pPr>
      <w:r>
        <w:rPr>
          <w:rFonts w:ascii="Arial" w:cs="Arial" w:eastAsia="Arial" w:hAnsi="Arial"/>
          <w:b/>
          <w:bCs/>
          <w:color w:val="152168"/>
          <w:sz w:val="28"/>
          <w:szCs w:val="28"/>
        </w:rPr>
        <w:t xml:space="preserve">4. The Use Case Record</w:t>
      </w:r>
    </w:p>
    <w:p>
      <w:pPr>
        <w:spacing w:after="80" w:before="80"/>
      </w:pPr>
      <w:r>
        <w:rPr>
          <w:rFonts w:ascii="Arial" w:cs="Arial" w:eastAsia="Arial" w:hAnsi="Arial"/>
          <w:color w:val="1A2340"/>
          <w:sz w:val="20"/>
          <w:szCs w:val="20"/>
        </w:rPr>
        <w:t xml:space="preserve">When a use case is registered, the CISO/vCISO creates a record in the AI Use Case Inventory. Here is a summary of the core information tracked for each use case: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Captures</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Use Case ID</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A unique code assigned by the CISO/vCISO (e.g., FIN-COPILOT-001).</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Department</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Which team or business unit owns this use case.</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AI Tool &amp; Vendor</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Which tool is being used and who provides it (e.g., Microsoft Copilot, Microsoft Corporation).</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Description</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 plain-language explanation of what the AI tool is doing in this use case.</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Data Sensitivity</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type of data going into the AI tool (Public, Internal, Confidential, or Restricted).</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Impact Classification</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Standard, Elevated, or High-Impact — determines the level of oversight required.</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Who Uses It</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roles or individuals authorized to use this use case, and approximately how many.</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Oversight Mechanism</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How AI outputs are reviewed before they are acted on or shared (e.g., a human reads every output before sending to a client).</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Status</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Active, Paused, or Retired — reflects whether the use case is currently in operation.</w:t>
            </w:r>
          </w:p>
        </w:tc>
      </w:tr>
    </w:tbl>
    <w:p>
      <w:pPr>
        <w:spacing w:after="80" w:before="0"/>
      </w:pPr>
      <w:r>
        <w:t xml:space="preserve"/>
      </w:r>
    </w:p>
    <w:p>
      <w:pPr>
        <w:pStyle w:val="Heading1"/>
        <w:spacing w:after="120" w:before="320"/>
      </w:pPr>
      <w:r>
        <w:rPr>
          <w:rFonts w:ascii="Arial" w:cs="Arial" w:eastAsia="Arial" w:hAnsi="Arial"/>
          <w:b/>
          <w:bCs/>
          <w:color w:val="152168"/>
          <w:sz w:val="28"/>
          <w:szCs w:val="28"/>
        </w:rPr>
        <w:t xml:space="preserve">5. Three Types of Use Case</w:t>
      </w:r>
    </w:p>
    <w:p>
      <w:pPr>
        <w:spacing w:after="80" w:before="80"/>
      </w:pPr>
      <w:r>
        <w:rPr>
          <w:rFonts w:ascii="Arial" w:cs="Arial" w:eastAsia="Arial" w:hAnsi="Arial"/>
          <w:color w:val="1A2340"/>
          <w:sz w:val="20"/>
          <w:szCs w:val="20"/>
        </w:rPr>
        <w:t xml:space="preserve">Every use case is assigned an Impact Classification. This tells us how much oversight is needed before the AI tool is used. Here is what each level means in plain language:</w:t>
      </w:r>
    </w:p>
    <w:p>
      <w:pPr>
        <w:spacing w:after="80" w:before="0"/>
      </w:pPr>
      <w:r>
        <w:t xml:space="preserve"/>
      </w:r>
    </w:p>
    <w:p>
      <w:pPr>
        <w:spacing w:after="40" w:before="60"/>
      </w:pPr>
      <w:r>
        <w:rPr>
          <w:rFonts w:ascii="Arial" w:cs="Arial" w:eastAsia="Arial" w:hAnsi="Arial"/>
          <w:b/>
          <w:bCs/>
          <w:color w:val="1B7F3A"/>
          <w:sz w:val="24"/>
          <w:szCs w:val="24"/>
        </w:rPr>
        <w:t xml:space="preserve">Standard</w:t>
      </w:r>
      <w:r>
        <w:rPr>
          <w:rFonts w:ascii="Arial" w:cs="Arial" w:eastAsia="Arial" w:hAnsi="Arial"/>
          <w:color w:val="5A6A8A"/>
          <w:sz w:val="20"/>
          <w:szCs w:val="20"/>
        </w:rPr>
        <w:t xml:space="preserve">  —  Low oversight required</w:t>
      </w:r>
    </w:p>
    <w:p>
      <w:pPr>
        <w:pBdr>
          <w:bottom w:val="single" w:color="1B7F3A" w:sz="2"/>
        </w:pBdr>
        <w:spacing w:after="80" w:before="0"/>
      </w:pPr>
      <w:r>
        <w:t xml:space="preserve"/>
      </w:r>
    </w:p>
    <w:p>
      <w:pPr>
        <w:spacing w:after="80" w:before="80"/>
      </w:pPr>
      <w:r>
        <w:rPr>
          <w:rFonts w:ascii="Arial" w:cs="Arial" w:eastAsia="Arial" w:hAnsi="Arial"/>
          <w:color w:val="1A2340"/>
          <w:sz w:val="20"/>
          <w:szCs w:val="20"/>
        </w:rPr>
        <w:t xml:space="preserve">The use case only involves internal information (not client data or sensitive personal data), and a human reviews the AI output before it is used. No external sharing of AI output without human sign-off.</w:t>
      </w:r>
    </w:p>
    <w:p>
      <w:pPr>
        <w:spacing w:after="40" w:before="0"/>
      </w:pPr>
      <w:r>
        <w:t xml:space="preserve"/>
      </w:r>
    </w:p>
    <w:p>
      <w:pPr>
        <w:spacing w:after="80" w:before="80"/>
      </w:pPr>
      <w:r>
        <w:rPr>
          <w:rFonts w:ascii="Arial" w:cs="Arial" w:eastAsia="Arial" w:hAnsi="Arial"/>
          <w:color w:val="1A2340"/>
          <w:sz w:val="20"/>
          <w:szCs w:val="20"/>
        </w:rPr>
        <w:t xml:space="preserve">Examples for small businesses:</w:t>
      </w:r>
    </w:p>
    <w:p>
      <w:pPr>
        <w:pStyle w:val="ListParagraph"/>
        <w:numPr>
          <w:ilvl w:val="0"/>
          <w:numId w:val="2"/>
        </w:numPr>
        <w:spacing w:after="60" w:before="60"/>
      </w:pPr>
      <w:r>
        <w:rPr>
          <w:rFonts w:ascii="Arial" w:cs="Arial" w:eastAsia="Arial" w:hAnsi="Arial"/>
          <w:color w:val="1A2340"/>
          <w:sz w:val="20"/>
          <w:szCs w:val="20"/>
        </w:rPr>
        <w:t xml:space="preserve">Using Copilot to draft internal meeting agendas or minutes.</w:t>
      </w:r>
    </w:p>
    <w:p>
      <w:pPr>
        <w:pStyle w:val="ListParagraph"/>
        <w:numPr>
          <w:ilvl w:val="0"/>
          <w:numId w:val="2"/>
        </w:numPr>
        <w:spacing w:after="60" w:before="60"/>
      </w:pPr>
      <w:r>
        <w:rPr>
          <w:rFonts w:ascii="Arial" w:cs="Arial" w:eastAsia="Arial" w:hAnsi="Arial"/>
          <w:color w:val="1A2340"/>
          <w:sz w:val="20"/>
          <w:szCs w:val="20"/>
        </w:rPr>
        <w:t xml:space="preserve">Using ChatGPT to summarize an internal policy document.</w:t>
      </w:r>
    </w:p>
    <w:p>
      <w:pPr>
        <w:pStyle w:val="ListParagraph"/>
        <w:numPr>
          <w:ilvl w:val="0"/>
          <w:numId w:val="2"/>
        </w:numPr>
        <w:spacing w:after="60" w:before="60"/>
      </w:pPr>
      <w:r>
        <w:rPr>
          <w:rFonts w:ascii="Arial" w:cs="Arial" w:eastAsia="Arial" w:hAnsi="Arial"/>
          <w:color w:val="1A2340"/>
          <w:sz w:val="20"/>
          <w:szCs w:val="20"/>
        </w:rPr>
        <w:t xml:space="preserve">Using Gemini to help write internal training materials.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1"/>
              <w:left w:val="single" w:color="DDE3EF" w:sz="1"/>
              <w:bottom w:val="single" w:color="DDE3EF" w:sz="1"/>
              <w:right w:val="single" w:color="DDE3EF" w:sz="1"/>
            </w:tcBorders>
            <w:shd w:fill="E8F5E9" w:val="clear"/>
            <w:tcMar>
              <w:top w:type="dxa" w:w="120"/>
              <w:left w:type="dxa" w:w="180"/>
              <w:bottom w:type="dxa" w:w="120"/>
              <w:right w:type="dxa" w:w="180"/>
            </w:tcMar>
          </w:tcPr>
          <w:p>
            <w:pPr>
              <w:spacing w:after="60" w:before="0"/>
            </w:pPr>
            <w:r>
              <w:rPr>
                <w:rFonts w:ascii="Arial" w:cs="Arial" w:eastAsia="Arial" w:hAnsi="Arial"/>
                <w:b/>
                <w:bCs/>
                <w:color w:val="152168"/>
                <w:sz w:val="20"/>
                <w:szCs w:val="20"/>
              </w:rPr>
              <w:t xml:space="preserve">Approval:</w:t>
            </w:r>
          </w:p>
          <w:p>
            <w:pPr>
              <w:spacing w:after="0" w:before="0"/>
            </w:pPr>
            <w:r>
              <w:rPr>
                <w:rFonts w:ascii="Arial" w:cs="Arial" w:eastAsia="Arial" w:hAnsi="Arial"/>
                <w:color w:val="1A2340"/>
                <w:sz w:val="20"/>
                <w:szCs w:val="20"/>
              </w:rPr>
              <w:t xml:space="preserve">Notify your CISO/vCISO. No formal sign-off required.</w:t>
            </w:r>
          </w:p>
        </w:tc>
      </w:tr>
    </w:tbl>
    <w:p>
      <w:pPr>
        <w:spacing w:after="80" w:before="0"/>
      </w:pPr>
      <w:r>
        <w:t xml:space="preserve"/>
      </w:r>
    </w:p>
    <w:p>
      <w:pPr>
        <w:spacing w:after="40" w:before="60"/>
      </w:pPr>
      <w:r>
        <w:rPr>
          <w:rFonts w:ascii="Arial" w:cs="Arial" w:eastAsia="Arial" w:hAnsi="Arial"/>
          <w:b/>
          <w:bCs/>
          <w:color w:val="B45309"/>
          <w:sz w:val="24"/>
          <w:szCs w:val="24"/>
        </w:rPr>
        <w:t xml:space="preserve">Elevated</w:t>
      </w:r>
      <w:r>
        <w:rPr>
          <w:rFonts w:ascii="Arial" w:cs="Arial" w:eastAsia="Arial" w:hAnsi="Arial"/>
          <w:color w:val="5A6A8A"/>
          <w:sz w:val="20"/>
          <w:szCs w:val="20"/>
        </w:rPr>
        <w:t xml:space="preserve">  —  Moderate oversight required</w:t>
      </w:r>
    </w:p>
    <w:p>
      <w:pPr>
        <w:pBdr>
          <w:bottom w:val="single" w:color="B45309" w:sz="2"/>
        </w:pBdr>
        <w:spacing w:after="80" w:before="0"/>
      </w:pPr>
      <w:r>
        <w:t xml:space="preserve"/>
      </w:r>
    </w:p>
    <w:p>
      <w:pPr>
        <w:spacing w:after="80" w:before="80"/>
      </w:pPr>
      <w:r>
        <w:rPr>
          <w:rFonts w:ascii="Arial" w:cs="Arial" w:eastAsia="Arial" w:hAnsi="Arial"/>
          <w:color w:val="1A2340"/>
          <w:sz w:val="20"/>
          <w:szCs w:val="20"/>
        </w:rPr>
        <w:t xml:space="preserve">The use case involves client data or confidential business information, generates content that will be shared externally, or runs automatically without a human triggering each instance.</w:t>
      </w:r>
    </w:p>
    <w:p>
      <w:pPr>
        <w:spacing w:after="40" w:before="0"/>
      </w:pPr>
      <w:r>
        <w:t xml:space="preserve"/>
      </w:r>
    </w:p>
    <w:p>
      <w:pPr>
        <w:spacing w:after="80" w:before="80"/>
      </w:pPr>
      <w:r>
        <w:rPr>
          <w:rFonts w:ascii="Arial" w:cs="Arial" w:eastAsia="Arial" w:hAnsi="Arial"/>
          <w:color w:val="1A2340"/>
          <w:sz w:val="20"/>
          <w:szCs w:val="20"/>
        </w:rPr>
        <w:t xml:space="preserve">Examples for small businesses:</w:t>
      </w:r>
    </w:p>
    <w:p>
      <w:pPr>
        <w:pStyle w:val="ListParagraph"/>
        <w:numPr>
          <w:ilvl w:val="0"/>
          <w:numId w:val="2"/>
        </w:numPr>
        <w:spacing w:after="60" w:before="60"/>
      </w:pPr>
      <w:r>
        <w:rPr>
          <w:rFonts w:ascii="Arial" w:cs="Arial" w:eastAsia="Arial" w:hAnsi="Arial"/>
          <w:color w:val="1A2340"/>
          <w:sz w:val="20"/>
          <w:szCs w:val="20"/>
        </w:rPr>
        <w:t xml:space="preserve">Using Copilot to draft client-facing reports or proposals with client data included.</w:t>
      </w:r>
    </w:p>
    <w:p>
      <w:pPr>
        <w:pStyle w:val="ListParagraph"/>
        <w:numPr>
          <w:ilvl w:val="0"/>
          <w:numId w:val="2"/>
        </w:numPr>
        <w:spacing w:after="60" w:before="60"/>
      </w:pPr>
      <w:r>
        <w:rPr>
          <w:rFonts w:ascii="Arial" w:cs="Arial" w:eastAsia="Arial" w:hAnsi="Arial"/>
          <w:color w:val="1A2340"/>
          <w:sz w:val="20"/>
          <w:szCs w:val="20"/>
        </w:rPr>
        <w:t xml:space="preserve">Using ChatGPT to help write responses to client inquiries.</w:t>
      </w:r>
    </w:p>
    <w:p>
      <w:pPr>
        <w:pStyle w:val="ListParagraph"/>
        <w:numPr>
          <w:ilvl w:val="0"/>
          <w:numId w:val="2"/>
        </w:numPr>
        <w:spacing w:after="60" w:before="60"/>
      </w:pPr>
      <w:r>
        <w:rPr>
          <w:rFonts w:ascii="Arial" w:cs="Arial" w:eastAsia="Arial" w:hAnsi="Arial"/>
          <w:color w:val="1A2340"/>
          <w:sz w:val="20"/>
          <w:szCs w:val="20"/>
        </w:rPr>
        <w:t xml:space="preserve">Using an AI tool in an automated workflow that processes vendor invoices.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1"/>
              <w:left w:val="single" w:color="DDE3EF" w:sz="1"/>
              <w:bottom w:val="single" w:color="DDE3EF" w:sz="1"/>
              <w:right w:val="single" w:color="DDE3EF" w:sz="1"/>
            </w:tcBorders>
            <w:shd w:fill="FFF9C4" w:val="clear"/>
            <w:tcMar>
              <w:top w:type="dxa" w:w="120"/>
              <w:left w:type="dxa" w:w="180"/>
              <w:bottom w:type="dxa" w:w="120"/>
              <w:right w:type="dxa" w:w="180"/>
            </w:tcMar>
          </w:tcPr>
          <w:p>
            <w:pPr>
              <w:spacing w:after="60" w:before="0"/>
            </w:pPr>
            <w:r>
              <w:rPr>
                <w:rFonts w:ascii="Arial" w:cs="Arial" w:eastAsia="Arial" w:hAnsi="Arial"/>
                <w:b/>
                <w:bCs/>
                <w:color w:val="152168"/>
                <w:sz w:val="20"/>
                <w:szCs w:val="20"/>
              </w:rPr>
              <w:t xml:space="preserve">Approval:</w:t>
            </w:r>
          </w:p>
          <w:p>
            <w:pPr>
              <w:spacing w:after="0" w:before="0"/>
            </w:pPr>
            <w:r>
              <w:rPr>
                <w:rFonts w:ascii="Arial" w:cs="Arial" w:eastAsia="Arial" w:hAnsi="Arial"/>
                <w:color w:val="1A2340"/>
                <w:sz w:val="20"/>
                <w:szCs w:val="20"/>
              </w:rPr>
              <w:t xml:space="preserve">CISO/vCISO must formally approve before the use case goes live. Expect up to 5 business days.</w:t>
            </w:r>
          </w:p>
        </w:tc>
      </w:tr>
    </w:tbl>
    <w:p>
      <w:pPr>
        <w:spacing w:after="80" w:before="0"/>
      </w:pPr>
      <w:r>
        <w:t xml:space="preserve"/>
      </w:r>
    </w:p>
    <w:p>
      <w:pPr>
        <w:spacing w:after="40" w:before="60"/>
      </w:pPr>
      <w:r>
        <w:rPr>
          <w:rFonts w:ascii="Arial" w:cs="Arial" w:eastAsia="Arial" w:hAnsi="Arial"/>
          <w:b/>
          <w:bCs/>
          <w:color w:val="B91C1C"/>
          <w:sz w:val="24"/>
          <w:szCs w:val="24"/>
        </w:rPr>
        <w:t xml:space="preserve">High-Impact</w:t>
      </w:r>
      <w:r>
        <w:rPr>
          <w:rFonts w:ascii="Arial" w:cs="Arial" w:eastAsia="Arial" w:hAnsi="Arial"/>
          <w:color w:val="5A6A8A"/>
          <w:sz w:val="20"/>
          <w:szCs w:val="20"/>
        </w:rPr>
        <w:t xml:space="preserve">  —  Full governance review required</w:t>
      </w:r>
    </w:p>
    <w:p>
      <w:pPr>
        <w:pBdr>
          <w:bottom w:val="single" w:color="B91C1C" w:sz="2"/>
        </w:pBdr>
        <w:spacing w:after="80" w:before="0"/>
      </w:pPr>
      <w:r>
        <w:t xml:space="preserve"/>
      </w:r>
    </w:p>
    <w:p>
      <w:pPr>
        <w:spacing w:after="80" w:before="80"/>
      </w:pPr>
      <w:r>
        <w:rPr>
          <w:rFonts w:ascii="Arial" w:cs="Arial" w:eastAsia="Arial" w:hAnsi="Arial"/>
          <w:color w:val="1A2340"/>
          <w:sz w:val="20"/>
          <w:szCs w:val="20"/>
        </w:rPr>
        <w:t xml:space="preserve">The use case involves restricted data (personal information, financial records, health data, payment card data), AI-generated outputs that directly affect decisions about people, or content going directly to external parties without human review.</w:t>
      </w:r>
    </w:p>
    <w:p>
      <w:pPr>
        <w:spacing w:after="40" w:before="0"/>
      </w:pPr>
      <w:r>
        <w:t xml:space="preserve"/>
      </w:r>
    </w:p>
    <w:p>
      <w:pPr>
        <w:spacing w:after="80" w:before="80"/>
      </w:pPr>
      <w:r>
        <w:rPr>
          <w:rFonts w:ascii="Arial" w:cs="Arial" w:eastAsia="Arial" w:hAnsi="Arial"/>
          <w:color w:val="1A2340"/>
          <w:sz w:val="20"/>
          <w:szCs w:val="20"/>
        </w:rPr>
        <w:t xml:space="preserve">Examples for small businesses:</w:t>
      </w:r>
    </w:p>
    <w:p>
      <w:pPr>
        <w:pStyle w:val="ListParagraph"/>
        <w:numPr>
          <w:ilvl w:val="0"/>
          <w:numId w:val="2"/>
        </w:numPr>
        <w:spacing w:after="60" w:before="60"/>
      </w:pPr>
      <w:r>
        <w:rPr>
          <w:rFonts w:ascii="Arial" w:cs="Arial" w:eastAsia="Arial" w:hAnsi="Arial"/>
          <w:color w:val="1A2340"/>
          <w:sz w:val="20"/>
          <w:szCs w:val="20"/>
        </w:rPr>
        <w:t xml:space="preserve">Using an AI tool to screen job applications and rank candidates.</w:t>
      </w:r>
    </w:p>
    <w:p>
      <w:pPr>
        <w:pStyle w:val="ListParagraph"/>
        <w:numPr>
          <w:ilvl w:val="0"/>
          <w:numId w:val="2"/>
        </w:numPr>
        <w:spacing w:after="60" w:before="60"/>
      </w:pPr>
      <w:r>
        <w:rPr>
          <w:rFonts w:ascii="Arial" w:cs="Arial" w:eastAsia="Arial" w:hAnsi="Arial"/>
          <w:color w:val="1A2340"/>
          <w:sz w:val="20"/>
          <w:szCs w:val="20"/>
        </w:rPr>
        <w:t xml:space="preserve">Using AI to process guest payment information in a hotel setting.</w:t>
      </w:r>
    </w:p>
    <w:p>
      <w:pPr>
        <w:pStyle w:val="ListParagraph"/>
        <w:numPr>
          <w:ilvl w:val="0"/>
          <w:numId w:val="2"/>
        </w:numPr>
        <w:spacing w:after="60" w:before="60"/>
      </w:pPr>
      <w:r>
        <w:rPr>
          <w:rFonts w:ascii="Arial" w:cs="Arial" w:eastAsia="Arial" w:hAnsi="Arial"/>
          <w:color w:val="1A2340"/>
          <w:sz w:val="20"/>
          <w:szCs w:val="20"/>
        </w:rPr>
        <w:t xml:space="preserve">Using AI to generate legal or compliance advice shared with clients.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1"/>
              <w:left w:val="single" w:color="DDE3EF" w:sz="1"/>
              <w:bottom w:val="single" w:color="DDE3EF" w:sz="1"/>
              <w:right w:val="single" w:color="DDE3EF" w:sz="1"/>
            </w:tcBorders>
            <w:shd w:fill="FFEBEE" w:val="clear"/>
            <w:tcMar>
              <w:top w:type="dxa" w:w="120"/>
              <w:left w:type="dxa" w:w="180"/>
              <w:bottom w:type="dxa" w:w="120"/>
              <w:right w:type="dxa" w:w="180"/>
            </w:tcMar>
          </w:tcPr>
          <w:p>
            <w:pPr>
              <w:spacing w:after="60" w:before="0"/>
            </w:pPr>
            <w:r>
              <w:rPr>
                <w:rFonts w:ascii="Arial" w:cs="Arial" w:eastAsia="Arial" w:hAnsi="Arial"/>
                <w:b/>
                <w:bCs/>
                <w:color w:val="152168"/>
                <w:sz w:val="20"/>
                <w:szCs w:val="20"/>
              </w:rPr>
              <w:t xml:space="preserve">Approval:</w:t>
            </w:r>
          </w:p>
          <w:p>
            <w:pPr>
              <w:spacing w:after="0" w:before="0"/>
            </w:pPr>
            <w:r>
              <w:rPr>
                <w:rFonts w:ascii="Arial" w:cs="Arial" w:eastAsia="Arial" w:hAnsi="Arial"/>
                <w:color w:val="1A2340"/>
                <w:sz w:val="20"/>
                <w:szCs w:val="20"/>
              </w:rPr>
              <w:t xml:space="preserve">Requires formal review by leadership or your AI Governance Committee. An AI Impact Assessment must be completed first. Do not start until approved.</w:t>
            </w:r>
          </w:p>
        </w:tc>
      </w:tr>
    </w:tbl>
    <w:p>
      <w:pPr>
        <w:spacing w:after="80" w:before="0"/>
      </w:pPr>
      <w:r>
        <w:t xml:space="preserve"/>
      </w:r>
    </w:p>
    <w:p>
      <w:pPr>
        <w:pStyle w:val="Heading1"/>
        <w:spacing w:after="120" w:before="320"/>
      </w:pPr>
      <w:r>
        <w:rPr>
          <w:rFonts w:ascii="Arial" w:cs="Arial" w:eastAsia="Arial" w:hAnsi="Arial"/>
          <w:b/>
          <w:bCs/>
          <w:color w:val="152168"/>
          <w:sz w:val="28"/>
          <w:szCs w:val="28"/>
        </w:rPr>
        <w:t xml:space="preserve">6. Getting Approval</w:t>
      </w:r>
    </w:p>
    <w:p>
      <w:pPr>
        <w:spacing w:after="80" w:before="80"/>
      </w:pPr>
      <w:r>
        <w:rPr>
          <w:rFonts w:ascii="Arial" w:cs="Arial" w:eastAsia="Arial" w:hAnsi="Arial"/>
          <w:color w:val="1A2340"/>
          <w:sz w:val="20"/>
          <w:szCs w:val="20"/>
        </w:rPr>
        <w:t xml:space="preserve">Here is a quick reference for who needs to approve what: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w:t>
            </w:r>
          </w:p>
        </w:tc>
        <w:tc>
          <w:tcPr>
            <w:tcW w:type="dxa" w:w="3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Who Approves</w:t>
            </w:r>
          </w:p>
        </w:tc>
        <w:tc>
          <w:tcPr>
            <w:tcW w:type="dxa" w:w="23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Can I Start Before Approval?</w:t>
            </w:r>
          </w:p>
        </w:tc>
      </w:tr>
      <w:tr>
        <w:tc>
          <w:tcPr>
            <w:tcW w:type="dxa" w:w="2000"/>
            <w:tcBorders>
              <w:top w:val="single" w:color="DDE3EF" w:sz="1"/>
              <w:left w:val="single" w:color="DDE3EF" w:sz="1"/>
              <w:bottom w:val="single" w:color="DDE3EF" w:sz="1"/>
              <w:right w:val="single" w:color="DDE3EF" w:sz="1"/>
            </w:tcBorders>
            <w:shd w:fill="E8F5E9" w:val="clear"/>
            <w:tcMar>
              <w:top w:type="dxa" w:w="80"/>
              <w:left w:type="dxa" w:w="120"/>
              <w:bottom w:type="dxa" w:w="80"/>
              <w:right w:type="dxa" w:w="120"/>
            </w:tcMar>
          </w:tcPr>
          <w:p>
            <w:r>
              <w:rPr>
                <w:rFonts w:ascii="Arial" w:cs="Arial" w:eastAsia="Arial" w:hAnsi="Arial"/>
                <w:b/>
                <w:bCs/>
                <w:color w:val="1A2340"/>
                <w:sz w:val="20"/>
                <w:szCs w:val="20"/>
              </w:rPr>
              <w:t xml:space="preserve">Standard</w:t>
            </w:r>
          </w:p>
        </w:tc>
        <w:tc>
          <w:tcPr>
            <w:tcW w:type="dxa" w:w="3000"/>
            <w:tcBorders>
              <w:top w:val="single" w:color="DDE3EF" w:sz="1"/>
              <w:left w:val="single" w:color="DDE3EF" w:sz="1"/>
              <w:bottom w:val="single" w:color="DDE3EF" w:sz="1"/>
              <w:right w:val="single" w:color="DDE3EF" w:sz="1"/>
            </w:tcBorders>
            <w:shd w:fill="E8F5E9" w:val="clear"/>
            <w:tcMar>
              <w:top w:type="dxa" w:w="80"/>
              <w:left w:type="dxa" w:w="120"/>
              <w:bottom w:type="dxa" w:w="80"/>
              <w:right w:type="dxa" w:w="120"/>
            </w:tcMar>
          </w:tcPr>
          <w:p>
            <w:r>
              <w:rPr>
                <w:rFonts w:ascii="Arial" w:cs="Arial" w:eastAsia="Arial" w:hAnsi="Arial"/>
                <w:b w:val="false"/>
                <w:bCs w:val="false"/>
                <w:color w:val="1A2340"/>
                <w:sz w:val="20"/>
                <w:szCs w:val="20"/>
              </w:rPr>
              <w:t xml:space="preserve">CISO/vCISO — notification only.</w:t>
            </w:r>
          </w:p>
        </w:tc>
        <w:tc>
          <w:tcPr>
            <w:tcW w:type="dxa" w:w="2360"/>
            <w:tcBorders>
              <w:top w:val="single" w:color="DDE3EF" w:sz="1"/>
              <w:left w:val="single" w:color="DDE3EF" w:sz="1"/>
              <w:bottom w:val="single" w:color="DDE3EF" w:sz="1"/>
              <w:right w:val="single" w:color="DDE3EF" w:sz="1"/>
            </w:tcBorders>
            <w:shd w:fill="E8F5E9" w:val="clear"/>
            <w:tcMar>
              <w:top w:type="dxa" w:w="80"/>
              <w:left w:type="dxa" w:w="120"/>
              <w:bottom w:type="dxa" w:w="80"/>
              <w:right w:type="dxa" w:w="120"/>
            </w:tcMar>
          </w:tcPr>
          <w:p>
            <w:r>
              <w:rPr>
                <w:rFonts w:ascii="Arial" w:cs="Arial" w:eastAsia="Arial" w:hAnsi="Arial"/>
                <w:b w:val="false"/>
                <w:bCs w:val="false"/>
                <w:color w:val="1A2340"/>
                <w:sz w:val="20"/>
                <w:szCs w:val="20"/>
              </w:rPr>
              <w:t xml:space="preserve">2 business days to log the record.</w:t>
            </w:r>
          </w:p>
        </w:tc>
        <w:tc>
          <w:tcPr>
            <w:tcW w:type="dxa" w:w="2000"/>
            <w:tcBorders>
              <w:top w:val="single" w:color="DDE3EF" w:sz="1"/>
              <w:left w:val="single" w:color="DDE3EF" w:sz="1"/>
              <w:bottom w:val="single" w:color="DDE3EF" w:sz="1"/>
              <w:right w:val="single" w:color="DDE3EF" w:sz="1"/>
            </w:tcBorders>
            <w:shd w:fill="E8F5E9" w:val="clear"/>
            <w:tcMar>
              <w:top w:type="dxa" w:w="80"/>
              <w:left w:type="dxa" w:w="120"/>
              <w:bottom w:type="dxa" w:w="80"/>
              <w:right w:type="dxa" w:w="120"/>
            </w:tcMar>
          </w:tcPr>
          <w:p>
            <w:r>
              <w:rPr>
                <w:rFonts w:ascii="Arial" w:cs="Arial" w:eastAsia="Arial" w:hAnsi="Arial"/>
                <w:b w:val="false"/>
                <w:bCs w:val="false"/>
                <w:color w:val="1A2340"/>
                <w:sz w:val="20"/>
                <w:szCs w:val="20"/>
              </w:rPr>
              <w:t xml:space="preserve">Yes — notify within 5 days of starting.</w:t>
            </w:r>
          </w:p>
        </w:tc>
      </w:tr>
      <w:tr>
        <w:tc>
          <w:tcPr>
            <w:tcW w:type="dxa" w:w="200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bCs/>
                <w:color w:val="1A2340"/>
                <w:sz w:val="20"/>
                <w:szCs w:val="20"/>
              </w:rPr>
              <w:t xml:space="preserve">Elevated</w:t>
            </w:r>
          </w:p>
        </w:tc>
        <w:tc>
          <w:tcPr>
            <w:tcW w:type="dxa" w:w="300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val="false"/>
                <w:bCs w:val="false"/>
                <w:color w:val="1A2340"/>
                <w:sz w:val="20"/>
                <w:szCs w:val="20"/>
              </w:rPr>
              <w:t xml:space="preserve">CISO/vCISO — written approval required.</w:t>
            </w:r>
          </w:p>
        </w:tc>
        <w:tc>
          <w:tcPr>
            <w:tcW w:type="dxa" w:w="236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val="false"/>
                <w:bCs w:val="false"/>
                <w:color w:val="1A2340"/>
                <w:sz w:val="20"/>
                <w:szCs w:val="20"/>
              </w:rPr>
              <w:t xml:space="preserve">Up to 5 business days.</w:t>
            </w:r>
          </w:p>
        </w:tc>
        <w:tc>
          <w:tcPr>
            <w:tcW w:type="dxa" w:w="2000"/>
            <w:tcBorders>
              <w:top w:val="single" w:color="DDE3EF" w:sz="1"/>
              <w:left w:val="single" w:color="DDE3EF" w:sz="1"/>
              <w:bottom w:val="single" w:color="DDE3EF" w:sz="1"/>
              <w:right w:val="single" w:color="DDE3EF" w:sz="1"/>
            </w:tcBorders>
            <w:shd w:fill="FFF9C4" w:val="clear"/>
            <w:tcMar>
              <w:top w:type="dxa" w:w="80"/>
              <w:left w:type="dxa" w:w="120"/>
              <w:bottom w:type="dxa" w:w="80"/>
              <w:right w:type="dxa" w:w="120"/>
            </w:tcMar>
          </w:tcPr>
          <w:p>
            <w:r>
              <w:rPr>
                <w:rFonts w:ascii="Arial" w:cs="Arial" w:eastAsia="Arial" w:hAnsi="Arial"/>
                <w:b w:val="false"/>
                <w:bCs w:val="false"/>
                <w:color w:val="1A2340"/>
                <w:sz w:val="20"/>
                <w:szCs w:val="20"/>
              </w:rPr>
              <w:t xml:space="preserve">No — wait for approval.</w:t>
            </w:r>
          </w:p>
        </w:tc>
      </w:tr>
      <w:tr>
        <w:tc>
          <w:tcPr>
            <w:tcW w:type="dxa" w:w="200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bCs/>
                <w:color w:val="1A2340"/>
                <w:sz w:val="20"/>
                <w:szCs w:val="20"/>
              </w:rPr>
              <w:t xml:space="preserve">High-Impact</w:t>
            </w:r>
          </w:p>
        </w:tc>
        <w:tc>
          <w:tcPr>
            <w:tcW w:type="dxa" w:w="300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val="false"/>
                <w:bCs w:val="false"/>
                <w:color w:val="1A2340"/>
                <w:sz w:val="20"/>
                <w:szCs w:val="20"/>
              </w:rPr>
              <w:t xml:space="preserve">Leadership / AI Governance Committee.</w:t>
            </w:r>
          </w:p>
        </w:tc>
        <w:tc>
          <w:tcPr>
            <w:tcW w:type="dxa" w:w="236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val="false"/>
                <w:bCs w:val="false"/>
                <w:color w:val="1A2340"/>
                <w:sz w:val="20"/>
                <w:szCs w:val="20"/>
              </w:rPr>
              <w:t xml:space="preserve">Up to 10 business days.</w:t>
            </w:r>
          </w:p>
        </w:tc>
        <w:tc>
          <w:tcPr>
            <w:tcW w:type="dxa" w:w="200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val="false"/>
                <w:bCs w:val="false"/>
                <w:color w:val="1A2340"/>
                <w:sz w:val="20"/>
                <w:szCs w:val="20"/>
              </w:rPr>
              <w:t xml:space="preserve">No — wait for full approval.</w:t>
            </w:r>
          </w:p>
        </w:tc>
      </w:tr>
    </w:tbl>
    <w:p>
      <w:pPr>
        <w:spacing w:after="60" w:before="0"/>
      </w:pPr>
      <w:r>
        <w:t xml:space="preserve"/>
      </w:r>
    </w:p>
    <w:p>
      <w:pPr>
        <w:spacing w:after="80" w:before="80"/>
      </w:pPr>
      <w:r>
        <w:rPr>
          <w:rFonts w:ascii="Arial" w:cs="Arial" w:eastAsia="Arial" w:hAnsi="Arial"/>
          <w:color w:val="1A2340"/>
          <w:sz w:val="20"/>
          <w:szCs w:val="20"/>
        </w:rPr>
        <w:t xml:space="preserve">Not sure which classification applies? Ask your CISO/vCISO. It is always better to ask than to guess wrong. If you are genuinely unsure, default to the higher classification until confirmed.</w:t>
      </w:r>
    </w:p>
    <w:p>
      <w:pPr>
        <w:spacing w:after="80" w:before="0"/>
      </w:pPr>
      <w:r>
        <w:t xml:space="preserve"/>
      </w:r>
    </w:p>
    <w:p>
      <w:pPr>
        <w:pStyle w:val="Heading1"/>
        <w:spacing w:after="120" w:before="320"/>
      </w:pPr>
      <w:r>
        <w:rPr>
          <w:rFonts w:ascii="Arial" w:cs="Arial" w:eastAsia="Arial" w:hAnsi="Arial"/>
          <w:b/>
          <w:bCs/>
          <w:color w:val="152168"/>
          <w:sz w:val="28"/>
          <w:szCs w:val="28"/>
        </w:rPr>
        <w:t xml:space="preserve">7. Keeping It Current</w:t>
      </w:r>
    </w:p>
    <w:p>
      <w:pPr>
        <w:spacing w:after="80" w:before="80"/>
      </w:pPr>
      <w:r>
        <w:rPr>
          <w:rFonts w:ascii="Arial" w:cs="Arial" w:eastAsia="Arial" w:hAnsi="Arial"/>
          <w:color w:val="1A2340"/>
          <w:sz w:val="20"/>
          <w:szCs w:val="20"/>
        </w:rPr>
        <w:t xml:space="preserve">Registering a use case is not a one-time task. You need to update the record when anything significant changes. We call these "material changes." Here is what counts:</w:t>
      </w:r>
    </w:p>
    <w:p>
      <w:pPr>
        <w:spacing w:after="60" w:before="0"/>
      </w:pPr>
      <w:r>
        <w:t xml:space="preserve"/>
      </w:r>
    </w:p>
    <w:p>
      <w:pPr>
        <w:pStyle w:val="ListParagraph"/>
        <w:numPr>
          <w:ilvl w:val="0"/>
          <w:numId w:val="2"/>
        </w:numPr>
        <w:spacing w:after="60" w:before="60"/>
      </w:pPr>
      <w:r>
        <w:rPr>
          <w:rFonts w:ascii="Arial" w:cs="Arial" w:eastAsia="Arial" w:hAnsi="Arial"/>
          <w:color w:val="1A2340"/>
          <w:sz w:val="20"/>
          <w:szCs w:val="20"/>
        </w:rPr>
        <w:t xml:space="preserve">You switch to a different AI tool for the same task.</w:t>
      </w:r>
    </w:p>
    <w:p>
      <w:pPr>
        <w:pStyle w:val="ListParagraph"/>
        <w:numPr>
          <w:ilvl w:val="0"/>
          <w:numId w:val="2"/>
        </w:numPr>
        <w:spacing w:after="60" w:before="60"/>
      </w:pPr>
      <w:r>
        <w:rPr>
          <w:rFonts w:ascii="Arial" w:cs="Arial" w:eastAsia="Arial" w:hAnsi="Arial"/>
          <w:color w:val="1A2340"/>
          <w:sz w:val="20"/>
          <w:szCs w:val="20"/>
        </w:rPr>
        <w:t xml:space="preserve">You start feeding more sensitive data into the AI tool than the original record covers.</w:t>
      </w:r>
    </w:p>
    <w:p>
      <w:pPr>
        <w:pStyle w:val="ListParagraph"/>
        <w:numPr>
          <w:ilvl w:val="0"/>
          <w:numId w:val="2"/>
        </w:numPr>
        <w:spacing w:after="60" w:before="60"/>
      </w:pPr>
      <w:r>
        <w:rPr>
          <w:rFonts w:ascii="Arial" w:cs="Arial" w:eastAsia="Arial" w:hAnsi="Arial"/>
          <w:color w:val="1A2340"/>
          <w:sz w:val="20"/>
          <w:szCs w:val="20"/>
        </w:rPr>
        <w:t xml:space="preserve">The number of users grows significantly (e.g., two people becomes twenty).</w:t>
      </w:r>
    </w:p>
    <w:p>
      <w:pPr>
        <w:pStyle w:val="ListParagraph"/>
        <w:numPr>
          <w:ilvl w:val="0"/>
          <w:numId w:val="2"/>
        </w:numPr>
        <w:spacing w:after="60" w:before="60"/>
      </w:pPr>
      <w:r>
        <w:rPr>
          <w:rFonts w:ascii="Arial" w:cs="Arial" w:eastAsia="Arial" w:hAnsi="Arial"/>
          <w:color w:val="1A2340"/>
          <w:sz w:val="20"/>
          <w:szCs w:val="20"/>
        </w:rPr>
        <w:t xml:space="preserve">The AI output starts being shared externally when it was not before.</w:t>
      </w:r>
    </w:p>
    <w:p>
      <w:pPr>
        <w:pStyle w:val="ListParagraph"/>
        <w:numPr>
          <w:ilvl w:val="0"/>
          <w:numId w:val="2"/>
        </w:numPr>
        <w:spacing w:after="60" w:before="60"/>
      </w:pPr>
      <w:r>
        <w:rPr>
          <w:rFonts w:ascii="Arial" w:cs="Arial" w:eastAsia="Arial" w:hAnsi="Arial"/>
          <w:color w:val="1A2340"/>
          <w:sz w:val="20"/>
          <w:szCs w:val="20"/>
        </w:rPr>
        <w:t xml:space="preserve">The way you review or verify AI outputs changes.</w:t>
      </w:r>
    </w:p>
    <w:p>
      <w:pPr>
        <w:pStyle w:val="ListParagraph"/>
        <w:numPr>
          <w:ilvl w:val="0"/>
          <w:numId w:val="2"/>
        </w:numPr>
        <w:spacing w:after="60" w:before="60"/>
      </w:pPr>
      <w:r>
        <w:rPr>
          <w:rFonts w:ascii="Arial" w:cs="Arial" w:eastAsia="Arial" w:hAnsi="Arial"/>
          <w:color w:val="1A2340"/>
          <w:sz w:val="20"/>
          <w:szCs w:val="20"/>
        </w:rPr>
        <w:t xml:space="preserve">You stop using the AI tool for this task (retirement — see below).</w:t>
      </w:r>
    </w:p>
    <w:p>
      <w:pPr>
        <w:spacing w:after="60" w:before="0"/>
      </w:pPr>
      <w:r>
        <w:t xml:space="preserve"/>
      </w:r>
    </w:p>
    <w:p>
      <w:pPr>
        <w:spacing w:after="80" w:before="80"/>
      </w:pPr>
      <w:r>
        <w:rPr>
          <w:rFonts w:ascii="Arial" w:cs="Arial" w:eastAsia="Arial" w:hAnsi="Arial"/>
          <w:b/>
          <w:bCs/>
          <w:color w:val="1A2340"/>
          <w:sz w:val="20"/>
          <w:szCs w:val="20"/>
        </w:rPr>
        <w:t xml:space="preserve">When a material change happens: </w:t>
      </w:r>
      <w:r>
        <w:rPr>
          <w:rFonts w:ascii="Arial" w:cs="Arial" w:eastAsia="Arial" w:hAnsi="Arial"/>
          <w:color w:val="1A2340"/>
          <w:sz w:val="20"/>
          <w:szCs w:val="20"/>
        </w:rPr>
        <w:t xml:space="preserve">Notify the CISO/vCISO within 5 business days. They will update the record and re-confirm the classification if needed.</w:t>
      </w:r>
    </w:p>
    <w:p>
      <w:pPr>
        <w:spacing w:after="60" w:before="0"/>
      </w:pPr>
      <w:r>
        <w:t xml:space="preserve"/>
      </w:r>
    </w:p>
    <w:p>
      <w:pPr>
        <w:spacing w:after="80" w:before="80"/>
      </w:pPr>
      <w:r>
        <w:rPr>
          <w:rFonts w:ascii="Arial" w:cs="Arial" w:eastAsia="Arial" w:hAnsi="Arial"/>
          <w:b/>
          <w:bCs/>
          <w:color w:val="1A2340"/>
          <w:sz w:val="20"/>
          <w:szCs w:val="20"/>
        </w:rPr>
        <w:t xml:space="preserve">Semi-annual check: </w:t>
      </w:r>
      <w:r>
        <w:rPr>
          <w:rFonts w:ascii="Arial" w:cs="Arial" w:eastAsia="Arial" w:hAnsi="Arial"/>
          <w:color w:val="1A2340"/>
          <w:sz w:val="20"/>
          <w:szCs w:val="20"/>
        </w:rPr>
        <w:t xml:space="preserve">Twice a year, the CISO/vCISO will review all inventory records and reach out to Use Case Owners to confirm everything is still accurate. Expect a brief check-in email or meeting — this typically takes 15 minutes or less per use case.</w:t>
      </w:r>
    </w:p>
    <w:p>
      <w:pPr>
        <w:spacing w:after="60" w:before="0"/>
      </w:pPr>
      <w:r>
        <w:t xml:space="preserve"/>
      </w:r>
    </w:p>
    <w:p>
      <w:pPr>
        <w:spacing w:after="80" w:before="80"/>
      </w:pPr>
      <w:r>
        <w:rPr>
          <w:rFonts w:ascii="Arial" w:cs="Arial" w:eastAsia="Arial" w:hAnsi="Arial"/>
          <w:b/>
          <w:bCs/>
          <w:color w:val="1A2340"/>
          <w:sz w:val="20"/>
          <w:szCs w:val="20"/>
        </w:rPr>
        <w:t xml:space="preserve">Retiring a use case: </w:t>
      </w:r>
      <w:r>
        <w:rPr>
          <w:rFonts w:ascii="Arial" w:cs="Arial" w:eastAsia="Arial" w:hAnsi="Arial"/>
          <w:color w:val="1A2340"/>
          <w:sz w:val="20"/>
          <w:szCs w:val="20"/>
        </w:rPr>
        <w:t xml:space="preserve">If you stop using an AI tool for a registered use case, let the CISO/vCISO know. They will mark the record as Retired. The record stays in the system for three years for audit purposes but no further action is needed.</w:t>
      </w:r>
    </w:p>
    <w:p>
      <w:pPr>
        <w:spacing w:after="80" w:before="0"/>
      </w:pPr>
      <w:r>
        <w:t xml:space="preserve"/>
      </w:r>
    </w:p>
    <w:p>
      <w:pPr>
        <w:pStyle w:val="Heading1"/>
        <w:spacing w:after="120" w:before="320"/>
      </w:pPr>
      <w:r>
        <w:rPr>
          <w:rFonts w:ascii="Arial" w:cs="Arial" w:eastAsia="Arial" w:hAnsi="Arial"/>
          <w:b/>
          <w:bCs/>
          <w:color w:val="152168"/>
          <w:sz w:val="28"/>
          <w:szCs w:val="28"/>
        </w:rPr>
        <w:t xml:space="preserve">8. What Happens If You Skip Registration</w:t>
      </w:r>
    </w:p>
    <w:p>
      <w:pPr>
        <w:spacing w:after="80" w:before="80"/>
      </w:pPr>
      <w:r>
        <w:rPr>
          <w:rFonts w:ascii="Arial" w:cs="Arial" w:eastAsia="Arial" w:hAnsi="Arial"/>
          <w:color w:val="1A2340"/>
          <w:sz w:val="20"/>
          <w:szCs w:val="20"/>
        </w:rPr>
        <w:t xml:space="preserve">Using an AI tool regularly at work without registering it is called "shadow AI." It happens — sometimes people do not know the policy, or they start using a tool before the registration requirement occurs to them. Here is what happens either way: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1"/>
              <w:left w:val="single" w:color="DDE3EF" w:sz="1"/>
              <w:bottom w:val="single" w:color="DDE3EF" w:sz="1"/>
              <w:right w:val="single" w:color="DDE3EF" w:sz="1"/>
            </w:tcBorders>
            <w:shd w:fill="EBF0FA" w:val="clear"/>
            <w:tcMar>
              <w:top w:type="dxa" w:w="120"/>
              <w:left w:type="dxa" w:w="180"/>
              <w:bottom w:type="dxa" w:w="120"/>
              <w:right w:type="dxa" w:w="180"/>
            </w:tcMar>
          </w:tcPr>
          <w:p>
            <w:pPr>
              <w:spacing w:after="60" w:before="0"/>
            </w:pPr>
            <w:r>
              <w:rPr>
                <w:rFonts w:ascii="Arial" w:cs="Arial" w:eastAsia="Arial" w:hAnsi="Arial"/>
                <w:b/>
                <w:bCs/>
                <w:color w:val="152168"/>
                <w:sz w:val="20"/>
                <w:szCs w:val="20"/>
              </w:rPr>
              <w:t xml:space="preserve">How shadow AI gets discovered:</w:t>
            </w:r>
          </w:p>
          <w:p>
            <w:pPr>
              <w:spacing w:after="0" w:before="0"/>
            </w:pPr>
            <w:r>
              <w:rPr>
                <w:rFonts w:ascii="Arial" w:cs="Arial" w:eastAsia="Arial" w:hAnsi="Arial"/>
                <w:color w:val="1A2340"/>
                <w:sz w:val="20"/>
                <w:szCs w:val="20"/>
              </w:rPr>
              <w:t xml:space="preserve">IT access logs, software expense reports, DLP alerts, staff tip-offs, or the semi-annual audit — the CISO/vCISO has several ways to identify unregistered AI use.</w:t>
            </w:r>
          </w:p>
        </w:tc>
      </w:tr>
    </w:tbl>
    <w:p>
      <w:pPr>
        <w:spacing w:after="60" w:before="0"/>
      </w:pPr>
      <w:r>
        <w:t xml:space="preserve"/>
      </w:r>
    </w:p>
    <w:p>
      <w:pPr>
        <w:spacing w:after="80" w:before="80"/>
      </w:pPr>
      <w:r>
        <w:rPr>
          <w:rFonts w:ascii="Arial" w:cs="Arial" w:eastAsia="Arial" w:hAnsi="Arial"/>
          <w:b/>
          <w:bCs/>
          <w:color w:val="1A2340"/>
          <w:sz w:val="20"/>
          <w:szCs w:val="20"/>
        </w:rPr>
        <w:t xml:space="preserve">If you discover an unregistered use case yourself: </w:t>
      </w:r>
      <w:r>
        <w:rPr>
          <w:rFonts w:ascii="Arial" w:cs="Arial" w:eastAsia="Arial" w:hAnsi="Arial"/>
          <w:color w:val="1A2340"/>
          <w:sz w:val="20"/>
          <w:szCs w:val="20"/>
        </w:rPr>
        <w:t xml:space="preserve">Come forward and register it. There is no penalty for good-faith self-disclosure. Submit the Registration Form within 5 business days and the CISO/vCISO will work with you to get it sorted.</w:t>
      </w:r>
    </w:p>
    <w:p>
      <w:pPr>
        <w:spacing w:after="60" w:before="0"/>
      </w:pPr>
      <w:r>
        <w:t xml:space="preserve"/>
      </w:r>
    </w:p>
    <w:p>
      <w:pPr>
        <w:spacing w:after="80" w:before="80"/>
      </w:pPr>
      <w:r>
        <w:rPr>
          <w:rFonts w:ascii="Arial" w:cs="Arial" w:eastAsia="Arial" w:hAnsi="Arial"/>
          <w:b/>
          <w:bCs/>
          <w:color w:val="1A2340"/>
          <w:sz w:val="20"/>
          <w:szCs w:val="20"/>
        </w:rPr>
        <w:t xml:space="preserve">If it is discovered through monitoring: </w:t>
      </w:r>
      <w:r>
        <w:rPr>
          <w:rFonts w:ascii="Arial" w:cs="Arial" w:eastAsia="Arial" w:hAnsi="Arial"/>
          <w:color w:val="1A2340"/>
          <w:sz w:val="20"/>
          <w:szCs w:val="20"/>
        </w:rPr>
        <w:t xml:space="preserve">The following remediation process applies:</w:t>
      </w:r>
    </w:p>
    <w:p>
      <w:pPr>
        <w:pStyle w:val="ListParagraph"/>
        <w:numPr>
          <w:ilvl w:val="0"/>
          <w:numId w:val="3"/>
        </w:numPr>
        <w:spacing w:after="60" w:before="60"/>
      </w:pPr>
      <w:r>
        <w:rPr>
          <w:rFonts w:ascii="Arial" w:cs="Arial" w:eastAsia="Arial" w:hAnsi="Arial"/>
          <w:color w:val="1A2340"/>
          <w:sz w:val="20"/>
          <w:szCs w:val="20"/>
        </w:rPr>
        <w:t xml:space="preserve">Your department head is notified within 2 business days.</w:t>
      </w:r>
    </w:p>
    <w:p>
      <w:pPr>
        <w:pStyle w:val="ListParagraph"/>
        <w:numPr>
          <w:ilvl w:val="0"/>
          <w:numId w:val="3"/>
        </w:numPr>
        <w:spacing w:after="60" w:before="60"/>
      </w:pPr>
      <w:r>
        <w:rPr>
          <w:rFonts w:ascii="Arial" w:cs="Arial" w:eastAsia="Arial" w:hAnsi="Arial"/>
          <w:color w:val="1A2340"/>
          <w:sz w:val="20"/>
          <w:szCs w:val="20"/>
        </w:rPr>
        <w:t xml:space="preserve">You have 5 business days to submit a Registration Form.</w:t>
      </w:r>
    </w:p>
    <w:p>
      <w:pPr>
        <w:pStyle w:val="ListParagraph"/>
        <w:numPr>
          <w:ilvl w:val="0"/>
          <w:numId w:val="3"/>
        </w:numPr>
        <w:spacing w:after="60" w:before="60"/>
      </w:pPr>
      <w:r>
        <w:rPr>
          <w:rFonts w:ascii="Arial" w:cs="Arial" w:eastAsia="Arial" w:hAnsi="Arial"/>
          <w:color w:val="1A2340"/>
          <w:sz w:val="20"/>
          <w:szCs w:val="20"/>
        </w:rPr>
        <w:t xml:space="preserve">The use case is classified and reviewed in the normal way.</w:t>
      </w:r>
    </w:p>
    <w:p>
      <w:pPr>
        <w:pStyle w:val="ListParagraph"/>
        <w:numPr>
          <w:ilvl w:val="0"/>
          <w:numId w:val="3"/>
        </w:numPr>
        <w:spacing w:after="60" w:before="60"/>
      </w:pPr>
      <w:r>
        <w:rPr>
          <w:rFonts w:ascii="Arial" w:cs="Arial" w:eastAsia="Arial" w:hAnsi="Arial"/>
          <w:color w:val="1A2340"/>
          <w:sz w:val="20"/>
          <w:szCs w:val="20"/>
        </w:rPr>
        <w:t xml:space="preserve">If it is approved, it goes into the inventory with a note that it was discovered retrospectively.</w:t>
      </w:r>
    </w:p>
    <w:p>
      <w:pPr>
        <w:pStyle w:val="ListParagraph"/>
        <w:numPr>
          <w:ilvl w:val="0"/>
          <w:numId w:val="3"/>
        </w:numPr>
        <w:spacing w:after="60" w:before="60"/>
      </w:pPr>
      <w:r>
        <w:rPr>
          <w:rFonts w:ascii="Arial" w:cs="Arial" w:eastAsia="Arial" w:hAnsi="Arial"/>
          <w:color w:val="1A2340"/>
          <w:sz w:val="20"/>
          <w:szCs w:val="20"/>
        </w:rPr>
        <w:t xml:space="preserve">If it is not approved, the use case must stop immediately.</w:t>
      </w:r>
    </w:p>
    <w:p>
      <w:pPr>
        <w:spacing w:after="60" w:before="0"/>
      </w:pPr>
      <w:r>
        <w:t xml:space="preserve"/>
      </w:r>
    </w:p>
    <w:p>
      <w:pPr>
        <w:spacing w:after="80" w:before="80"/>
      </w:pPr>
      <w:r>
        <w:rPr>
          <w:rFonts w:ascii="Arial" w:cs="Arial" w:eastAsia="Arial" w:hAnsi="Arial"/>
          <w:color w:val="1A2340"/>
          <w:sz w:val="20"/>
          <w:szCs w:val="20"/>
        </w:rPr>
        <w:t xml:space="preserve">Consequences for non-compliance: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Situation</w:t>
            </w:r>
          </w:p>
        </w:tc>
        <w:tc>
          <w:tcPr>
            <w:tcW w:type="dxa" w:w="63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Consequence</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First occurrence, honest mistake</w:t>
            </w:r>
          </w:p>
        </w:tc>
        <w:tc>
          <w:tcPr>
            <w:tcW w:type="dxa" w:w="6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Mandatory remediation and completion of AI governance training. No further action.</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Repeated occurrences or wilful avoidance</w:t>
            </w:r>
          </w:p>
        </w:tc>
        <w:tc>
          <w:tcPr>
            <w:tcW w:type="dxa" w:w="6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Formal disciplinary review by HR. May include suspension of AI tool access.</w:t>
            </w:r>
          </w:p>
        </w:tc>
      </w:tr>
      <w:tr>
        <w:tc>
          <w:tcPr>
            <w:tcW w:type="dxa" w:w="300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bCs/>
                <w:color w:val="1A2340"/>
                <w:sz w:val="20"/>
                <w:szCs w:val="20"/>
              </w:rPr>
              <w:t xml:space="preserve">Serious data exposure resulting from shadow AI</w:t>
            </w:r>
          </w:p>
        </w:tc>
        <w:tc>
          <w:tcPr>
            <w:tcW w:type="dxa" w:w="6360"/>
            <w:tcBorders>
              <w:top w:val="single" w:color="DDE3EF" w:sz="1"/>
              <w:left w:val="single" w:color="DDE3EF" w:sz="1"/>
              <w:bottom w:val="single" w:color="DDE3EF" w:sz="1"/>
              <w:right w:val="single" w:color="DDE3EF" w:sz="1"/>
            </w:tcBorders>
            <w:shd w:fill="FFEBEE" w:val="clear"/>
            <w:tcMar>
              <w:top w:type="dxa" w:w="80"/>
              <w:left w:type="dxa" w:w="120"/>
              <w:bottom w:type="dxa" w:w="80"/>
              <w:right w:type="dxa" w:w="120"/>
            </w:tcMar>
          </w:tcPr>
          <w:p>
            <w:r>
              <w:rPr>
                <w:rFonts w:ascii="Arial" w:cs="Arial" w:eastAsia="Arial" w:hAnsi="Arial"/>
                <w:b w:val="false"/>
                <w:bCs w:val="false"/>
                <w:color w:val="1A2340"/>
                <w:sz w:val="20"/>
                <w:szCs w:val="20"/>
              </w:rPr>
              <w:t xml:space="preserve">Disciplinary action up to termination. Potential legal or regulatory consequences depending on the data involved.</w:t>
            </w:r>
          </w:p>
        </w:tc>
      </w:tr>
    </w:tbl>
    <w:p>
      <w:pPr>
        <w:spacing w:after="80" w:before="0"/>
      </w:pPr>
      <w:r>
        <w:t xml:space="preserve"/>
      </w:r>
    </w:p>
    <w:p>
      <w:pPr>
        <w:pStyle w:val="Heading1"/>
        <w:spacing w:after="120" w:before="320"/>
      </w:pPr>
      <w:r>
        <w:rPr>
          <w:rFonts w:ascii="Arial" w:cs="Arial" w:eastAsia="Arial" w:hAnsi="Arial"/>
          <w:b/>
          <w:bCs/>
          <w:color w:val="152168"/>
          <w:sz w:val="28"/>
          <w:szCs w:val="28"/>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600"/>
        <w:gridCol w:w="3000"/>
      </w:tblGrid>
      <w:tr>
        <w:tc>
          <w:tcPr>
            <w:tcW w:type="dxa" w:w="1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c>
          <w:tcPr>
            <w:tcW w:type="dxa" w:w="3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r>
      <w:tr>
        <w:tc>
          <w:tcPr>
            <w:tcW w:type="dxa" w:w="1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0.1</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June 2026</w:t>
            </w:r>
          </w:p>
        </w:tc>
        <w:tc>
          <w:tcPr>
            <w:tcW w:type="dxa" w:w="3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Initial draft</w:t>
            </w:r>
          </w:p>
        </w:tc>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[AUTHOR NAME]</w:t>
            </w:r>
          </w:p>
        </w:tc>
      </w:tr>
      <w:tr>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1.0</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W w:type="dxa" w:w="3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Approved</w:t>
            </w:r>
          </w:p>
        </w:tc>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bl>
    <w:p>
      <w:pPr>
        <w:spacing w:after="60" w:before="0"/>
      </w:pPr>
      <w:r>
        <w:t xml:space="preserve"/>
      </w:r>
    </w:p>
    <w:p>
      <w:pPr>
        <w:spacing w:after="80" w:before="80"/>
      </w:pPr>
      <w:r>
        <w:rPr>
          <w:rFonts w:ascii="Arial" w:cs="Arial" w:eastAsia="Arial" w:hAnsi="Arial"/>
          <w:color w:val="1A2340"/>
          <w:sz w:val="20"/>
          <w:szCs w:val="20"/>
        </w:rPr>
        <w:t xml:space="preserve">This policy is reviewed annually or whenever our AI tool usage or regulatory environment changes significantly.</w:t>
      </w:r>
    </w:p>
    <w:p>
      <w:pPr>
        <w:spacing w:after="80" w:before="0"/>
      </w:pPr>
      <w:r>
        <w:t xml:space="preserve"/>
      </w:r>
    </w:p>
    <w:p>
      <w:pPr>
        <w:pStyle w:val="Heading2"/>
        <w:spacing w:after="80" w:before="200"/>
      </w:pPr>
      <w:r>
        <w:rPr>
          <w:rFonts w:ascii="Arial" w:cs="Arial" w:eastAsia="Arial" w:hAnsi="Arial"/>
          <w:b/>
          <w:bCs/>
          <w:color w:val="4F46E5"/>
          <w:sz w:val="22"/>
          <w:szCs w:val="22"/>
        </w:rPr>
        <w:t xml:space="preserve">Staff Acknowledgement</w:t>
      </w:r>
    </w:p>
    <w:p>
      <w:pPr>
        <w:spacing w:after="80" w:before="80"/>
      </w:pPr>
      <w:r>
        <w:rPr>
          <w:rFonts w:ascii="Arial" w:cs="Arial" w:eastAsia="Arial" w:hAnsi="Arial"/>
          <w:color w:val="1A2340"/>
          <w:sz w:val="20"/>
          <w:szCs w:val="20"/>
        </w:rPr>
        <w:t xml:space="preserve">By signing below, I confirm that I have read and understood this policy, and I agree to comply with its requirements.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Full Name</w:t>
            </w:r>
          </w:p>
        </w:tc>
        <w:tc>
          <w:tcPr>
            <w:tcW w:type="dxa" w:w="4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Title / Department</w:t>
            </w:r>
          </w:p>
        </w:tc>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W w:type="dxa" w:w="4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Signature</w:t>
            </w:r>
          </w:p>
        </w:tc>
        <w:tc>
          <w:tcPr>
            <w:tcW w:type="dxa" w:w="4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Date</w:t>
            </w:r>
          </w:p>
        </w:tc>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bl>
    <w:p>
      <w:pPr>
        <w:spacing w:after="60" w:before="0"/>
      </w:pPr>
      <w:r>
        <w:t xml:space="preserve"/>
      </w:r>
    </w:p>
    <w:p>
      <w:pPr>
        <w:spacing w:after="80" w:before="80"/>
      </w:pPr>
      <w:r>
        <w:rPr>
          <w:rFonts w:ascii="Arial" w:cs="Arial" w:eastAsia="Arial" w:hAnsi="Arial"/>
          <w:color w:val="1A2340"/>
          <w:sz w:val="20"/>
          <w:szCs w:val="20"/>
        </w:rPr>
        <w:t xml:space="preserve">Return completed acknowledgements to the CISO/vCISO or HR department for your personnel 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pBdr>
      <w:jc w:val="cente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4"/>
      </w:pBdr>
      <w:tabs>
        <w:tab w:val="right" w:pos="9360"/>
      </w:tabs>
    </w:pPr>
    <w:r>
      <w:rPr>
        <w:rFonts w:ascii="Arial" w:cs="Arial" w:eastAsia="Arial" w:hAnsi="Arial"/>
        <w:color w:val="5A6A8A"/>
        <w:sz w:val="16"/>
        <w:szCs w:val="16"/>
      </w:rPr>
      <w:t xml:space="preserve">ENT-Draft-POL-AI Use Case Inventory-SMB-6.26 | Artificial Intelligence Use Case Inventory Policy — SMB Edition</w:t>
    </w:r>
    <w:r>
      <w:rPr>
        <w:rFonts w:ascii="Arial" w:cs="Arial" w:eastAsia="Arial" w:hAnsi="Arial"/>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52168"/>
      <w:sz w:val="28"/>
      <w:szCs w:val="28"/>
    </w:rPr>
  </w:style>
  <w:style w:type="paragraph" w:styleId="Heading2">
    <w:name w:val="Heading 2"/>
    <w:basedOn w:val="Normal"/>
    <w:next w:val="Normal"/>
    <w:qFormat/>
    <w:pPr>
      <w:spacing w:after="80" w:before="200"/>
      <w:outlineLvl w:val="1"/>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2026-06-19T00:19:31.375Z</dcterms:created>
  <dcterms:modified xsi:type="dcterms:W3CDTF">2026-06-19T00:19:31.375Z</dcterms:modified>
</cp:coreProperties>
</file>

<file path=docProps/custom.xml><?xml version="1.0" encoding="utf-8"?>
<Properties xmlns="http://schemas.openxmlformats.org/officeDocument/2006/custom-properties" xmlns:vt="http://schemas.openxmlformats.org/officeDocument/2006/docPropsVTypes"/>
</file>