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1B3A5C"/>
          <w:sz w:val="52"/>
          <w:szCs w:val="52"/>
        </w:rPr>
        <w:t xml:space="preserve">MONEY PROGRAM</w:t>
      </w:r>
    </w:p>
    <w:p>
      <w:pPr>
        <w:spacing w:after="200"/>
      </w:pPr>
    </w:p>
    <w:p>
      <w:pPr>
        <w:jc w:val="center"/>
      </w:pPr>
      <w:r>
        <w:rPr>
          <w:rFonts w:ascii="Arial" w:cs="Arial" w:eastAsia="Arial" w:hAnsi="Arial"/>
          <w:b/>
          <w:bCs/>
          <w:color w:val="2E75B6"/>
          <w:sz w:val="40"/>
          <w:szCs w:val="40"/>
        </w:rPr>
        <w:t xml:space="preserve">THE TRADING PROGRAM</w:t>
      </w:r>
    </w:p>
    <w:p>
      <w:pPr>
        <w:spacing w:after="100"/>
      </w:pPr>
    </w:p>
    <w:p>
      <w:pPr>
        <w:pBdr>
          <w:bottom w:val="single" w:color="2E75B6" w:sz="6" w:space="1"/>
        </w:pBdr>
        <w:jc w:val="center"/>
      </w:pPr>
      <w:r>
        <w:rPr>
          <w:sz w:val="10"/>
          <w:szCs w:val="10"/>
        </w:rPr>
        <w:t xml:space="preserve"> </w:t>
      </w:r>
    </w:p>
    <w:p>
      <w:pPr>
        <w:spacing w:after="200"/>
      </w:pPr>
    </w:p>
    <w:p>
      <w:pPr>
        <w:jc w:val="center"/>
      </w:pPr>
      <w:r>
        <w:rPr>
          <w:rFonts w:ascii="Arial" w:cs="Arial" w:eastAsia="Arial" w:hAnsi="Arial"/>
          <w:color w:val="333333"/>
          <w:sz w:val="36"/>
          <w:szCs w:val="36"/>
        </w:rPr>
        <w:t xml:space="preserve">Entry Refinement Masterclass</w:t>
      </w:r>
    </w:p>
    <w:p>
      <w:pPr>
        <w:spacing w:after="200"/>
        <w:jc w:val="center"/>
      </w:pPr>
      <w:r>
        <w:rPr>
          <w:rFonts w:ascii="Arial" w:cs="Arial" w:eastAsia="Arial" w:hAnsi="Arial"/>
          <w:color w:val="666666"/>
          <w:sz w:val="24"/>
          <w:szCs w:val="24"/>
        </w:rPr>
        <w:t xml:space="preserve">Precision Entry Rules for Swing Trading</w:t>
      </w:r>
    </w:p>
    <w:p>
      <w:pPr>
        <w:spacing w:after="100"/>
        <w:jc w:val="center"/>
      </w:pPr>
      <w:r>
        <w:rPr>
          <w:rFonts w:ascii="Arial" w:cs="Arial" w:eastAsia="Arial" w:hAnsi="Arial"/>
          <w:color w:val="666666"/>
          <w:sz w:val="24"/>
          <w:szCs w:val="24"/>
        </w:rPr>
        <w:t xml:space="preserve">US &amp; UK Equities</w:t>
      </w:r>
    </w:p>
    <w:p>
      <w:pPr>
        <w:spacing w:before="2000"/>
      </w:pPr>
    </w:p>
    <w:p>
      <w:pPr>
        <w:jc w:val="center"/>
      </w:pPr>
      <w:r>
        <w:rPr>
          <w:rFonts w:ascii="Arial" w:cs="Arial" w:eastAsia="Arial" w:hAnsi="Arial"/>
          <w:color w:val="666666"/>
          <w:sz w:val="20"/>
          <w:szCs w:val="20"/>
        </w:rPr>
        <w:t xml:space="preserve">Version 1.0  |  March 2026</w:t>
      </w:r>
    </w:p>
    <w:p>
      <w:pPr>
        <w:jc w:val="center"/>
      </w:pPr>
      <w:r>
        <w:rPr>
          <w:rFonts w:ascii="Arial" w:cs="Arial" w:eastAsia="Arial" w:hAnsi="Arial"/>
          <w:i/>
          <w:iCs/>
          <w:color w:val="666666"/>
          <w:sz w:val="18"/>
          <w:szCs w:val="18"/>
        </w:rPr>
        <w:t xml:space="preserve">Process Over Prediction  |  Discipline Over Activity  |  Compounding Over Excitement</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Purpose &amp; Philosophy</w:t>
      </w:r>
    </w:p>
    <w:p>
      <w:pPr>
        <w:spacing w:after="120"/>
      </w:pPr>
      <w:r>
        <w:rPr>
          <w:rFonts w:ascii="Arial" w:cs="Arial" w:eastAsia="Arial" w:hAnsi="Arial"/>
          <w:b w:val="false"/>
          <w:bCs w:val="false"/>
          <w:i w:val="false"/>
          <w:iCs w:val="false"/>
          <w:color w:val="333333"/>
          <w:sz w:val="21"/>
          <w:szCs w:val="21"/>
        </w:rPr>
        <w:t xml:space="preserve">This document defines the precision entry rules for the Money Program Trading Program. Our signal engine identifies high-probability swing trade setups in US and UK equities, but the entry ranges can be wide. This refinement layer narrows the when and how of execution, turning good signals into great entries.</w:t>
      </w:r>
    </w:p>
    <w:p>
      <w:pPr>
        <w:spacing w:after="120"/>
      </w:pPr>
      <w:r>
        <w:rPr>
          <w:rFonts w:ascii="Arial" w:cs="Arial" w:eastAsia="Arial" w:hAnsi="Arial"/>
          <w:b w:val="false"/>
          <w:bCs w:val="false"/>
          <w:i w:val="false"/>
          <w:iCs w:val="false"/>
          <w:color w:val="333333"/>
          <w:sz w:val="21"/>
          <w:szCs w:val="21"/>
        </w:rPr>
        <w:t xml:space="preserve">The rules draw from the collected wisdom of the traders already embedded in our methodology — Livermore, O’Neil, Minervini, Darvas, and Raschke — plus supplementary techniques from Morales, Gil, and institutional volume analysis.</w:t>
      </w:r>
    </w:p>
    <w:p>
      <w:pPr>
        <w:pStyle w:val="Heading2"/>
        <w:spacing w:after="160" w:before="280"/>
      </w:pPr>
      <w:r>
        <w:rPr>
          <w:rFonts w:ascii="Arial" w:cs="Arial" w:eastAsia="Arial" w:hAnsi="Arial"/>
          <w:b/>
          <w:bCs/>
          <w:color w:val="2E75B6"/>
          <w:sz w:val="26"/>
          <w:szCs w:val="26"/>
        </w:rPr>
        <w:t xml:space="preserve">1.1 Core Principle</w:t>
      </w:r>
    </w:p>
    <w:p>
      <w:pPr>
        <w:spacing w:after="120"/>
      </w:pPr>
      <w:r>
        <w:rPr>
          <w:rFonts w:ascii="Arial" w:cs="Arial" w:eastAsia="Arial" w:hAnsi="Arial"/>
          <w:b/>
          <w:bCs/>
          <w:color w:val="333333"/>
          <w:sz w:val="21"/>
          <w:szCs w:val="21"/>
        </w:rPr>
        <w:t xml:space="preserve">Buy at the moment of least risk. </w:t>
      </w:r>
      <w:r>
        <w:rPr>
          <w:rFonts w:ascii="Arial" w:cs="Arial" w:eastAsia="Arial" w:hAnsi="Arial"/>
          <w:color w:val="333333"/>
          <w:sz w:val="21"/>
          <w:szCs w:val="21"/>
        </w:rPr>
        <w:t xml:space="preserve">Every rule below serves one purpose: to enter as close as possible to the point where the trade is proven wrong, minimising the distance between entry and stop.</w:t>
      </w:r>
    </w:p>
    <w:p>
      <w:r>
        <w:br w:type="page"/>
      </w:r>
    </w:p>
    <w:p>
      <w:pPr>
        <w:pStyle w:val="Heading1"/>
        <w:spacing w:after="200" w:before="360"/>
      </w:pPr>
      <w:r>
        <w:rPr>
          <w:rFonts w:ascii="Arial" w:cs="Arial" w:eastAsia="Arial" w:hAnsi="Arial"/>
          <w:b/>
          <w:bCs/>
          <w:color w:val="1B3A5C"/>
          <w:sz w:val="32"/>
          <w:szCs w:val="32"/>
        </w:rPr>
        <w:t xml:space="preserve">2. Entry Type Taxonomy</w:t>
      </w:r>
    </w:p>
    <w:p>
      <w:pPr>
        <w:spacing w:after="120"/>
      </w:pPr>
      <w:r>
        <w:rPr>
          <w:rFonts w:ascii="Arial" w:cs="Arial" w:eastAsia="Arial" w:hAnsi="Arial"/>
          <w:b w:val="false"/>
          <w:bCs w:val="false"/>
          <w:i w:val="false"/>
          <w:iCs w:val="false"/>
          <w:color w:val="333333"/>
          <w:sz w:val="21"/>
          <w:szCs w:val="21"/>
        </w:rPr>
        <w:t xml:space="preserve">Not all entries are equal. The signal engine will classify each opportunity into one of five entry types, each with its own execution playbook.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Entry Type</w:t>
            </w:r>
          </w:p>
        </w:tc>
        <w:tc>
          <w:tcPr>
            <w:tcW w:type="dxa" w:w="34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34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Key Trigger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1"/>
                <w:szCs w:val="21"/>
              </w:rPr>
              <w:t xml:space="preserve">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VCP Breakout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Price closes above pivot on volume 40%+ above 50-day average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1"/>
                <w:szCs w:val="21"/>
              </w:rPr>
              <w:t xml:space="preserve">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First Pullback to EMA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First touch of the 10 or 20 EMA after a clean breakout or gap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1"/>
                <w:szCs w:val="21"/>
              </w:rPr>
              <w:t xml:space="preserve">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Buyable Gap Up (BGU)</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Gap up from a proper base on earnings or catalyst, volume 2x+ average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1"/>
                <w:szCs w:val="21"/>
              </w:rPr>
              <w:t xml:space="preserv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Pocket Pivot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Up-day volume exceeds highest down-day volume of prior 10 sessions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1"/>
                <w:szCs w:val="21"/>
              </w:rPr>
              <w:t xml:space="preserve">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Secondary Reaction Re-Entry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Livermore-style pullback to a prior pivotal point that holds on declining volume</w:t>
            </w:r>
          </w:p>
        </w:tc>
      </w:tr>
    </w:tbl>
    <w:p>
      <w:r>
        <w:br w:type="page"/>
      </w:r>
    </w:p>
    <w:p>
      <w:pPr>
        <w:pStyle w:val="Heading1"/>
        <w:spacing w:after="200" w:before="360"/>
      </w:pPr>
      <w:r>
        <w:rPr>
          <w:rFonts w:ascii="Arial" w:cs="Arial" w:eastAsia="Arial" w:hAnsi="Arial"/>
          <w:b/>
          <w:bCs/>
          <w:color w:val="1B3A5C"/>
          <w:sz w:val="32"/>
          <w:szCs w:val="32"/>
        </w:rPr>
        <w:t xml:space="preserve">3. The Master Entry Rules</w:t>
      </w:r>
    </w:p>
    <w:p>
      <w:pPr>
        <w:spacing w:after="120"/>
      </w:pPr>
      <w:r>
        <w:rPr>
          <w:rFonts w:ascii="Arial" w:cs="Arial" w:eastAsia="Arial" w:hAnsi="Arial"/>
          <w:b w:val="false"/>
          <w:bCs w:val="false"/>
          <w:i w:val="false"/>
          <w:iCs w:val="false"/>
          <w:color w:val="333333"/>
          <w:sz w:val="21"/>
          <w:szCs w:val="21"/>
        </w:rPr>
        <w:t xml:space="preserve">These 12 rules form the refinement layer. Every trade must satisfy the applicable subset before execution. Rules are grouped by phase: Pre-Entry Qualification, Execution Mechanics, and Gap-Specific Handling.</w:t>
      </w:r>
    </w:p>
    <w:p>
      <w:pPr>
        <w:pStyle w:val="Heading2"/>
        <w:spacing w:after="160" w:before="280"/>
      </w:pPr>
      <w:r>
        <w:rPr>
          <w:rFonts w:ascii="Arial" w:cs="Arial" w:eastAsia="Arial" w:hAnsi="Arial"/>
          <w:b/>
          <w:bCs/>
          <w:color w:val="2E75B6"/>
          <w:sz w:val="26"/>
          <w:szCs w:val="26"/>
        </w:rPr>
        <w:t xml:space="preserve">3.1 Pre-Entry Qualification</w:t>
      </w:r>
    </w:p>
    <w:p>
      <w:pPr>
        <w:spacing w:after="120" w:before="200"/>
      </w:pPr>
      <w:r>
        <w:rPr>
          <w:rFonts w:ascii="Arial" w:cs="Arial" w:eastAsia="Arial" w:hAnsi="Arial"/>
          <w:b/>
          <w:bCs/>
          <w:color w:val="333333"/>
          <w:sz w:val="22"/>
          <w:szCs w:val="22"/>
        </w:rPr>
        <w:t xml:space="preserve">Rule 1: Trend Template Confirmation (Minervini)</w:t>
      </w:r>
    </w:p>
    <w:p>
      <w:pPr>
        <w:spacing w:after="120"/>
      </w:pPr>
      <w:r>
        <w:rPr>
          <w:rFonts w:ascii="Arial" w:cs="Arial" w:eastAsia="Arial" w:hAnsi="Arial"/>
          <w:b w:val="false"/>
          <w:bCs w:val="false"/>
          <w:i w:val="false"/>
          <w:iCs w:val="false"/>
          <w:color w:val="333333"/>
          <w:sz w:val="21"/>
          <w:szCs w:val="21"/>
        </w:rPr>
        <w:t xml:space="preserve">Before any entry is considered, the stock must pass all eight criteria of Minervini’s Trend Template:</w:t>
      </w:r>
    </w:p>
    <w:p>
      <w:pPr>
        <w:pStyle w:val="ListParagraph"/>
        <w:numPr>
          <w:ilvl w:val="0"/>
          <w:numId w:val="2"/>
        </w:numPr>
        <w:spacing w:after="80"/>
      </w:pPr>
      <w:r>
        <w:rPr>
          <w:rFonts w:ascii="Arial" w:cs="Arial" w:eastAsia="Arial" w:hAnsi="Arial"/>
          <w:color w:val="333333"/>
          <w:sz w:val="21"/>
          <w:szCs w:val="21"/>
        </w:rPr>
        <w:t xml:space="preserve">Price is above the 150-day and 200-day moving averages</w:t>
      </w:r>
    </w:p>
    <w:p>
      <w:pPr>
        <w:pStyle w:val="ListParagraph"/>
        <w:numPr>
          <w:ilvl w:val="0"/>
          <w:numId w:val="2"/>
        </w:numPr>
        <w:spacing w:after="80"/>
      </w:pPr>
      <w:r>
        <w:rPr>
          <w:rFonts w:ascii="Arial" w:cs="Arial" w:eastAsia="Arial" w:hAnsi="Arial"/>
          <w:color w:val="333333"/>
          <w:sz w:val="21"/>
          <w:szCs w:val="21"/>
        </w:rPr>
        <w:t xml:space="preserve">The 150-day MA is above the 200-day MA</w:t>
      </w:r>
    </w:p>
    <w:p>
      <w:pPr>
        <w:pStyle w:val="ListParagraph"/>
        <w:numPr>
          <w:ilvl w:val="0"/>
          <w:numId w:val="2"/>
        </w:numPr>
        <w:spacing w:after="80"/>
      </w:pPr>
      <w:r>
        <w:rPr>
          <w:rFonts w:ascii="Arial" w:cs="Arial" w:eastAsia="Arial" w:hAnsi="Arial"/>
          <w:color w:val="333333"/>
          <w:sz w:val="21"/>
          <w:szCs w:val="21"/>
        </w:rPr>
        <w:t xml:space="preserve">The 200-day MA has been trending up for at least one month</w:t>
      </w:r>
    </w:p>
    <w:p>
      <w:pPr>
        <w:pStyle w:val="ListParagraph"/>
        <w:numPr>
          <w:ilvl w:val="0"/>
          <w:numId w:val="2"/>
        </w:numPr>
        <w:spacing w:after="80"/>
      </w:pPr>
      <w:r>
        <w:rPr>
          <w:rFonts w:ascii="Arial" w:cs="Arial" w:eastAsia="Arial" w:hAnsi="Arial"/>
          <w:color w:val="333333"/>
          <w:sz w:val="21"/>
          <w:szCs w:val="21"/>
        </w:rPr>
        <w:t xml:space="preserve">The 50-day MA is above the 150-day and 200-day MAs</w:t>
      </w:r>
    </w:p>
    <w:p>
      <w:pPr>
        <w:pStyle w:val="ListParagraph"/>
        <w:numPr>
          <w:ilvl w:val="0"/>
          <w:numId w:val="2"/>
        </w:numPr>
        <w:spacing w:after="80"/>
      </w:pPr>
      <w:r>
        <w:rPr>
          <w:rFonts w:ascii="Arial" w:cs="Arial" w:eastAsia="Arial" w:hAnsi="Arial"/>
          <w:color w:val="333333"/>
          <w:sz w:val="21"/>
          <w:szCs w:val="21"/>
        </w:rPr>
        <w:t xml:space="preserve">Price is above the 50-day MA</w:t>
      </w:r>
    </w:p>
    <w:p>
      <w:pPr>
        <w:pStyle w:val="ListParagraph"/>
        <w:numPr>
          <w:ilvl w:val="0"/>
          <w:numId w:val="2"/>
        </w:numPr>
        <w:spacing w:after="80"/>
      </w:pPr>
      <w:r>
        <w:rPr>
          <w:rFonts w:ascii="Arial" w:cs="Arial" w:eastAsia="Arial" w:hAnsi="Arial"/>
          <w:color w:val="333333"/>
          <w:sz w:val="21"/>
          <w:szCs w:val="21"/>
        </w:rPr>
        <w:t xml:space="preserve">Price is at least 25% above the 52-week low</w:t>
      </w:r>
    </w:p>
    <w:p>
      <w:pPr>
        <w:pStyle w:val="ListParagraph"/>
        <w:numPr>
          <w:ilvl w:val="0"/>
          <w:numId w:val="2"/>
        </w:numPr>
        <w:spacing w:after="80"/>
      </w:pPr>
      <w:r>
        <w:rPr>
          <w:rFonts w:ascii="Arial" w:cs="Arial" w:eastAsia="Arial" w:hAnsi="Arial"/>
          <w:color w:val="333333"/>
          <w:sz w:val="21"/>
          <w:szCs w:val="21"/>
        </w:rPr>
        <w:t xml:space="preserve">Price is within 25% of the 52-week high</w:t>
      </w:r>
    </w:p>
    <w:p>
      <w:pPr>
        <w:pStyle w:val="ListParagraph"/>
        <w:numPr>
          <w:ilvl w:val="0"/>
          <w:numId w:val="2"/>
        </w:numPr>
        <w:spacing w:after="80"/>
      </w:pPr>
      <w:r>
        <w:rPr>
          <w:rFonts w:ascii="Arial" w:cs="Arial" w:eastAsia="Arial" w:hAnsi="Arial"/>
          <w:color w:val="333333"/>
          <w:sz w:val="21"/>
          <w:szCs w:val="21"/>
        </w:rPr>
        <w:t xml:space="preserve">Relative Strength rating is 70 or above (IBD-style, or equivalent percentile rank)</w:t>
      </w:r>
    </w:p>
    <w:p>
      <w:pPr>
        <w:spacing w:after="120"/>
      </w:pPr>
      <w:r>
        <w:rPr>
          <w:rFonts w:ascii="Arial" w:cs="Arial" w:eastAsia="Arial" w:hAnsi="Arial"/>
          <w:b/>
          <w:bCs/>
          <w:color w:val="333333"/>
          <w:sz w:val="21"/>
          <w:szCs w:val="21"/>
        </w:rPr>
        <w:t xml:space="preserve">Automation: </w:t>
      </w:r>
      <w:r>
        <w:rPr>
          <w:rFonts w:ascii="Arial" w:cs="Arial" w:eastAsia="Arial" w:hAnsi="Arial"/>
          <w:color w:val="333333"/>
          <w:sz w:val="21"/>
          <w:szCs w:val="21"/>
        </w:rPr>
        <w:t xml:space="preserve">The signal engine must validate all eight conditions. If any fail, the signal is suppressed entirely.</w:t>
      </w:r>
    </w:p>
    <w:p>
      <w:pPr>
        <w:spacing w:after="120" w:before="200"/>
      </w:pPr>
      <w:r>
        <w:rPr>
          <w:rFonts w:ascii="Arial" w:cs="Arial" w:eastAsia="Arial" w:hAnsi="Arial"/>
          <w:b/>
          <w:bCs/>
          <w:color w:val="333333"/>
          <w:sz w:val="22"/>
          <w:szCs w:val="22"/>
        </w:rPr>
        <w:t xml:space="preserve">Rule 2: ADX Trend Strength Filter (Raschke)</w:t>
      </w:r>
    </w:p>
    <w:p>
      <w:pPr>
        <w:spacing w:after="120"/>
      </w:pPr>
      <w:r>
        <w:rPr>
          <w:rFonts w:ascii="Arial" w:cs="Arial" w:eastAsia="Arial" w:hAnsi="Arial"/>
          <w:b w:val="false"/>
          <w:bCs w:val="false"/>
          <w:i w:val="false"/>
          <w:iCs w:val="false"/>
          <w:color w:val="333333"/>
          <w:sz w:val="21"/>
          <w:szCs w:val="21"/>
        </w:rPr>
        <w:t xml:space="preserve">The 14-period ADX must be above 25 at the time of signal generation. If ADX was above 30 but falls below 25 during the pullback/consolidation phase, the entry is invalidated. This confirms we are trading within a genuine trend, not a range.</w:t>
      </w:r>
    </w:p>
    <w:p>
      <w:pPr>
        <w:spacing w:after="120" w:before="200"/>
      </w:pPr>
      <w:r>
        <w:rPr>
          <w:rFonts w:ascii="Arial" w:cs="Arial" w:eastAsia="Arial" w:hAnsi="Arial"/>
          <w:b/>
          <w:bCs/>
          <w:color w:val="333333"/>
          <w:sz w:val="22"/>
          <w:szCs w:val="22"/>
        </w:rPr>
        <w:t xml:space="preserve">Rule 3: Volume Dry-Up in the Base (O’Neil / Minervini)</w:t>
      </w:r>
    </w:p>
    <w:p>
      <w:pPr>
        <w:spacing w:after="120"/>
      </w:pPr>
      <w:r>
        <w:rPr>
          <w:rFonts w:ascii="Arial" w:cs="Arial" w:eastAsia="Arial" w:hAnsi="Arial"/>
          <w:b w:val="false"/>
          <w:bCs w:val="false"/>
          <w:i w:val="false"/>
          <w:iCs w:val="false"/>
          <w:color w:val="333333"/>
          <w:sz w:val="21"/>
          <w:szCs w:val="21"/>
        </w:rPr>
        <w:t xml:space="preserve">During the consolidation or pullback phase preceding the entry, volume must contract to at least 40% below the 50-day average on at least two of the last five sessions. This is the footprint of institutional holders sitting tight — supply has dried up, and the stock is coiled for a move.</w:t>
      </w:r>
    </w:p>
    <w:p>
      <w:pPr>
        <w:pStyle w:val="Heading2"/>
        <w:spacing w:after="160" w:before="280"/>
      </w:pPr>
      <w:r>
        <w:rPr>
          <w:rFonts w:ascii="Arial" w:cs="Arial" w:eastAsia="Arial" w:hAnsi="Arial"/>
          <w:b/>
          <w:bCs/>
          <w:color w:val="2E75B6"/>
          <w:sz w:val="26"/>
          <w:szCs w:val="26"/>
        </w:rPr>
        <w:t xml:space="preserve">3.2 Execution Mechanics</w:t>
      </w:r>
    </w:p>
    <w:p>
      <w:pPr>
        <w:spacing w:after="120" w:before="200"/>
      </w:pPr>
      <w:r>
        <w:rPr>
          <w:rFonts w:ascii="Arial" w:cs="Arial" w:eastAsia="Arial" w:hAnsi="Arial"/>
          <w:b/>
          <w:bCs/>
          <w:color w:val="333333"/>
          <w:sz w:val="22"/>
          <w:szCs w:val="22"/>
        </w:rPr>
        <w:t xml:space="preserve">Rule 4: The Pivot Buy Point (Minervini / O’Neil)</w:t>
      </w:r>
    </w:p>
    <w:p>
      <w:pPr>
        <w:spacing w:after="120"/>
      </w:pPr>
      <w:r>
        <w:rPr>
          <w:rFonts w:ascii="Arial" w:cs="Arial" w:eastAsia="Arial" w:hAnsi="Arial"/>
          <w:b w:val="false"/>
          <w:bCs w:val="false"/>
          <w:i w:val="false"/>
          <w:iCs w:val="false"/>
          <w:color w:val="333333"/>
          <w:sz w:val="21"/>
          <w:szCs w:val="21"/>
        </w:rPr>
        <w:t xml:space="preserve">The pivot buy point is the highest price in the last, tightest contraction of the VCP or base pattern. Entry is triggered when the stock trades one penny (or one pence on LSE) above the pivot. Use a buy-stop order placed 1–2% above the pivot to automate this.</w:t>
      </w:r>
    </w:p>
    <w:p>
      <w:pPr>
        <w:spacing w:after="120"/>
      </w:pPr>
      <w:r>
        <w:rPr>
          <w:rFonts w:ascii="Arial" w:cs="Arial" w:eastAsia="Arial" w:hAnsi="Arial"/>
          <w:b/>
          <w:bCs/>
          <w:color w:val="333333"/>
          <w:sz w:val="21"/>
          <w:szCs w:val="21"/>
        </w:rPr>
        <w:t xml:space="preserve">Critical: </w:t>
      </w:r>
      <w:r>
        <w:rPr>
          <w:rFonts w:ascii="Arial" w:cs="Arial" w:eastAsia="Arial" w:hAnsi="Arial"/>
          <w:color w:val="333333"/>
          <w:sz w:val="21"/>
          <w:szCs w:val="21"/>
        </w:rPr>
        <w:t xml:space="preserve">Do not chase. If the stock opens more than 3% above the pivot without a proper gap classification (see Section 3.3), skip the entry and wait for a pullback.</w:t>
      </w:r>
    </w:p>
    <w:p>
      <w:pPr>
        <w:spacing w:after="120" w:before="200"/>
      </w:pPr>
      <w:r>
        <w:rPr>
          <w:rFonts w:ascii="Arial" w:cs="Arial" w:eastAsia="Arial" w:hAnsi="Arial"/>
          <w:b/>
          <w:bCs/>
          <w:color w:val="333333"/>
          <w:sz w:val="22"/>
          <w:szCs w:val="22"/>
        </w:rPr>
        <w:t xml:space="preserve">Rule 5: Volume Confirmation on the Breakout</w:t>
      </w:r>
    </w:p>
    <w:p>
      <w:pPr>
        <w:spacing w:after="120"/>
      </w:pPr>
      <w:r>
        <w:rPr>
          <w:rFonts w:ascii="Arial" w:cs="Arial" w:eastAsia="Arial" w:hAnsi="Arial"/>
          <w:b w:val="false"/>
          <w:bCs w:val="false"/>
          <w:i w:val="false"/>
          <w:iCs w:val="false"/>
          <w:color w:val="333333"/>
          <w:sz w:val="21"/>
          <w:szCs w:val="21"/>
        </w:rPr>
        <w:t xml:space="preserve">The breakout session must show volume at least 40–50% above the 50-day average. If volume is below this threshold by the midpoint of the session (11:30 AM ET for US, 12:15 PM GMT for UK), reduce the position to a half-size pilot and re-evaluate at the close.</w:t>
      </w:r>
    </w:p>
    <w:p>
      <w:pPr>
        <w:spacing w:after="120" w:before="200"/>
      </w:pPr>
      <w:r>
        <w:rPr>
          <w:rFonts w:ascii="Arial" w:cs="Arial" w:eastAsia="Arial" w:hAnsi="Arial"/>
          <w:b/>
          <w:bCs/>
          <w:color w:val="333333"/>
          <w:sz w:val="22"/>
          <w:szCs w:val="22"/>
        </w:rPr>
        <w:t xml:space="preserve">Rule 6: The First Pullback Entry (Raschke / Livermore)</w:t>
      </w:r>
    </w:p>
    <w:p>
      <w:pPr>
        <w:spacing w:after="120"/>
      </w:pPr>
      <w:r>
        <w:rPr>
          <w:rFonts w:ascii="Arial" w:cs="Arial" w:eastAsia="Arial" w:hAnsi="Arial"/>
          <w:b w:val="false"/>
          <w:bCs w:val="false"/>
          <w:i w:val="false"/>
          <w:iCs w:val="false"/>
          <w:color w:val="333333"/>
          <w:sz w:val="21"/>
          <w:szCs w:val="21"/>
        </w:rPr>
        <w:t xml:space="preserve">When a breakout has already occurred and we missed the pivot, the first pullback to the 10-day or 20-day EMA becomes the secondary entry. Conditions:</w:t>
      </w:r>
    </w:p>
    <w:p>
      <w:pPr>
        <w:pStyle w:val="ListParagraph"/>
        <w:numPr>
          <w:ilvl w:val="0"/>
          <w:numId w:val="2"/>
        </w:numPr>
        <w:spacing w:after="80"/>
      </w:pPr>
      <w:r>
        <w:rPr>
          <w:rFonts w:ascii="Arial" w:cs="Arial" w:eastAsia="Arial" w:hAnsi="Arial"/>
          <w:color w:val="333333"/>
          <w:sz w:val="21"/>
          <w:szCs w:val="21"/>
        </w:rPr>
        <w:t xml:space="preserve">The pullback must be the first touch of the EMA since the breakout (not the second or third)</w:t>
      </w:r>
    </w:p>
    <w:p>
      <w:pPr>
        <w:pStyle w:val="ListParagraph"/>
        <w:numPr>
          <w:ilvl w:val="0"/>
          <w:numId w:val="2"/>
        </w:numPr>
        <w:spacing w:after="80"/>
      </w:pPr>
      <w:r>
        <w:rPr>
          <w:rFonts w:ascii="Arial" w:cs="Arial" w:eastAsia="Arial" w:hAnsi="Arial"/>
          <w:color w:val="333333"/>
          <w:sz w:val="21"/>
          <w:szCs w:val="21"/>
        </w:rPr>
        <w:t xml:space="preserve">Volume must decline during the pullback (confirming healthy consolidation, not distribution)</w:t>
      </w:r>
    </w:p>
    <w:p>
      <w:pPr>
        <w:pStyle w:val="ListParagraph"/>
        <w:numPr>
          <w:ilvl w:val="0"/>
          <w:numId w:val="2"/>
        </w:numPr>
        <w:spacing w:after="80"/>
      </w:pPr>
      <w:r>
        <w:rPr>
          <w:rFonts w:ascii="Arial" w:cs="Arial" w:eastAsia="Arial" w:hAnsi="Arial"/>
          <w:color w:val="333333"/>
          <w:sz w:val="21"/>
          <w:szCs w:val="21"/>
        </w:rPr>
        <w:t xml:space="preserve">ADX remains above 25</w:t>
      </w:r>
    </w:p>
    <w:p>
      <w:pPr>
        <w:pStyle w:val="ListParagraph"/>
        <w:numPr>
          <w:ilvl w:val="0"/>
          <w:numId w:val="2"/>
        </w:numPr>
        <w:spacing w:after="80"/>
      </w:pPr>
      <w:r>
        <w:rPr>
          <w:rFonts w:ascii="Arial" w:cs="Arial" w:eastAsia="Arial" w:hAnsi="Arial"/>
          <w:color w:val="333333"/>
          <w:sz w:val="21"/>
          <w:szCs w:val="21"/>
        </w:rPr>
        <w:t xml:space="preserve">Entry trigger: buy-stop above the high of the first candle that touches the EMA</w:t>
      </w:r>
    </w:p>
    <w:p>
      <w:pPr>
        <w:pStyle w:val="ListParagraph"/>
        <w:numPr>
          <w:ilvl w:val="0"/>
          <w:numId w:val="2"/>
        </w:numPr>
        <w:spacing w:after="80"/>
      </w:pPr>
      <w:r>
        <w:rPr>
          <w:rFonts w:ascii="Arial" w:cs="Arial" w:eastAsia="Arial" w:hAnsi="Arial"/>
          <w:color w:val="333333"/>
          <w:sz w:val="21"/>
          <w:szCs w:val="21"/>
        </w:rPr>
        <w:t xml:space="preserve">Stop-loss: below the swing low of the pullback</w:t>
      </w:r>
    </w:p>
    <w:p>
      <w:pPr>
        <w:spacing w:after="120" w:before="200"/>
      </w:pPr>
      <w:r>
        <w:rPr>
          <w:rFonts w:ascii="Arial" w:cs="Arial" w:eastAsia="Arial" w:hAnsi="Arial"/>
          <w:b/>
          <w:bCs/>
          <w:color w:val="333333"/>
          <w:sz w:val="22"/>
          <w:szCs w:val="22"/>
        </w:rPr>
        <w:t xml:space="preserve">Rule 7: Scaling Protocol</w:t>
      </w:r>
    </w:p>
    <w:p>
      <w:pPr>
        <w:spacing w:after="120"/>
      </w:pPr>
      <w:r>
        <w:rPr>
          <w:rFonts w:ascii="Arial" w:cs="Arial" w:eastAsia="Arial" w:hAnsi="Arial"/>
          <w:b w:val="false"/>
          <w:bCs w:val="false"/>
          <w:i w:val="false"/>
          <w:iCs w:val="false"/>
          <w:color w:val="333333"/>
          <w:sz w:val="21"/>
          <w:szCs w:val="21"/>
        </w:rPr>
        <w:t xml:space="preserve">Rather than committing the full position at once, use a two-tranche approach:</w:t>
      </w:r>
    </w:p>
    <w:p>
      <w:pPr>
        <w:pStyle w:val="ListParagraph"/>
        <w:numPr>
          <w:ilvl w:val="0"/>
          <w:numId w:val="2"/>
        </w:numPr>
        <w:spacing w:after="80"/>
      </w:pPr>
      <w:r>
        <w:rPr>
          <w:rFonts w:ascii="Arial" w:cs="Arial" w:eastAsia="Arial" w:hAnsi="Arial"/>
          <w:b/>
          <w:bCs/>
          <w:color w:val="333333"/>
          <w:sz w:val="21"/>
          <w:szCs w:val="21"/>
        </w:rPr>
        <w:t xml:space="preserve">Tranche 1 (60% of position): </w:t>
      </w:r>
      <w:r>
        <w:rPr>
          <w:rFonts w:ascii="Arial" w:cs="Arial" w:eastAsia="Arial" w:hAnsi="Arial"/>
          <w:color w:val="333333"/>
          <w:sz w:val="21"/>
          <w:szCs w:val="21"/>
        </w:rPr>
        <w:t xml:space="preserve">At the pivot buy point or primary trigger</w:t>
      </w:r>
    </w:p>
    <w:p>
      <w:pPr>
        <w:pStyle w:val="ListParagraph"/>
        <w:numPr>
          <w:ilvl w:val="0"/>
          <w:numId w:val="2"/>
        </w:numPr>
        <w:spacing w:after="80"/>
      </w:pPr>
      <w:r>
        <w:rPr>
          <w:rFonts w:ascii="Arial" w:cs="Arial" w:eastAsia="Arial" w:hAnsi="Arial"/>
          <w:b/>
          <w:bCs/>
          <w:color w:val="333333"/>
          <w:sz w:val="21"/>
          <w:szCs w:val="21"/>
        </w:rPr>
        <w:t xml:space="preserve">Tranche 2 (40% of position): </w:t>
      </w:r>
      <w:r>
        <w:rPr>
          <w:rFonts w:ascii="Arial" w:cs="Arial" w:eastAsia="Arial" w:hAnsi="Arial"/>
          <w:color w:val="333333"/>
          <w:sz w:val="21"/>
          <w:szCs w:val="21"/>
        </w:rPr>
        <w:t xml:space="preserve">On follow-through confirmation — either the first pullback to the 10 EMA that holds, or a continuation breakout above the first session’s high. Add only if the first tranche is already in profit.</w:t>
      </w:r>
    </w:p>
    <w:p>
      <w:pPr>
        <w:spacing w:after="120"/>
      </w:pPr>
      <w:r>
        <w:rPr>
          <w:rFonts w:ascii="Arial" w:cs="Arial" w:eastAsia="Arial" w:hAnsi="Arial"/>
          <w:b/>
          <w:bCs/>
          <w:color w:val="333333"/>
          <w:sz w:val="21"/>
          <w:szCs w:val="21"/>
        </w:rPr>
        <w:t xml:space="preserve">Never average down. </w:t>
      </w:r>
      <w:r>
        <w:rPr>
          <w:rFonts w:ascii="Arial" w:cs="Arial" w:eastAsia="Arial" w:hAnsi="Arial"/>
          <w:color w:val="333333"/>
          <w:sz w:val="21"/>
          <w:szCs w:val="21"/>
        </w:rPr>
        <w:t xml:space="preserve">If Tranche 1 is underwater, there is no Tranche 2.</w:t>
      </w:r>
    </w:p>
    <w:p>
      <w:pPr>
        <w:spacing w:after="120" w:before="200"/>
      </w:pPr>
      <w:r>
        <w:rPr>
          <w:rFonts w:ascii="Arial" w:cs="Arial" w:eastAsia="Arial" w:hAnsi="Arial"/>
          <w:b/>
          <w:bCs/>
          <w:color w:val="333333"/>
          <w:sz w:val="22"/>
          <w:szCs w:val="22"/>
        </w:rPr>
        <w:t xml:space="preserve">Rule 8: Order Type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Scenario</w:t>
            </w:r>
          </w:p>
        </w:tc>
        <w:tc>
          <w:tcPr>
            <w:tcW w:type="dxa" w:w="326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Order Type</w:t>
            </w:r>
          </w:p>
        </w:tc>
        <w:tc>
          <w:tcPr>
            <w:tcW w:type="dxa" w:w="326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Rationale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1"/>
                <w:szCs w:val="21"/>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Standard breakout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Buy-stop limit (stop at pivot +1–2%, limit at pivot +5%). Ensures entry on momentum without chasing.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1"/>
                <w:szCs w:val="21"/>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Pullback to EMA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Limit order at the EMA level. Price is coming to us; no need to chase.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1"/>
                <w:szCs w:val="21"/>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Gap-up (see 3.3)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Limit order on the first intraday pullback, or buy-stop above the opening-range high.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1"/>
                <w:szCs w:val="21"/>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UK / illiquid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Limit orders only. Wider spreads on LSE make market orders expensive. Always check the bid-ask before entry.</w:t>
            </w:r>
          </w:p>
        </w:tc>
      </w:tr>
    </w:tbl>
    <w:p>
      <w:r>
        <w:br w:type="page"/>
      </w:r>
    </w:p>
    <w:p>
      <w:pPr>
        <w:pStyle w:val="Heading2"/>
        <w:spacing w:after="160" w:before="280"/>
      </w:pPr>
      <w:r>
        <w:rPr>
          <w:rFonts w:ascii="Arial" w:cs="Arial" w:eastAsia="Arial" w:hAnsi="Arial"/>
          <w:b/>
          <w:bCs/>
          <w:color w:val="2E75B6"/>
          <w:sz w:val="26"/>
          <w:szCs w:val="26"/>
        </w:rPr>
        <w:t xml:space="preserve">3.3 Gap-Specific Entry Rules</w:t>
      </w:r>
    </w:p>
    <w:p>
      <w:pPr>
        <w:spacing w:after="120"/>
      </w:pPr>
      <w:r>
        <w:rPr>
          <w:rFonts w:ascii="Arial" w:cs="Arial" w:eastAsia="Arial" w:hAnsi="Arial"/>
          <w:b w:val="false"/>
          <w:bCs w:val="false"/>
          <w:i w:val="false"/>
          <w:iCs w:val="false"/>
          <w:color w:val="333333"/>
          <w:sz w:val="21"/>
          <w:szCs w:val="21"/>
        </w:rPr>
        <w:t xml:space="preserve">Gaps are the primary reason wide entry ranges exist. These rules classify every gap and prescribe the precise response.</w:t>
      </w:r>
    </w:p>
    <w:p>
      <w:pPr>
        <w:spacing w:after="120" w:before="200"/>
      </w:pPr>
      <w:r>
        <w:rPr>
          <w:rFonts w:ascii="Arial" w:cs="Arial" w:eastAsia="Arial" w:hAnsi="Arial"/>
          <w:b/>
          <w:bCs/>
          <w:color w:val="333333"/>
          <w:sz w:val="22"/>
          <w:szCs w:val="22"/>
        </w:rPr>
        <w:t xml:space="preserve">Rule 9: Buyable Gap Up (BGU) Protocol</w:t>
      </w:r>
    </w:p>
    <w:p>
      <w:pPr>
        <w:spacing w:after="120"/>
      </w:pPr>
      <w:r>
        <w:rPr>
          <w:rFonts w:ascii="Arial" w:cs="Arial" w:eastAsia="Arial" w:hAnsi="Arial"/>
          <w:b w:val="false"/>
          <w:bCs w:val="false"/>
          <w:i w:val="false"/>
          <w:iCs w:val="false"/>
          <w:color w:val="333333"/>
          <w:sz w:val="21"/>
          <w:szCs w:val="21"/>
        </w:rPr>
        <w:t xml:space="preserve">A Buyable Gap Up occurs when a stock gaps above a proper base on a fundamental catalyst (earnings, guidance, sector news) with volume at least 2x the 50-day average. Execution:</w:t>
      </w:r>
    </w:p>
    <w:p>
      <w:pPr>
        <w:pStyle w:val="ListParagraph"/>
        <w:numPr>
          <w:ilvl w:val="0"/>
          <w:numId w:val="2"/>
        </w:numPr>
        <w:spacing w:after="80"/>
      </w:pPr>
      <w:r>
        <w:rPr>
          <w:rFonts w:ascii="Arial" w:cs="Arial" w:eastAsia="Arial" w:hAnsi="Arial"/>
          <w:color w:val="333333"/>
          <w:sz w:val="21"/>
          <w:szCs w:val="21"/>
        </w:rPr>
        <w:t xml:space="preserve">Classify the gap: Is it early-stage (first or second base breakout) or late-stage (third+ base)? Only buy early-stage gaps.</w:t>
      </w:r>
    </w:p>
    <w:p>
      <w:pPr>
        <w:pStyle w:val="ListParagraph"/>
        <w:numPr>
          <w:ilvl w:val="0"/>
          <w:numId w:val="2"/>
        </w:numPr>
        <w:spacing w:after="80"/>
      </w:pPr>
      <w:r>
        <w:rPr>
          <w:rFonts w:ascii="Arial" w:cs="Arial" w:eastAsia="Arial" w:hAnsi="Arial"/>
          <w:color w:val="333333"/>
          <w:sz w:val="21"/>
          <w:szCs w:val="21"/>
        </w:rPr>
        <w:t xml:space="preserve">Wait for the first 15 minutes of trading to establish an opening range (OR).</w:t>
      </w:r>
    </w:p>
    <w:p>
      <w:pPr>
        <w:pStyle w:val="ListParagraph"/>
        <w:numPr>
          <w:ilvl w:val="0"/>
          <w:numId w:val="2"/>
        </w:numPr>
        <w:spacing w:after="80"/>
      </w:pPr>
      <w:r>
        <w:rPr>
          <w:rFonts w:ascii="Arial" w:cs="Arial" w:eastAsia="Arial" w:hAnsi="Arial"/>
          <w:color w:val="333333"/>
          <w:sz w:val="21"/>
          <w:szCs w:val="21"/>
        </w:rPr>
        <w:t xml:space="preserve">Entry option A: Buy-stop above the opening-range high.</w:t>
      </w:r>
    </w:p>
    <w:p>
      <w:pPr>
        <w:pStyle w:val="ListParagraph"/>
        <w:numPr>
          <w:ilvl w:val="0"/>
          <w:numId w:val="2"/>
        </w:numPr>
        <w:spacing w:after="80"/>
      </w:pPr>
      <w:r>
        <w:rPr>
          <w:rFonts w:ascii="Arial" w:cs="Arial" w:eastAsia="Arial" w:hAnsi="Arial"/>
          <w:color w:val="333333"/>
          <w:sz w:val="21"/>
          <w:szCs w:val="21"/>
        </w:rPr>
        <w:t xml:space="preserve">Entry option B: Limit order on the first intraday pullback to the gap-up day’s open or VWAP, whichever is higher.</w:t>
      </w:r>
    </w:p>
    <w:p>
      <w:pPr>
        <w:pStyle w:val="ListParagraph"/>
        <w:numPr>
          <w:ilvl w:val="0"/>
          <w:numId w:val="2"/>
        </w:numPr>
        <w:spacing w:after="80"/>
      </w:pPr>
      <w:r>
        <w:rPr>
          <w:rFonts w:ascii="Arial" w:cs="Arial" w:eastAsia="Arial" w:hAnsi="Arial"/>
          <w:color w:val="333333"/>
          <w:sz w:val="21"/>
          <w:szCs w:val="21"/>
        </w:rPr>
        <w:t xml:space="preserve">Stop-loss: 3–4% below the low of the gap-up day. If this exceeds the standard risk budget, reduce position size accordingly.</w:t>
      </w:r>
    </w:p>
    <w:p>
      <w:pPr>
        <w:spacing w:after="120"/>
      </w:pPr>
      <w:r>
        <w:rPr>
          <w:rFonts w:ascii="Arial" w:cs="Arial" w:eastAsia="Arial" w:hAnsi="Arial"/>
          <w:b/>
          <w:bCs/>
          <w:color w:val="333333"/>
          <w:sz w:val="21"/>
          <w:szCs w:val="21"/>
        </w:rPr>
        <w:t xml:space="preserve">Late-stage gaps: </w:t>
      </w:r>
      <w:r>
        <w:rPr>
          <w:rFonts w:ascii="Arial" w:cs="Arial" w:eastAsia="Arial" w:hAnsi="Arial"/>
          <w:color w:val="333333"/>
          <w:sz w:val="21"/>
          <w:szCs w:val="21"/>
        </w:rPr>
        <w:t xml:space="preserve">These are often exhaustion gaps. Do not buy. If you are already long, consider taking partial profits.</w:t>
      </w:r>
    </w:p>
    <w:p>
      <w:pPr>
        <w:spacing w:after="120" w:before="200"/>
      </w:pPr>
      <w:r>
        <w:rPr>
          <w:rFonts w:ascii="Arial" w:cs="Arial" w:eastAsia="Arial" w:hAnsi="Arial"/>
          <w:b/>
          <w:bCs/>
          <w:color w:val="333333"/>
          <w:sz w:val="22"/>
          <w:szCs w:val="22"/>
        </w:rPr>
        <w:t xml:space="preserve">Rule 10: Gap-Down and Failed Breakout Protocol</w:t>
      </w:r>
    </w:p>
    <w:p>
      <w:pPr>
        <w:spacing w:after="120"/>
      </w:pPr>
      <w:r>
        <w:rPr>
          <w:rFonts w:ascii="Arial" w:cs="Arial" w:eastAsia="Arial" w:hAnsi="Arial"/>
          <w:b w:val="false"/>
          <w:bCs w:val="false"/>
          <w:i w:val="false"/>
          <w:iCs w:val="false"/>
          <w:color w:val="333333"/>
          <w:sz w:val="21"/>
          <w:szCs w:val="21"/>
        </w:rPr>
        <w:t xml:space="preserve">When a stock gaps down through a recent buy point:</w:t>
      </w:r>
    </w:p>
    <w:p>
      <w:pPr>
        <w:pStyle w:val="ListParagraph"/>
        <w:numPr>
          <w:ilvl w:val="0"/>
          <w:numId w:val="2"/>
        </w:numPr>
        <w:spacing w:after="80"/>
      </w:pPr>
      <w:r>
        <w:rPr>
          <w:rFonts w:ascii="Arial" w:cs="Arial" w:eastAsia="Arial" w:hAnsi="Arial"/>
          <w:color w:val="333333"/>
          <w:sz w:val="21"/>
          <w:szCs w:val="21"/>
        </w:rPr>
        <w:t xml:space="preserve">Do not attempt to catch the falling knife on the gap-down day.</w:t>
      </w:r>
    </w:p>
    <w:p>
      <w:pPr>
        <w:pStyle w:val="ListParagraph"/>
        <w:numPr>
          <w:ilvl w:val="0"/>
          <w:numId w:val="2"/>
        </w:numPr>
        <w:spacing w:after="80"/>
      </w:pPr>
      <w:r>
        <w:rPr>
          <w:rFonts w:ascii="Arial" w:cs="Arial" w:eastAsia="Arial" w:hAnsi="Arial"/>
          <w:color w:val="333333"/>
          <w:sz w:val="21"/>
          <w:szCs w:val="21"/>
        </w:rPr>
        <w:t xml:space="preserve">Monitor for a reversal: if the stock reclaims the prior pivot level within three sessions on above-average volume, it may be re-entered.</w:t>
      </w:r>
    </w:p>
    <w:p>
      <w:pPr>
        <w:pStyle w:val="ListParagraph"/>
        <w:numPr>
          <w:ilvl w:val="0"/>
          <w:numId w:val="2"/>
        </w:numPr>
        <w:spacing w:after="80"/>
      </w:pPr>
      <w:r>
        <w:rPr>
          <w:rFonts w:ascii="Arial" w:cs="Arial" w:eastAsia="Arial" w:hAnsi="Arial"/>
          <w:color w:val="333333"/>
          <w:sz w:val="21"/>
          <w:szCs w:val="21"/>
        </w:rPr>
        <w:t xml:space="preserve">The new stop is placed below the gap-down day’s low.</w:t>
      </w:r>
    </w:p>
    <w:p>
      <w:pPr>
        <w:pStyle w:val="ListParagraph"/>
        <w:numPr>
          <w:ilvl w:val="0"/>
          <w:numId w:val="2"/>
        </w:numPr>
        <w:spacing w:after="80"/>
      </w:pPr>
      <w:r>
        <w:rPr>
          <w:rFonts w:ascii="Arial" w:cs="Arial" w:eastAsia="Arial" w:hAnsi="Arial"/>
          <w:color w:val="333333"/>
          <w:sz w:val="21"/>
          <w:szCs w:val="21"/>
        </w:rPr>
        <w:t xml:space="preserve">If the stock does not reclaim within three sessions, remove it from the active watchlist for two weeks.</w:t>
      </w:r>
    </w:p>
    <w:p>
      <w:pPr>
        <w:spacing w:after="120" w:before="200"/>
      </w:pPr>
      <w:r>
        <w:rPr>
          <w:rFonts w:ascii="Arial" w:cs="Arial" w:eastAsia="Arial" w:hAnsi="Arial"/>
          <w:b/>
          <w:bCs/>
          <w:color w:val="333333"/>
          <w:sz w:val="22"/>
          <w:szCs w:val="22"/>
        </w:rPr>
        <w:t xml:space="preserve">Rule 11: Overnight Gap Risk Management</w:t>
      </w:r>
    </w:p>
    <w:p>
      <w:pPr>
        <w:spacing w:after="120"/>
      </w:pPr>
      <w:r>
        <w:rPr>
          <w:rFonts w:ascii="Arial" w:cs="Arial" w:eastAsia="Arial" w:hAnsi="Arial"/>
          <w:b w:val="false"/>
          <w:bCs w:val="false"/>
          <w:i w:val="false"/>
          <w:iCs w:val="false"/>
          <w:color w:val="333333"/>
          <w:sz w:val="21"/>
          <w:szCs w:val="21"/>
        </w:rPr>
        <w:t xml:space="preserve">To minimise gap risk on open positions:</w:t>
      </w:r>
    </w:p>
    <w:p>
      <w:pPr>
        <w:pStyle w:val="ListParagraph"/>
        <w:numPr>
          <w:ilvl w:val="0"/>
          <w:numId w:val="2"/>
        </w:numPr>
        <w:spacing w:after="80"/>
      </w:pPr>
      <w:r>
        <w:rPr>
          <w:rFonts w:ascii="Arial" w:cs="Arial" w:eastAsia="Arial" w:hAnsi="Arial"/>
          <w:color w:val="333333"/>
          <w:sz w:val="21"/>
          <w:szCs w:val="21"/>
        </w:rPr>
        <w:t xml:space="preserve">Never hold through earnings announcements. Exit the day before the report.</w:t>
      </w:r>
    </w:p>
    <w:p>
      <w:pPr>
        <w:pStyle w:val="ListParagraph"/>
        <w:numPr>
          <w:ilvl w:val="0"/>
          <w:numId w:val="2"/>
        </w:numPr>
        <w:spacing w:after="80"/>
      </w:pPr>
      <w:r>
        <w:rPr>
          <w:rFonts w:ascii="Arial" w:cs="Arial" w:eastAsia="Arial" w:hAnsi="Arial"/>
          <w:color w:val="333333"/>
          <w:sz w:val="21"/>
          <w:szCs w:val="21"/>
        </w:rPr>
        <w:t xml:space="preserve">If a position is at risk of a binary catalyst (FDA decision, legal ruling, etc.), reduce to half-size or exit entirely.</w:t>
      </w:r>
    </w:p>
    <w:p>
      <w:pPr>
        <w:pStyle w:val="ListParagraph"/>
        <w:numPr>
          <w:ilvl w:val="0"/>
          <w:numId w:val="2"/>
        </w:numPr>
        <w:spacing w:after="80"/>
      </w:pPr>
      <w:r>
        <w:rPr>
          <w:rFonts w:ascii="Arial" w:cs="Arial" w:eastAsia="Arial" w:hAnsi="Arial"/>
          <w:color w:val="333333"/>
          <w:sz w:val="21"/>
          <w:szCs w:val="21"/>
        </w:rPr>
        <w:t xml:space="preserve">Position size must be calculated so that a worst-case 10% overnight gap results in no more than a 1% portfolio loss.</w:t>
      </w:r>
    </w:p>
    <w:p>
      <w:r>
        <w:br w:type="page"/>
      </w:r>
    </w:p>
    <w:p>
      <w:pPr>
        <w:pStyle w:val="Heading1"/>
        <w:spacing w:after="200" w:before="360"/>
      </w:pPr>
      <w:r>
        <w:rPr>
          <w:rFonts w:ascii="Arial" w:cs="Arial" w:eastAsia="Arial" w:hAnsi="Arial"/>
          <w:b/>
          <w:bCs/>
          <w:color w:val="1B3A5C"/>
          <w:sz w:val="32"/>
          <w:szCs w:val="32"/>
        </w:rPr>
        <w:t xml:space="preserve">4. UK-Specific Considerations (LSE)</w:t>
      </w:r>
    </w:p>
    <w:p>
      <w:pPr>
        <w:spacing w:after="120"/>
      </w:pPr>
      <w:r>
        <w:rPr>
          <w:rFonts w:ascii="Arial" w:cs="Arial" w:eastAsia="Arial" w:hAnsi="Arial"/>
          <w:b w:val="false"/>
          <w:bCs w:val="false"/>
          <w:i w:val="false"/>
          <w:iCs w:val="false"/>
          <w:color w:val="333333"/>
          <w:sz w:val="21"/>
          <w:szCs w:val="21"/>
        </w:rPr>
        <w:t xml:space="preserve">The US rules above apply to UK equities with the following adjustments:</w:t>
      </w:r>
    </w:p>
    <w:p>
      <w:pPr>
        <w:spacing w:after="120" w:before="200"/>
      </w:pPr>
      <w:r>
        <w:rPr>
          <w:rFonts w:ascii="Arial" w:cs="Arial" w:eastAsia="Arial" w:hAnsi="Arial"/>
          <w:b/>
          <w:bCs/>
          <w:color w:val="333333"/>
          <w:sz w:val="22"/>
          <w:szCs w:val="22"/>
        </w:rPr>
        <w:t xml:space="preserve">Rule 12: LSE Auction and Spread Rules</w:t>
      </w:r>
    </w:p>
    <w:p>
      <w:pPr>
        <w:pStyle w:val="ListParagraph"/>
        <w:numPr>
          <w:ilvl w:val="0"/>
          <w:numId w:val="2"/>
        </w:numPr>
        <w:spacing w:after="80"/>
      </w:pPr>
      <w:r>
        <w:rPr>
          <w:rFonts w:ascii="Arial" w:cs="Arial" w:eastAsia="Arial" w:hAnsi="Arial"/>
          <w:color w:val="333333"/>
          <w:sz w:val="21"/>
          <w:szCs w:val="21"/>
        </w:rPr>
        <w:t xml:space="preserve">Opening Auction: The LSE uses a call auction from 07:50–08:00 GMT. Orders are matched at a single uncrossing price. Do not place market orders into the auction. Use limit orders set at or slightly above the expected uncrossing price.</w:t>
      </w:r>
    </w:p>
    <w:p>
      <w:pPr>
        <w:pStyle w:val="ListParagraph"/>
        <w:numPr>
          <w:ilvl w:val="0"/>
          <w:numId w:val="2"/>
        </w:numPr>
        <w:spacing w:after="80"/>
      </w:pPr>
      <w:r>
        <w:rPr>
          <w:rFonts w:ascii="Arial" w:cs="Arial" w:eastAsia="Arial" w:hAnsi="Arial"/>
          <w:color w:val="333333"/>
          <w:sz w:val="21"/>
          <w:szCs w:val="21"/>
        </w:rPr>
        <w:t xml:space="preserve">Closing Auction: 16:30–16:35 GMT. This is the benchmark price for many funds. Consider whether your stop levels reference the closing auction price or continuous-trading prices.</w:t>
      </w:r>
    </w:p>
    <w:p>
      <w:pPr>
        <w:pStyle w:val="ListParagraph"/>
        <w:numPr>
          <w:ilvl w:val="0"/>
          <w:numId w:val="2"/>
        </w:numPr>
        <w:spacing w:after="80"/>
      </w:pPr>
      <w:r>
        <w:rPr>
          <w:rFonts w:ascii="Arial" w:cs="Arial" w:eastAsia="Arial" w:hAnsi="Arial"/>
          <w:color w:val="333333"/>
          <w:sz w:val="21"/>
          <w:szCs w:val="21"/>
        </w:rPr>
        <w:t xml:space="preserve">Spread Awareness: FTSE 100 stocks generally have tight spreads (2–5 basis points). FTSE 250 and AIM stocks can have spreads of 20–50+ basis points. For any stock with a spread wider than 0.3%, reduce position size by 25% to account for slippage.</w:t>
      </w:r>
    </w:p>
    <w:p>
      <w:pPr>
        <w:pStyle w:val="ListParagraph"/>
        <w:numPr>
          <w:ilvl w:val="0"/>
          <w:numId w:val="2"/>
        </w:numPr>
        <w:spacing w:after="80"/>
      </w:pPr>
      <w:r>
        <w:rPr>
          <w:rFonts w:ascii="Arial" w:cs="Arial" w:eastAsia="Arial" w:hAnsi="Arial"/>
          <w:color w:val="333333"/>
          <w:sz w:val="21"/>
          <w:szCs w:val="21"/>
        </w:rPr>
        <w:t xml:space="preserve">Volume Thresholds: UK mid-caps and small-caps often have lower absolute volume than US equivalents. Use percentage-of-average rather than absolute volume thresholds. The same 40–50% above average rule applies, but on the stock’s own baseline.</w:t>
      </w:r>
    </w:p>
    <w:p>
      <w:pPr>
        <w:pStyle w:val="ListParagraph"/>
        <w:numPr>
          <w:ilvl w:val="0"/>
          <w:numId w:val="2"/>
        </w:numPr>
        <w:spacing w:after="80"/>
      </w:pPr>
      <w:r>
        <w:rPr>
          <w:rFonts w:ascii="Arial" w:cs="Arial" w:eastAsia="Arial" w:hAnsi="Arial"/>
          <w:color w:val="333333"/>
          <w:sz w:val="21"/>
          <w:szCs w:val="21"/>
        </w:rPr>
        <w:t xml:space="preserve">Stamp Duty: UK purchases incur 0.5% SDRT. Factor this into your risk/reward calculations. It effectively raises your breakeven by 50 basis points on entry.</w:t>
      </w:r>
    </w:p>
    <w:p>
      <w:pPr>
        <w:pStyle w:val="ListParagraph"/>
        <w:numPr>
          <w:ilvl w:val="0"/>
          <w:numId w:val="2"/>
        </w:numPr>
        <w:spacing w:after="80"/>
      </w:pPr>
      <w:r>
        <w:rPr>
          <w:rFonts w:ascii="Arial" w:cs="Arial" w:eastAsia="Arial" w:hAnsi="Arial"/>
          <w:color w:val="333333"/>
          <w:sz w:val="21"/>
          <w:szCs w:val="21"/>
        </w:rPr>
        <w:t xml:space="preserve">CFDs for Short-Term Trades: For holding periods under 10 days, a CFD may be more efficient than a direct purchase, as it avoids stamp duty. This is a cost optimisation, not a leverage play — position size should remain identical.</w:t>
      </w:r>
    </w:p>
    <w:p>
      <w:r>
        <w:br w:type="page"/>
      </w:r>
    </w:p>
    <w:p>
      <w:pPr>
        <w:pStyle w:val="Heading1"/>
        <w:spacing w:after="200" w:before="360"/>
      </w:pPr>
      <w:r>
        <w:rPr>
          <w:rFonts w:ascii="Arial" w:cs="Arial" w:eastAsia="Arial" w:hAnsi="Arial"/>
          <w:b/>
          <w:bCs/>
          <w:color w:val="1B3A5C"/>
          <w:sz w:val="32"/>
          <w:szCs w:val="32"/>
        </w:rPr>
        <w:t xml:space="preserve">5. Risk Budget Integration</w:t>
      </w:r>
    </w:p>
    <w:p>
      <w:pPr>
        <w:spacing w:after="120"/>
      </w:pPr>
      <w:r>
        <w:rPr>
          <w:rFonts w:ascii="Arial" w:cs="Arial" w:eastAsia="Arial" w:hAnsi="Arial"/>
          <w:b w:val="false"/>
          <w:bCs w:val="false"/>
          <w:i w:val="false"/>
          <w:iCs w:val="false"/>
          <w:color w:val="333333"/>
          <w:sz w:val="21"/>
          <w:szCs w:val="21"/>
        </w:rPr>
        <w:t xml:space="preserve">The entry refinement rules must operate within the Trading Program’s risk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Parameter</w:t>
            </w:r>
          </w:p>
        </w:tc>
        <w:tc>
          <w:tcPr>
            <w:tcW w:type="dxa" w:w="5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Rule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1"/>
                <w:szCs w:val="21"/>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Maximum risk per trade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1% of total portfolio value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1"/>
                <w:szCs w:val="21"/>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Maximum open risk (all positions)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6% of total portfolio value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1"/>
                <w:szCs w:val="21"/>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Initial stop distance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Determined by the entry type: pivot stop for breakouts (typically 5–8%), swing-low stop for pullback entries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1"/>
                <w:szCs w:val="21"/>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Position size formula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Risk amount / (Entry price – Stop price) = Shares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1"/>
                <w:szCs w:val="21"/>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Maximum single position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10% of portfolio at cost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21"/>
                <w:szCs w:val="21"/>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Overnight gap allowance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Worst-case 10% gap = no more than 1% portfolio loss</w:t>
            </w:r>
          </w:p>
        </w:tc>
      </w:tr>
    </w:tbl>
    <w:p>
      <w:pPr>
        <w:spacing w:after="120"/>
      </w:pPr>
      <w:r>
        <w:rPr>
          <w:rFonts w:ascii="Arial" w:cs="Arial" w:eastAsia="Arial" w:hAnsi="Arial"/>
          <w:b w:val="false"/>
          <w:bCs w:val="false"/>
          <w:i w:val="false"/>
          <w:iCs w:val="false"/>
          <w:color w:val="333333"/>
          <w:sz w:val="21"/>
          <w:szCs w:val="21"/>
        </w:rPr>
        <w:t xml:space="preserve">If the stop distance required by the entry type exceeds what the 1% risk budget allows at a reasonable position size, the trade is skipped. We never widen the risk budget to fit a trade.</w:t>
      </w:r>
    </w:p>
    <w:p>
      <w:r>
        <w:br w:type="page"/>
      </w:r>
    </w:p>
    <w:p>
      <w:pPr>
        <w:pStyle w:val="Heading1"/>
        <w:spacing w:after="200" w:before="360"/>
      </w:pPr>
      <w:r>
        <w:rPr>
          <w:rFonts w:ascii="Arial" w:cs="Arial" w:eastAsia="Arial" w:hAnsi="Arial"/>
          <w:b/>
          <w:bCs/>
          <w:color w:val="1B3A5C"/>
          <w:sz w:val="32"/>
          <w:szCs w:val="32"/>
        </w:rPr>
        <w:t xml:space="preserve">6. Entry Decision Flowchart</w:t>
      </w:r>
    </w:p>
    <w:p>
      <w:pPr>
        <w:spacing w:after="120"/>
      </w:pPr>
      <w:r>
        <w:rPr>
          <w:rFonts w:ascii="Arial" w:cs="Arial" w:eastAsia="Arial" w:hAnsi="Arial"/>
          <w:b w:val="false"/>
          <w:bCs w:val="false"/>
          <w:i w:val="false"/>
          <w:iCs w:val="false"/>
          <w:color w:val="333333"/>
          <w:sz w:val="21"/>
          <w:szCs w:val="21"/>
        </w:rPr>
        <w:t xml:space="preserve">The following is the logical sequence the AI must execute for every signal:</w:t>
      </w:r>
    </w:p>
    <w:p>
      <w:pPr>
        <w:pStyle w:val="ListParagraph"/>
        <w:numPr>
          <w:ilvl w:val="0"/>
          <w:numId w:val="3"/>
        </w:numPr>
        <w:spacing w:after="80"/>
      </w:pPr>
      <w:r>
        <w:rPr>
          <w:rFonts w:ascii="Arial" w:cs="Arial" w:eastAsia="Arial" w:hAnsi="Arial"/>
          <w:color w:val="333333"/>
          <w:sz w:val="21"/>
          <w:szCs w:val="21"/>
        </w:rPr>
        <w:t xml:space="preserve">Step 1: Does the stock pass all eight Trend Template criteria? If No → REJECT.</w:t>
      </w:r>
    </w:p>
    <w:p>
      <w:pPr>
        <w:pStyle w:val="ListParagraph"/>
        <w:numPr>
          <w:ilvl w:val="0"/>
          <w:numId w:val="3"/>
        </w:numPr>
        <w:spacing w:after="80"/>
      </w:pPr>
      <w:r>
        <w:rPr>
          <w:rFonts w:ascii="Arial" w:cs="Arial" w:eastAsia="Arial" w:hAnsi="Arial"/>
          <w:color w:val="333333"/>
          <w:sz w:val="21"/>
          <w:szCs w:val="21"/>
        </w:rPr>
        <w:t xml:space="preserve">Step 2: Is ADX(14) above 25? If No → REJECT.</w:t>
      </w:r>
    </w:p>
    <w:p>
      <w:pPr>
        <w:pStyle w:val="ListParagraph"/>
        <w:numPr>
          <w:ilvl w:val="0"/>
          <w:numId w:val="3"/>
        </w:numPr>
        <w:spacing w:after="80"/>
      </w:pPr>
      <w:r>
        <w:rPr>
          <w:rFonts w:ascii="Arial" w:cs="Arial" w:eastAsia="Arial" w:hAnsi="Arial"/>
          <w:color w:val="333333"/>
          <w:sz w:val="21"/>
          <w:szCs w:val="21"/>
        </w:rPr>
        <w:t xml:space="preserve">Step 3: Has volume dried up in the base (40%+ below average on 2 of last 5 sessions)? If No → REJECT.</w:t>
      </w:r>
    </w:p>
    <w:p>
      <w:pPr>
        <w:pStyle w:val="ListParagraph"/>
        <w:numPr>
          <w:ilvl w:val="0"/>
          <w:numId w:val="3"/>
        </w:numPr>
        <w:spacing w:after="80"/>
      </w:pPr>
      <w:r>
        <w:rPr>
          <w:rFonts w:ascii="Arial" w:cs="Arial" w:eastAsia="Arial" w:hAnsi="Arial"/>
          <w:color w:val="333333"/>
          <w:sz w:val="21"/>
          <w:szCs w:val="21"/>
        </w:rPr>
        <w:t xml:space="preserve">Step 4: Classify the entry type (A through E from the taxonomy in Section 2).</w:t>
      </w:r>
    </w:p>
    <w:p>
      <w:pPr>
        <w:pStyle w:val="ListParagraph"/>
        <w:numPr>
          <w:ilvl w:val="0"/>
          <w:numId w:val="3"/>
        </w:numPr>
        <w:spacing w:after="80"/>
      </w:pPr>
      <w:r>
        <w:rPr>
          <w:rFonts w:ascii="Arial" w:cs="Arial" w:eastAsia="Arial" w:hAnsi="Arial"/>
          <w:color w:val="333333"/>
          <w:sz w:val="21"/>
          <w:szCs w:val="21"/>
        </w:rPr>
        <w:t xml:space="preserve">Step 5: Has the stock gapped? If Yes → apply Gap Rules (9, 10, or 11). If No → continue.</w:t>
      </w:r>
    </w:p>
    <w:p>
      <w:pPr>
        <w:pStyle w:val="ListParagraph"/>
        <w:numPr>
          <w:ilvl w:val="0"/>
          <w:numId w:val="3"/>
        </w:numPr>
        <w:spacing w:after="80"/>
      </w:pPr>
      <w:r>
        <w:rPr>
          <w:rFonts w:ascii="Arial" w:cs="Arial" w:eastAsia="Arial" w:hAnsi="Arial"/>
          <w:color w:val="333333"/>
          <w:sz w:val="21"/>
          <w:szCs w:val="21"/>
        </w:rPr>
        <w:t xml:space="preserve">Step 6: Calculate position size using the risk budget. If the risk budget cannot accommodate the stop distance → SKIP.</w:t>
      </w:r>
    </w:p>
    <w:p>
      <w:pPr>
        <w:pStyle w:val="ListParagraph"/>
        <w:numPr>
          <w:ilvl w:val="0"/>
          <w:numId w:val="3"/>
        </w:numPr>
        <w:spacing w:after="80"/>
      </w:pPr>
      <w:r>
        <w:rPr>
          <w:rFonts w:ascii="Arial" w:cs="Arial" w:eastAsia="Arial" w:hAnsi="Arial"/>
          <w:color w:val="333333"/>
          <w:sz w:val="21"/>
          <w:szCs w:val="21"/>
        </w:rPr>
        <w:t xml:space="preserve">Step 7: Place the appropriate order type (Rule 8). Set stop-loss immediately.</w:t>
      </w:r>
    </w:p>
    <w:p>
      <w:pPr>
        <w:pStyle w:val="ListParagraph"/>
        <w:numPr>
          <w:ilvl w:val="0"/>
          <w:numId w:val="3"/>
        </w:numPr>
        <w:spacing w:after="80"/>
      </w:pPr>
      <w:r>
        <w:rPr>
          <w:rFonts w:ascii="Arial" w:cs="Arial" w:eastAsia="Arial" w:hAnsi="Arial"/>
          <w:color w:val="333333"/>
          <w:sz w:val="21"/>
          <w:szCs w:val="21"/>
        </w:rPr>
        <w:t xml:space="preserve">Step 8: Log the entry with full metadata: entry type, pivot level, stop level, volume ratio, ADX reading, risk amount.</w:t>
      </w:r>
    </w:p>
    <w:p>
      <w:pPr>
        <w:pStyle w:val="ListParagraph"/>
        <w:numPr>
          <w:ilvl w:val="0"/>
          <w:numId w:val="3"/>
        </w:numPr>
        <w:spacing w:after="80"/>
      </w:pPr>
      <w:r>
        <w:rPr>
          <w:rFonts w:ascii="Arial" w:cs="Arial" w:eastAsia="Arial" w:hAnsi="Arial"/>
          <w:color w:val="333333"/>
          <w:sz w:val="21"/>
          <w:szCs w:val="21"/>
        </w:rPr>
        <w:t xml:space="preserve">Step 9: Monitor for Tranche 2 eligibility (Rule 7).</w:t>
      </w:r>
    </w:p>
    <w:p>
      <w:r>
        <w:br w:type="page"/>
      </w:r>
    </w:p>
    <w:p>
      <w:pPr>
        <w:pStyle w:val="Heading1"/>
        <w:spacing w:after="200" w:before="360"/>
      </w:pPr>
      <w:r>
        <w:rPr>
          <w:rFonts w:ascii="Arial" w:cs="Arial" w:eastAsia="Arial" w:hAnsi="Arial"/>
          <w:b/>
          <w:bCs/>
          <w:color w:val="1B3A5C"/>
          <w:sz w:val="32"/>
          <w:szCs w:val="32"/>
        </w:rPr>
        <w:t xml:space="preserve">7. Automation Specifications</w:t>
      </w:r>
    </w:p>
    <w:p>
      <w:pPr>
        <w:spacing w:after="120"/>
      </w:pPr>
      <w:r>
        <w:rPr>
          <w:rFonts w:ascii="Arial" w:cs="Arial" w:eastAsia="Arial" w:hAnsi="Arial"/>
          <w:b w:val="false"/>
          <w:bCs w:val="false"/>
          <w:i w:val="false"/>
          <w:iCs w:val="false"/>
          <w:color w:val="333333"/>
          <w:sz w:val="21"/>
          <w:szCs w:val="21"/>
        </w:rPr>
        <w:t xml:space="preserve">For the AI to enforce these rules, the following data inputs and logic gates are required:</w:t>
      </w:r>
    </w:p>
    <w:p>
      <w:pPr>
        <w:pStyle w:val="Heading2"/>
        <w:spacing w:after="160" w:before="280"/>
      </w:pPr>
      <w:r>
        <w:rPr>
          <w:rFonts w:ascii="Arial" w:cs="Arial" w:eastAsia="Arial" w:hAnsi="Arial"/>
          <w:b/>
          <w:bCs/>
          <w:color w:val="2E75B6"/>
          <w:sz w:val="26"/>
          <w:szCs w:val="26"/>
        </w:rPr>
        <w:t xml:space="preserve">7.1 Required Data Feeds</w:t>
      </w:r>
    </w:p>
    <w:p>
      <w:pPr>
        <w:pStyle w:val="ListParagraph"/>
        <w:numPr>
          <w:ilvl w:val="0"/>
          <w:numId w:val="2"/>
        </w:numPr>
        <w:spacing w:after="80"/>
      </w:pPr>
      <w:r>
        <w:rPr>
          <w:rFonts w:ascii="Arial" w:cs="Arial" w:eastAsia="Arial" w:hAnsi="Arial"/>
          <w:color w:val="333333"/>
          <w:sz w:val="21"/>
          <w:szCs w:val="21"/>
        </w:rPr>
        <w:t xml:space="preserve">Daily OHLCV data for all stocks in the universe (US: NYSE, NASDAQ; UK: LSE Main Market, AIM)</w:t>
      </w:r>
    </w:p>
    <w:p>
      <w:pPr>
        <w:pStyle w:val="ListParagraph"/>
        <w:numPr>
          <w:ilvl w:val="0"/>
          <w:numId w:val="2"/>
        </w:numPr>
        <w:spacing w:after="80"/>
      </w:pPr>
      <w:r>
        <w:rPr>
          <w:rFonts w:ascii="Arial" w:cs="Arial" w:eastAsia="Arial" w:hAnsi="Arial"/>
          <w:color w:val="333333"/>
          <w:sz w:val="21"/>
          <w:szCs w:val="21"/>
        </w:rPr>
        <w:t xml:space="preserve">Intraday 5-minute bars for gap classification and opening-range calculations</w:t>
      </w:r>
    </w:p>
    <w:p>
      <w:pPr>
        <w:pStyle w:val="ListParagraph"/>
        <w:numPr>
          <w:ilvl w:val="0"/>
          <w:numId w:val="2"/>
        </w:numPr>
        <w:spacing w:after="80"/>
      </w:pPr>
      <w:r>
        <w:rPr>
          <w:rFonts w:ascii="Arial" w:cs="Arial" w:eastAsia="Arial" w:hAnsi="Arial"/>
          <w:color w:val="333333"/>
          <w:sz w:val="21"/>
          <w:szCs w:val="21"/>
        </w:rPr>
        <w:t xml:space="preserve">Real-time or 15-minute delayed bid-ask spreads (critical for UK entries)</w:t>
      </w:r>
    </w:p>
    <w:p>
      <w:pPr>
        <w:pStyle w:val="ListParagraph"/>
        <w:numPr>
          <w:ilvl w:val="0"/>
          <w:numId w:val="2"/>
        </w:numPr>
        <w:spacing w:after="80"/>
      </w:pPr>
      <w:r>
        <w:rPr>
          <w:rFonts w:ascii="Arial" w:cs="Arial" w:eastAsia="Arial" w:hAnsi="Arial"/>
          <w:color w:val="333333"/>
          <w:sz w:val="21"/>
          <w:szCs w:val="21"/>
        </w:rPr>
        <w:t xml:space="preserve">Earnings calendar and catalyst calendar (FDA dates, ex-dividend dates, etc.)</w:t>
      </w:r>
    </w:p>
    <w:p>
      <w:pPr>
        <w:pStyle w:val="ListParagraph"/>
        <w:numPr>
          <w:ilvl w:val="0"/>
          <w:numId w:val="2"/>
        </w:numPr>
        <w:spacing w:after="80"/>
      </w:pPr>
      <w:r>
        <w:rPr>
          <w:rFonts w:ascii="Arial" w:cs="Arial" w:eastAsia="Arial" w:hAnsi="Arial"/>
          <w:color w:val="333333"/>
          <w:sz w:val="21"/>
          <w:szCs w:val="21"/>
        </w:rPr>
        <w:t xml:space="preserve">ADX(14) and EMA(10, 20, 50, 150, 200) pre-computed daily</w:t>
      </w:r>
    </w:p>
    <w:p>
      <w:pPr>
        <w:pStyle w:val="Heading2"/>
        <w:spacing w:after="160" w:before="280"/>
      </w:pPr>
      <w:r>
        <w:rPr>
          <w:rFonts w:ascii="Arial" w:cs="Arial" w:eastAsia="Arial" w:hAnsi="Arial"/>
          <w:b/>
          <w:bCs/>
          <w:color w:val="2E75B6"/>
          <w:sz w:val="26"/>
          <w:szCs w:val="26"/>
        </w:rPr>
        <w:t xml:space="preserve">7.2 Logic Gates (Signal → Order)</w:t>
      </w:r>
    </w:p>
    <w:p>
      <w:pPr>
        <w:spacing w:after="120"/>
      </w:pPr>
      <w:r>
        <w:rPr>
          <w:rFonts w:ascii="Arial" w:cs="Arial" w:eastAsia="Arial" w:hAnsi="Arial"/>
          <w:b w:val="false"/>
          <w:bCs w:val="false"/>
          <w:i w:val="false"/>
          <w:iCs w:val="false"/>
          <w:color w:val="333333"/>
          <w:sz w:val="21"/>
          <w:szCs w:val="21"/>
        </w:rPr>
        <w:t xml:space="preserve">Each signal from the existing engine must pass through this refinement layer before becoming an executable order. The layer operates as a series of boolean gates:</w:t>
      </w:r>
    </w:p>
    <w:p>
      <w:pPr>
        <w:pStyle w:val="ListParagraph"/>
        <w:numPr>
          <w:ilvl w:val="0"/>
          <w:numId w:val="2"/>
        </w:numPr>
        <w:spacing w:after="80"/>
      </w:pPr>
      <w:r>
        <w:rPr>
          <w:rFonts w:ascii="Arial" w:cs="Arial" w:eastAsia="Arial" w:hAnsi="Arial"/>
          <w:color w:val="333333"/>
          <w:sz w:val="21"/>
          <w:szCs w:val="21"/>
        </w:rPr>
        <w:t xml:space="preserve">Gate 1: Trend Template (8 sub-conditions, all must be TRUE)</w:t>
      </w:r>
    </w:p>
    <w:p>
      <w:pPr>
        <w:pStyle w:val="ListParagraph"/>
        <w:numPr>
          <w:ilvl w:val="0"/>
          <w:numId w:val="2"/>
        </w:numPr>
        <w:spacing w:after="80"/>
      </w:pPr>
      <w:r>
        <w:rPr>
          <w:rFonts w:ascii="Arial" w:cs="Arial" w:eastAsia="Arial" w:hAnsi="Arial"/>
          <w:color w:val="333333"/>
          <w:sz w:val="21"/>
          <w:szCs w:val="21"/>
        </w:rPr>
        <w:t xml:space="preserve">Gate 2: ADX &gt; 25</w:t>
      </w:r>
    </w:p>
    <w:p>
      <w:pPr>
        <w:pStyle w:val="ListParagraph"/>
        <w:numPr>
          <w:ilvl w:val="0"/>
          <w:numId w:val="2"/>
        </w:numPr>
        <w:spacing w:after="80"/>
      </w:pPr>
      <w:r>
        <w:rPr>
          <w:rFonts w:ascii="Arial" w:cs="Arial" w:eastAsia="Arial" w:hAnsi="Arial"/>
          <w:color w:val="333333"/>
          <w:sz w:val="21"/>
          <w:szCs w:val="21"/>
        </w:rPr>
        <w:t xml:space="preserve">Gate 3: Volume dry-up confirmed</w:t>
      </w:r>
    </w:p>
    <w:p>
      <w:pPr>
        <w:pStyle w:val="ListParagraph"/>
        <w:numPr>
          <w:ilvl w:val="0"/>
          <w:numId w:val="2"/>
        </w:numPr>
        <w:spacing w:after="80"/>
      </w:pPr>
      <w:r>
        <w:rPr>
          <w:rFonts w:ascii="Arial" w:cs="Arial" w:eastAsia="Arial" w:hAnsi="Arial"/>
          <w:color w:val="333333"/>
          <w:sz w:val="21"/>
          <w:szCs w:val="21"/>
        </w:rPr>
        <w:t xml:space="preserve">Gate 4: Entry type classified and gap rules applied</w:t>
      </w:r>
    </w:p>
    <w:p>
      <w:pPr>
        <w:pStyle w:val="ListParagraph"/>
        <w:numPr>
          <w:ilvl w:val="0"/>
          <w:numId w:val="2"/>
        </w:numPr>
        <w:spacing w:after="80"/>
      </w:pPr>
      <w:r>
        <w:rPr>
          <w:rFonts w:ascii="Arial" w:cs="Arial" w:eastAsia="Arial" w:hAnsi="Arial"/>
          <w:color w:val="333333"/>
          <w:sz w:val="21"/>
          <w:szCs w:val="21"/>
        </w:rPr>
        <w:t xml:space="preserve">Gate 5: Risk budget validated (position size calculated, stop set, total open risk checked)</w:t>
      </w:r>
    </w:p>
    <w:p>
      <w:pPr>
        <w:spacing w:after="120"/>
      </w:pPr>
      <w:r>
        <w:rPr>
          <w:rFonts w:ascii="Arial" w:cs="Arial" w:eastAsia="Arial" w:hAnsi="Arial"/>
          <w:b w:val="false"/>
          <w:bCs w:val="false"/>
          <w:i w:val="false"/>
          <w:iCs w:val="false"/>
          <w:color w:val="333333"/>
          <w:sz w:val="21"/>
          <w:szCs w:val="21"/>
        </w:rPr>
        <w:t xml:space="preserve">Only when all five gates return TRUE does the system generate an order. The order type and parameters are determined by the entry type and order selection table (Rule 8).</w:t>
      </w:r>
    </w:p>
    <w:p>
      <w:pPr>
        <w:pStyle w:val="Heading2"/>
        <w:spacing w:after="160" w:before="280"/>
      </w:pPr>
      <w:r>
        <w:rPr>
          <w:rFonts w:ascii="Arial" w:cs="Arial" w:eastAsia="Arial" w:hAnsi="Arial"/>
          <w:b/>
          <w:bCs/>
          <w:color w:val="2E75B6"/>
          <w:sz w:val="26"/>
          <w:szCs w:val="26"/>
        </w:rPr>
        <w:t xml:space="preserve">7.3 Logging and Audit Trail</w:t>
      </w:r>
    </w:p>
    <w:p>
      <w:pPr>
        <w:spacing w:after="120"/>
      </w:pPr>
      <w:r>
        <w:rPr>
          <w:rFonts w:ascii="Arial" w:cs="Arial" w:eastAsia="Arial" w:hAnsi="Arial"/>
          <w:b w:val="false"/>
          <w:bCs w:val="false"/>
          <w:i w:val="false"/>
          <w:iCs w:val="false"/>
          <w:color w:val="333333"/>
          <w:sz w:val="21"/>
          <w:szCs w:val="21"/>
        </w:rPr>
        <w:t xml:space="preserve">Every decision (entry, skip, or reject) must be logged with the full context: signal details, gate results, calculated levels, and the reason for any rejection. This audit trail feeds back into the signal engine’s performance analytics and allows us to continuously refine both the signal and the entry layer.</w:t>
      </w:r>
    </w:p>
    <w:p>
      <w:r>
        <w:br w:type="page"/>
      </w:r>
    </w:p>
    <w:p>
      <w:pPr>
        <w:pStyle w:val="Heading1"/>
        <w:spacing w:after="200" w:before="360"/>
      </w:pPr>
      <w:r>
        <w:rPr>
          <w:rFonts w:ascii="Arial" w:cs="Arial" w:eastAsia="Arial" w:hAnsi="Arial"/>
          <w:b/>
          <w:bCs/>
          <w:color w:val="1B3A5C"/>
          <w:sz w:val="32"/>
          <w:szCs w:val="32"/>
        </w:rPr>
        <w:t xml:space="preserve">Appendix: Sources &amp; Methodology Lineage</w:t>
      </w:r>
    </w:p>
    <w:p>
      <w:pPr>
        <w:spacing w:after="120"/>
      </w:pPr>
      <w:r>
        <w:rPr>
          <w:rFonts w:ascii="Arial" w:cs="Arial" w:eastAsia="Arial" w:hAnsi="Arial"/>
          <w:b w:val="false"/>
          <w:bCs w:val="false"/>
          <w:i w:val="false"/>
          <w:iCs w:val="false"/>
          <w:color w:val="333333"/>
          <w:sz w:val="21"/>
          <w:szCs w:val="21"/>
        </w:rPr>
        <w:t xml:space="preserve">The rules in this document are synthesised from the following practitioners and their core works:</w:t>
      </w:r>
    </w:p>
    <w:p>
      <w:pPr>
        <w:pStyle w:val="ListParagraph"/>
        <w:numPr>
          <w:ilvl w:val="0"/>
          <w:numId w:val="2"/>
        </w:numPr>
        <w:spacing w:after="80"/>
      </w:pPr>
      <w:r>
        <w:rPr>
          <w:rFonts w:ascii="Arial" w:cs="Arial" w:eastAsia="Arial" w:hAnsi="Arial"/>
          <w:b/>
          <w:bCs/>
          <w:color w:val="333333"/>
          <w:sz w:val="21"/>
          <w:szCs w:val="21"/>
        </w:rPr>
        <w:t xml:space="preserve">Mark Minervini </w:t>
      </w:r>
      <w:r>
        <w:rPr>
          <w:rFonts w:ascii="Arial" w:cs="Arial" w:eastAsia="Arial" w:hAnsi="Arial"/>
          <w:color w:val="333333"/>
          <w:sz w:val="21"/>
          <w:szCs w:val="21"/>
        </w:rPr>
        <w:t xml:space="preserve">— SEPA methodology, Volatility Contraction Pattern (VCP), Trend Template, pivot buy points. Think &amp; Trade Like a Champion.</w:t>
      </w:r>
    </w:p>
    <w:p>
      <w:pPr>
        <w:pStyle w:val="ListParagraph"/>
        <w:numPr>
          <w:ilvl w:val="0"/>
          <w:numId w:val="2"/>
        </w:numPr>
        <w:spacing w:after="80"/>
      </w:pPr>
      <w:r>
        <w:rPr>
          <w:rFonts w:ascii="Arial" w:cs="Arial" w:eastAsia="Arial" w:hAnsi="Arial"/>
          <w:b/>
          <w:bCs/>
          <w:color w:val="333333"/>
          <w:sz w:val="21"/>
          <w:szCs w:val="21"/>
        </w:rPr>
        <w:t xml:space="preserve">William O’Neil </w:t>
      </w:r>
      <w:r>
        <w:rPr>
          <w:rFonts w:ascii="Arial" w:cs="Arial" w:eastAsia="Arial" w:hAnsi="Arial"/>
          <w:color w:val="333333"/>
          <w:sz w:val="21"/>
          <w:szCs w:val="21"/>
        </w:rPr>
        <w:t xml:space="preserve">— CAN SLIM system, proper buy points, pocket pivots, volume confirmation on breakouts. How to Make Money in Stocks.</w:t>
      </w:r>
    </w:p>
    <w:p>
      <w:pPr>
        <w:pStyle w:val="ListParagraph"/>
        <w:numPr>
          <w:ilvl w:val="0"/>
          <w:numId w:val="2"/>
        </w:numPr>
        <w:spacing w:after="80"/>
      </w:pPr>
      <w:r>
        <w:rPr>
          <w:rFonts w:ascii="Arial" w:cs="Arial" w:eastAsia="Arial" w:hAnsi="Arial"/>
          <w:b/>
          <w:bCs/>
          <w:color w:val="333333"/>
          <w:sz w:val="21"/>
          <w:szCs w:val="21"/>
        </w:rPr>
        <w:t xml:space="preserve">Linda Raschke </w:t>
      </w:r>
      <w:r>
        <w:rPr>
          <w:rFonts w:ascii="Arial" w:cs="Arial" w:eastAsia="Arial" w:hAnsi="Arial"/>
          <w:color w:val="333333"/>
          <w:sz w:val="21"/>
          <w:szCs w:val="21"/>
        </w:rPr>
        <w:t xml:space="preserve">— Holy Grail setup, first-pullback-to-EMA entry, ADX trend strength filter. Street Smarts (with Connors).</w:t>
      </w:r>
    </w:p>
    <w:p>
      <w:pPr>
        <w:pStyle w:val="ListParagraph"/>
        <w:numPr>
          <w:ilvl w:val="0"/>
          <w:numId w:val="2"/>
        </w:numPr>
        <w:spacing w:after="80"/>
      </w:pPr>
      <w:r>
        <w:rPr>
          <w:rFonts w:ascii="Arial" w:cs="Arial" w:eastAsia="Arial" w:hAnsi="Arial"/>
          <w:b/>
          <w:bCs/>
          <w:color w:val="333333"/>
          <w:sz w:val="21"/>
          <w:szCs w:val="21"/>
        </w:rPr>
        <w:t xml:space="preserve">Nicolas Darvas </w:t>
      </w:r>
      <w:r>
        <w:rPr>
          <w:rFonts w:ascii="Arial" w:cs="Arial" w:eastAsia="Arial" w:hAnsi="Arial"/>
          <w:color w:val="333333"/>
          <w:sz w:val="21"/>
          <w:szCs w:val="21"/>
        </w:rPr>
        <w:t xml:space="preserve">— Box theory, breakout above the box top on volume, trailing stop at box bottom. How I Made $2,000,000 in the Stock Market.</w:t>
      </w:r>
    </w:p>
    <w:p>
      <w:pPr>
        <w:pStyle w:val="ListParagraph"/>
        <w:numPr>
          <w:ilvl w:val="0"/>
          <w:numId w:val="2"/>
        </w:numPr>
        <w:spacing w:after="80"/>
      </w:pPr>
      <w:r>
        <w:rPr>
          <w:rFonts w:ascii="Arial" w:cs="Arial" w:eastAsia="Arial" w:hAnsi="Arial"/>
          <w:b/>
          <w:bCs/>
          <w:color w:val="333333"/>
          <w:sz w:val="21"/>
          <w:szCs w:val="21"/>
        </w:rPr>
        <w:t xml:space="preserve">Jesse Livermore </w:t>
      </w:r>
      <w:r>
        <w:rPr>
          <w:rFonts w:ascii="Arial" w:cs="Arial" w:eastAsia="Arial" w:hAnsi="Arial"/>
          <w:color w:val="333333"/>
          <w:sz w:val="21"/>
          <w:szCs w:val="21"/>
        </w:rPr>
        <w:t xml:space="preserve">— Pivotal points, secondary reactions, volume confirmation, patience in entry timing. How to Trade in Stocks.</w:t>
      </w:r>
    </w:p>
    <w:p>
      <w:pPr>
        <w:pStyle w:val="ListParagraph"/>
        <w:numPr>
          <w:ilvl w:val="0"/>
          <w:numId w:val="2"/>
        </w:numPr>
        <w:spacing w:after="80"/>
      </w:pPr>
      <w:r>
        <w:rPr>
          <w:rFonts w:ascii="Arial" w:cs="Arial" w:eastAsia="Arial" w:hAnsi="Arial"/>
          <w:b/>
          <w:bCs/>
          <w:color w:val="333333"/>
          <w:sz w:val="21"/>
          <w:szCs w:val="21"/>
        </w:rPr>
        <w:t xml:space="preserve">Gil Morales </w:t>
      </w:r>
      <w:r>
        <w:rPr>
          <w:rFonts w:ascii="Arial" w:cs="Arial" w:eastAsia="Arial" w:hAnsi="Arial"/>
          <w:color w:val="333333"/>
          <w:sz w:val="21"/>
          <w:szCs w:val="21"/>
        </w:rPr>
        <w:t xml:space="preserve">— Buyable Gap Up (BGU) rules, opening-range methodology. Trade Like an O’Neil Disciple.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666666"/>
        <w:sz w:val="16"/>
        <w:szCs w:val="16"/>
      </w:rPr>
      <w:t xml:space="preserve">Money Program  |  Entry Refinement Masterclass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2026-03-27T03:36:55.594Z</dcterms:created>
  <dcterms:modified xsi:type="dcterms:W3CDTF">2026-03-27T03:36:55.594Z</dcterms:modified>
</cp:coreProperties>
</file>

<file path=docProps/custom.xml><?xml version="1.0" encoding="utf-8"?>
<Properties xmlns="http://schemas.openxmlformats.org/officeDocument/2006/custom-properties" xmlns:vt="http://schemas.openxmlformats.org/officeDocument/2006/docPropsVTypes"/>
</file>