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Persona Profile: Diana, AI Leader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t xml:space="preserve">* **Role:** AI Leader</w:t>
      </w:r>
    </w:p>
    <w:p w:rsidR="00000000" w:rsidDel="00000000" w:rsidP="00000000" w:rsidRDefault="00000000" w:rsidRPr="00000000" w14:paraId="00000005">
      <w:pPr>
        <w:rPr/>
      </w:pPr>
      <w:r w:rsidDel="00000000" w:rsidR="00000000" w:rsidRPr="00000000">
        <w:rPr>
          <w:rtl w:val="0"/>
        </w:rPr>
        <w:t xml:space="preserve">* **Alternative Titles:** Director of AI/ML, Manager of AI/ML, Head of AI/ML.</w:t>
      </w:r>
    </w:p>
    <w:p w:rsidR="00000000" w:rsidDel="00000000" w:rsidP="00000000" w:rsidRDefault="00000000" w:rsidRPr="00000000" w14:paraId="00000006">
      <w:pPr>
        <w:rPr/>
      </w:pPr>
      <w:r w:rsidDel="00000000" w:rsidR="00000000" w:rsidRPr="00000000">
        <w:rPr>
          <w:rtl w:val="0"/>
        </w:rPr>
        <w:t xml:space="preserve">* **Who I Am:** Diana leads AI strategy and execution—turning research into shipped models, agents, and features. She owns R&amp;D, technical governance, performance (latency/reliability/cost), vendor/tool selection, and compliance risk. She partners closely with Product, Platform/Infra, Data, Security, and Finance while mentoring teams, and she typically recommends and co-decides on AI infrastructure and dev-tool purchases.</w:t>
      </w:r>
    </w:p>
    <w:p w:rsidR="00000000" w:rsidDel="00000000" w:rsidP="00000000" w:rsidRDefault="00000000" w:rsidRPr="00000000" w14:paraId="00000007">
      <w:pPr>
        <w:rPr/>
      </w:pPr>
      <w:r w:rsidDel="00000000" w:rsidR="00000000" w:rsidRPr="00000000">
        <w:rPr>
          <w:rtl w:val="0"/>
        </w:rPr>
        <w:t xml:space="preserve">* **How I Am Evaluated:** Her success is primarily evaluated by technical performance metrics (e.g., cost-per-inference, speed) and regulatory excellence. Success is also defined by on-time delivery, measurable business impact, trustworthy/compliant outcomes, and scalable spend.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Responsibilities &amp; Challenges</w:t>
      </w:r>
    </w:p>
    <w:p w:rsidR="00000000" w:rsidDel="00000000" w:rsidP="00000000" w:rsidRDefault="00000000" w:rsidRPr="00000000" w14:paraId="0000000C">
      <w:pPr>
        <w:rPr/>
      </w:pPr>
      <w:r w:rsidDel="00000000" w:rsidR="00000000" w:rsidRPr="00000000">
        <w:rPr>
          <w:rtl w:val="0"/>
        </w:rPr>
        <w:t xml:space="preserve">* **Primary Responsibilities:** Innovation and R&amp;D oversight are her top responsibilities. For AI Natives, technical strategy and architecture are also highly important.</w:t>
      </w:r>
    </w:p>
    <w:p w:rsidR="00000000" w:rsidDel="00000000" w:rsidP="00000000" w:rsidRDefault="00000000" w:rsidRPr="00000000" w14:paraId="0000000D">
      <w:pPr>
        <w:rPr/>
      </w:pPr>
      <w:r w:rsidDel="00000000" w:rsidR="00000000" w:rsidRPr="00000000">
        <w:rPr>
          <w:rtl w:val="0"/>
        </w:rPr>
        <w:t xml:space="preserve">* **Biggest Challenges:** AI Natives struggle heavily with compute capacity, cost predictability, and scalability/deployment hurdles (e.g., bottlenecks in production deployment at scale). AI Enterprises face major challenges in proving regulatory compliance and overcoming talent/skills shortages.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Motivations &amp; Excitements</w:t>
      </w:r>
    </w:p>
    <w:p w:rsidR="00000000" w:rsidDel="00000000" w:rsidP="00000000" w:rsidRDefault="00000000" w:rsidRPr="00000000" w14:paraId="00000012">
      <w:pPr>
        <w:rPr/>
      </w:pPr>
      <w:r w:rsidDel="00000000" w:rsidR="00000000" w:rsidRPr="00000000">
        <w:rPr>
          <w:rtl w:val="0"/>
        </w:rPr>
        <w:t xml:space="preserve">* **What Excites Me:** She is most excited by innovation and gaining a competitive edge. AI Enterprises are particularly excited to see AI align with overall business strategy and cut operational costs, while AI Natives are energized by exploring emerging technologies and optimizing operational efficiency.</w:t>
      </w:r>
    </w:p>
    <w:p w:rsidR="00000000" w:rsidDel="00000000" w:rsidP="00000000" w:rsidRDefault="00000000" w:rsidRPr="00000000" w14:paraId="00000013">
      <w:pPr>
        <w:rPr/>
      </w:pPr>
      <w:r w:rsidDel="00000000" w:rsidR="00000000" w:rsidRPr="00000000">
        <w:rPr>
          <w:rtl w:val="0"/>
        </w:rPr>
        <w:t xml:space="preserve">* **What Motivates Me:** Strategic business value alignment and innovation/technology advancement are her top motivators for leading AI initiatives.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Buying Behavior &amp; Preferences</w:t>
      </w:r>
    </w:p>
    <w:p w:rsidR="00000000" w:rsidDel="00000000" w:rsidP="00000000" w:rsidRDefault="00000000" w:rsidRPr="00000000" w14:paraId="00000018">
      <w:pPr>
        <w:rPr/>
      </w:pPr>
      <w:r w:rsidDel="00000000" w:rsidR="00000000" w:rsidRPr="00000000">
        <w:rPr>
          <w:rtl w:val="0"/>
        </w:rPr>
        <w:t xml:space="preserve">* **Why I Buy:** Hardware availability and compute constraints are the top buying triggers for AI Natives. For AI Enterprises, the primary trigger is demand for innovation and emerging use-cases. Both groups share regulatory compliance and policy shifts as a strong reason to buy AI model building tools.</w:t>
      </w:r>
    </w:p>
    <w:p w:rsidR="00000000" w:rsidDel="00000000" w:rsidP="00000000" w:rsidRDefault="00000000" w:rsidRPr="00000000" w14:paraId="00000019">
      <w:pPr>
        <w:rPr/>
      </w:pPr>
      <w:r w:rsidDel="00000000" w:rsidR="00000000" w:rsidRPr="00000000">
        <w:rPr>
          <w:rtl w:val="0"/>
        </w:rPr>
        <w:t xml:space="preserve">* **Biggest Concerns:** Security and data privacy are her top overall concerns. AI Enterprises are highly concerned about regulatory compliance, legal risks, and validation requirements. Other concerns include vendor lock-in, talent gaps, and environmental/sustainability impacts (ESG commitments).</w:t>
      </w:r>
    </w:p>
    <w:p w:rsidR="00000000" w:rsidDel="00000000" w:rsidP="00000000" w:rsidRDefault="00000000" w:rsidRPr="00000000" w14:paraId="0000001A">
      <w:pPr>
        <w:rPr/>
      </w:pPr>
      <w:r w:rsidDel="00000000" w:rsidR="00000000" w:rsidRPr="00000000">
        <w:rPr>
          <w:rtl w:val="0"/>
        </w:rPr>
        <w:t xml:space="preserve">* **Must-Have Features:** Open architecture and portability are the top must-haves for AI Natives. Both groups strongly require advanced model development/orchestration capabilities and strict security/compliance assurances.</w:t>
      </w:r>
    </w:p>
    <w:p w:rsidR="00000000" w:rsidDel="00000000" w:rsidP="00000000" w:rsidRDefault="00000000" w:rsidRPr="00000000" w14:paraId="0000001B">
      <w:pPr>
        <w:rPr/>
      </w:pPr>
      <w:r w:rsidDel="00000000" w:rsidR="00000000" w:rsidRPr="00000000">
        <w:rPr>
          <w:rtl w:val="0"/>
        </w:rPr>
        <w:t xml:space="preserve">* **Needs Beyond Features:** Vendor reputation and social proof (case studies, peer references at scale) are universally important. She also requires seamless integration and system compatibility, cost transparency (flexible pricing, unit economics), and clear regulatory compliance and auditability.</w:t>
      </w:r>
    </w:p>
    <w:p w:rsidR="00000000" w:rsidDel="00000000" w:rsidP="00000000" w:rsidRDefault="00000000" w:rsidRPr="00000000" w14:paraId="0000001C">
      <w:pPr>
        <w:rPr/>
      </w:pPr>
      <w:r w:rsidDel="00000000" w:rsidR="00000000" w:rsidRPr="00000000">
        <w:rPr>
          <w:rtl w:val="0"/>
        </w:rPr>
        <w:t xml:space="preserve">* **Top Factors to Switch Vendors:** AI Natives would switch primarily for: 1) Open-Source Transparency and Control, 2) Cost Efficiency and Savings, and 3) Integrated Deployment, Tracking &amp; Monitoring. AI Enterprises would switch for: 1) Specialized Hardware Availability, 2) Cost Efficiency and Savings, and 3) Regulatory Compliance &amp; Data Sovereignty.</w:t>
      </w:r>
    </w:p>
    <w:p w:rsidR="00000000" w:rsidDel="00000000" w:rsidP="00000000" w:rsidRDefault="00000000" w:rsidRPr="00000000" w14:paraId="0000001D">
      <w:pPr>
        <w:rPr/>
      </w:pPr>
      <w:r w:rsidDel="00000000" w:rsidR="00000000" w:rsidRPr="00000000">
        <w:rPr>
          <w:rtl w:val="0"/>
        </w:rPr>
        <w:t xml:space="preserve">* **Vendors Top of Mind:** AWS is top of mind overall. AI Natives focus more on model/API and open-source software companies like OpenAI, Hugging Face, and NVIDIA. AI Enterprises prefer cloud-centric, integrated platforms and most frequently recall Microsoft Azure and Google Cloud Platform (GCP).</w:t>
      </w:r>
    </w:p>
    <w:p w:rsidR="00000000" w:rsidDel="00000000" w:rsidP="00000000" w:rsidRDefault="00000000" w:rsidRPr="00000000" w14:paraId="0000001E">
      <w:pPr>
        <w:rPr/>
      </w:pPr>
      <w:r w:rsidDel="00000000" w:rsidR="00000000" w:rsidRPr="00000000">
        <w:rPr>
          <w:rtl w:val="0"/>
        </w:rPr>
        <w:t xml:space="preserve">* **Information Sources:** AI Natives rely most heavily on online communities and forums. AI Enterprises use a variety of sources, with their #1 source being internal colleagues, though they also lean heavily on industry reports (like Gartner) and the C-suite/executive leadership to navigate specialized compliance landscapes.</w:t>
      </w:r>
    </w:p>
    <w:p w:rsidR="00000000" w:rsidDel="00000000" w:rsidP="00000000" w:rsidRDefault="00000000" w:rsidRPr="00000000" w14:paraId="0000001F">
      <w:pPr>
        <w:rPr/>
      </w:pPr>
      <w:r w:rsidDel="00000000" w:rsidR="00000000" w:rsidRPr="00000000">
        <w:rPr>
          <w:rtl w:val="0"/>
        </w:rPr>
        <w:t xml:space="preserve">* **Most Impactful Infrastructure Factors:** Cost efficiency and predictable pricing are the top factors overall. Low latency for deployed applications is highly important for AI Natives, while AI Enterprises see compute availability (reliable access to GPUs/TPUs when needed) as the most impactful factor.</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