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Utility Market Entry Strategy for CE+T Prisma</w:t>
      </w:r>
    </w:p>
    <w:p>
      <w:pPr>
        <w:pStyle w:val="Heading2"/>
      </w:pPr>
      <w:r>
        <w:t>1. Executive Summary</w:t>
      </w:r>
    </w:p>
    <w:p>
      <w:r>
        <w:t>CE+T’s Prisma modular power conversion system is suitable for selective utility applications, specifically in the Battery Energy Storage System (BESS) and Power Conversion System (PCS) segments. Its strengths—SiC efficiency, modular architecture, AS4777 compliance, and high-voltage DC interface—position it well for mid-scale energy storage in water authorities, DNSPs, and industrial utilities. It is not viable for traditional DC charger or substation backup markets.</w:t>
      </w:r>
    </w:p>
    <w:p>
      <w:pPr>
        <w:pStyle w:val="Heading2"/>
      </w:pPr>
      <w:r>
        <w:t>2. Market Positioning</w:t>
      </w:r>
    </w:p>
    <w:p>
      <w:r>
        <w:t>Prisma is positioned as a high‑efficiency, modular PCS suitable for:</w:t>
      </w:r>
    </w:p>
    <w:p>
      <w:r>
        <w:t>• Medium‑scale BESS (250 kW–1 MW)</w:t>
      </w:r>
    </w:p>
    <w:p>
      <w:r>
        <w:t>• Weak-grid stabilisation</w:t>
      </w:r>
    </w:p>
    <w:p>
      <w:r>
        <w:t>• Renewable smoothing / peak shaving</w:t>
      </w:r>
    </w:p>
    <w:p>
      <w:r>
        <w:t>• Hybrid microgrids</w:t>
      </w:r>
    </w:p>
    <w:p>
      <w:r>
        <w:t>• Behind-the-meter industrial resilience</w:t>
      </w:r>
    </w:p>
    <w:p>
      <w:r>
        <w:t>It is not a fit for low-voltage DC systems, telecom, substation battery chargers, or IP-rated standalone cabinet deployments.</w:t>
      </w:r>
    </w:p>
    <w:p>
      <w:pPr>
        <w:pStyle w:val="Heading2"/>
      </w:pPr>
      <w:r>
        <w:t>3. Target Utility Segments</w:t>
      </w:r>
    </w:p>
    <w:p>
      <w:r>
        <w:t>A. Water Authorities (High Priority)</w:t>
      </w:r>
    </w:p>
    <w:p>
      <w:r>
        <w:t>Examples: Melbourne Water, SA Water, Sydney Water.</w:t>
      </w:r>
    </w:p>
    <w:p>
      <w:r>
        <w:t>Drivers: Peak demand, renewable smoothing, resilience, grid constraints.</w:t>
      </w:r>
    </w:p>
    <w:p>
      <w:r>
        <w:t>Prisma Fit: Excellent for 100–500 kW BESS blocks.</w:t>
      </w:r>
    </w:p>
    <w:p>
      <w:r>
        <w:t>B. Distribution Network Service Providers (DNSPs)</w:t>
      </w:r>
    </w:p>
    <w:p>
      <w:r>
        <w:t>Examples: AusNet, Essential Energy, Ergon, Horizon Power.</w:t>
      </w:r>
    </w:p>
    <w:p>
      <w:r>
        <w:t>Drivers: Weak-grid support, islanding, community microgrids.</w:t>
      </w:r>
    </w:p>
    <w:p>
      <w:r>
        <w:t>Prisma Fit: Strong for modular PCS/microgrid pilot programs.</w:t>
      </w:r>
    </w:p>
    <w:p>
      <w:r>
        <w:t>C. Industrial Utilities</w:t>
      </w:r>
    </w:p>
    <w:p>
      <w:r>
        <w:t>Sectors: Mining, wastewater, desalination, logistics.</w:t>
      </w:r>
    </w:p>
    <w:p>
      <w:r>
        <w:t>Drivers: High tariffs, renewable PPAs, operational continuity.</w:t>
      </w:r>
    </w:p>
    <w:p>
      <w:r>
        <w:t>Prisma Fit: Good for resilience and energy‑shifting solutions.</w:t>
      </w:r>
    </w:p>
    <w:p>
      <w:pPr>
        <w:pStyle w:val="Heading2"/>
      </w:pPr>
      <w:r>
        <w:t>4. Competitive Environment</w:t>
      </w:r>
    </w:p>
    <w:p>
      <w:r>
        <w:t>Primary competitors include Sungrow, SMA, Hitachi Energy, Power Electronics, Delta, and GE.</w:t>
      </w:r>
    </w:p>
    <w:p>
      <w:r>
        <w:t>CE+T’s advantages:</w:t>
      </w:r>
    </w:p>
    <w:p>
      <w:r>
        <w:t>• SiC power density</w:t>
      </w:r>
    </w:p>
    <w:p>
      <w:r>
        <w:t>• Modular hot-swappable design</w:t>
      </w:r>
    </w:p>
    <w:p>
      <w:r>
        <w:t>• Good efficiency</w:t>
      </w:r>
    </w:p>
    <w:p>
      <w:r>
        <w:t>Challenges:</w:t>
      </w:r>
    </w:p>
    <w:p>
      <w:r>
        <w:t>• Limited PCS track record in ANZ</w:t>
      </w:r>
    </w:p>
    <w:p>
      <w:r>
        <w:t>• Need for full BESS package integration</w:t>
      </w:r>
    </w:p>
    <w:p>
      <w:r>
        <w:t>• PCS market dominated by high‑volume vendors</w:t>
      </w:r>
    </w:p>
    <w:p>
      <w:pPr>
        <w:pStyle w:val="Heading2"/>
      </w:pPr>
      <w:r>
        <w:t>5. Market Entry Approach</w:t>
      </w:r>
    </w:p>
    <w:p>
      <w:r>
        <w:t>Phase 1: Technical Validation</w:t>
      </w:r>
    </w:p>
    <w:p>
      <w:r>
        <w:t>• Demonstrate AS4777 compliance</w:t>
      </w:r>
    </w:p>
    <w:p>
      <w:r>
        <w:t>• Provide detailed datasheets, MTBF, and service models</w:t>
      </w:r>
    </w:p>
    <w:p>
      <w:r>
        <w:t>• Build sample engineering package (SLDs, protection schemes, SCADA blocks)</w:t>
      </w:r>
    </w:p>
    <w:p>
      <w:r>
        <w:t>Phase 2: Establish Integration Partners</w:t>
      </w:r>
    </w:p>
    <w:p>
      <w:r>
        <w:t>• Identify container builders, EPCs, and switchboard partners</w:t>
      </w:r>
    </w:p>
    <w:p>
      <w:r>
        <w:t>• Build reference 250 kW and 500 kW containerised designs</w:t>
      </w:r>
    </w:p>
    <w:p>
      <w:r>
        <w:t>Phase 3: Secure Pilot Sites</w:t>
      </w:r>
    </w:p>
    <w:p>
      <w:r>
        <w:t>• Target Melbourne Water, SA Water, Essential Energy, Horizon Power</w:t>
      </w:r>
    </w:p>
    <w:p>
      <w:r>
        <w:t>• Deploy 1–2 flagship installations</w:t>
      </w:r>
    </w:p>
    <w:p>
      <w:r>
        <w:t>Phase 4: Scaling Offer</w:t>
      </w:r>
    </w:p>
    <w:p>
      <w:r>
        <w:t>• Develop pricing, BOM templates, commissioning workflows</w:t>
      </w:r>
    </w:p>
    <w:p>
      <w:r>
        <w:t>• Launch into broader industrial market</w:t>
      </w:r>
    </w:p>
    <w:p>
      <w:pPr>
        <w:pStyle w:val="Heading2"/>
      </w:pPr>
      <w:r>
        <w:t>6. Risk Analysis</w:t>
      </w:r>
    </w:p>
    <w:p>
      <w:r>
        <w:t>Key risks:</w:t>
      </w:r>
    </w:p>
    <w:p>
      <w:r>
        <w:t>• High PCS competition</w:t>
      </w:r>
    </w:p>
    <w:p>
      <w:r>
        <w:t>• Need for strong local support</w:t>
      </w:r>
    </w:p>
    <w:p>
      <w:r>
        <w:t>• IP20 rating limits applications without container housing</w:t>
      </w:r>
    </w:p>
    <w:p>
      <w:r>
        <w:t>• Utilities require long-term reliability data</w:t>
      </w:r>
    </w:p>
    <w:p>
      <w:r>
        <w:t>Mitigation:</w:t>
      </w:r>
    </w:p>
    <w:p>
      <w:r>
        <w:t>• Partner with established BESS integrators</w:t>
      </w:r>
    </w:p>
    <w:p>
      <w:r>
        <w:t>• Build containerised solutions</w:t>
      </w:r>
    </w:p>
    <w:p>
      <w:r>
        <w:t>• Provide long‑term spares and service commitments</w:t>
      </w:r>
    </w:p>
    <w:p>
      <w:pPr>
        <w:pStyle w:val="Heading2"/>
      </w:pPr>
      <w:r>
        <w:t>7. Recommended Actions for Helios</w:t>
      </w:r>
    </w:p>
    <w:p>
      <w:r>
        <w:t>1. Limit Prisma engagement to BESS/PCS strategy, not DC systems.</w:t>
      </w:r>
    </w:p>
    <w:p>
      <w:r>
        <w:t>2. Initiate discussions with CE+T for co‑branded BESS solutions.</w:t>
      </w:r>
    </w:p>
    <w:p>
      <w:r>
        <w:t>3. Develop a 250 kW “reference container” with:</w:t>
      </w:r>
    </w:p>
    <w:p>
      <w:r>
        <w:t>– Prisma PCS</w:t>
      </w:r>
    </w:p>
    <w:p>
      <w:r>
        <w:t>– Battery racks</w:t>
      </w:r>
    </w:p>
    <w:p>
      <w:r>
        <w:t>– HVAC</w:t>
      </w:r>
    </w:p>
    <w:p>
      <w:r>
        <w:t>– Fire detection/suppression</w:t>
      </w:r>
    </w:p>
    <w:p>
      <w:r>
        <w:t>– SCADA package</w:t>
      </w:r>
    </w:p>
    <w:p>
      <w:r>
        <w:t>4. Approach Melbourne Water and Essential Energy for pilot deployments.</w:t>
      </w:r>
    </w:p>
    <w:p>
      <w:r>
        <w:t>5. Build internal capability for large PCS/BESS project management.</w:t>
      </w:r>
    </w:p>
    <w:p>
      <w:r>
        <w:t>Outcome: A targeted, defensible market entry in mid‑scale utility BESS with manageable risk and strong growth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