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B61" w:rsidRDefault="00591B61" w:rsidP="00591B61">
      <w:pPr>
        <w:pStyle w:val="Default"/>
        <w:contextualSpacing/>
        <w:rPr>
          <w:b/>
          <w:bCs/>
        </w:rPr>
      </w:pPr>
      <w:r>
        <w:rPr>
          <w:b/>
          <w:bCs/>
        </w:rPr>
        <w:t>BBF 111 Banking and Financial Markets</w:t>
      </w:r>
    </w:p>
    <w:p w:rsidR="00591B61" w:rsidRDefault="00591B61" w:rsidP="00591B61">
      <w:pPr>
        <w:pStyle w:val="Default"/>
        <w:ind w:left="1440"/>
        <w:contextualSpacing/>
        <w:rPr>
          <w:b/>
          <w:bCs/>
        </w:rPr>
      </w:pPr>
    </w:p>
    <w:p w:rsidR="00591B61" w:rsidRDefault="00591B61" w:rsidP="00591B61">
      <w:pPr>
        <w:pStyle w:val="Default"/>
        <w:ind w:left="1440"/>
        <w:contextualSpacing/>
        <w:rPr>
          <w:b/>
          <w:bCs/>
        </w:rPr>
      </w:pPr>
      <w:r>
        <w:rPr>
          <w:b/>
          <w:bCs/>
        </w:rPr>
        <w:t>E1.1.1 Background and Rationale</w:t>
      </w:r>
    </w:p>
    <w:p w:rsidR="00591B61" w:rsidRDefault="00591B61" w:rsidP="00591B61">
      <w:pPr>
        <w:pStyle w:val="Default"/>
        <w:ind w:left="1440"/>
        <w:contextualSpacing/>
        <w:rPr>
          <w:b/>
          <w:bCs/>
        </w:rPr>
      </w:pPr>
    </w:p>
    <w:p w:rsidR="00591B61" w:rsidRDefault="00591B61" w:rsidP="00591B61">
      <w:pPr>
        <w:pStyle w:val="Default"/>
        <w:ind w:left="1440"/>
        <w:contextualSpacing/>
        <w:jc w:val="both"/>
        <w:rPr>
          <w:bCs/>
        </w:rPr>
      </w:pPr>
      <w:r>
        <w:rPr>
          <w:bCs/>
        </w:rPr>
        <w:t xml:space="preserve">The aim of this course is to provide learners with the basic principles of banking and finance. It covers a broad range of topics using both financial and economic perspective, and aims to give a general background to any student interested in the subject of banking and financial markets  </w:t>
      </w:r>
    </w:p>
    <w:p w:rsidR="00591B61" w:rsidRDefault="00591B61" w:rsidP="00591B61">
      <w:pPr>
        <w:pStyle w:val="Default"/>
        <w:ind w:left="1440"/>
        <w:contextualSpacing/>
        <w:rPr>
          <w:b/>
          <w:bCs/>
        </w:rPr>
      </w:pPr>
    </w:p>
    <w:p w:rsidR="00591B61" w:rsidRDefault="00591B61" w:rsidP="00591B61">
      <w:pPr>
        <w:pStyle w:val="Default"/>
        <w:ind w:left="1440"/>
        <w:contextualSpacing/>
        <w:rPr>
          <w:b/>
          <w:bCs/>
        </w:rPr>
      </w:pPr>
      <w:r>
        <w:rPr>
          <w:b/>
          <w:bCs/>
        </w:rPr>
        <w:t xml:space="preserve">E1.1.2 </w:t>
      </w:r>
      <w:proofErr w:type="gramStart"/>
      <w:r>
        <w:rPr>
          <w:b/>
          <w:bCs/>
        </w:rPr>
        <w:t>Learning</w:t>
      </w:r>
      <w:proofErr w:type="gramEnd"/>
      <w:r>
        <w:rPr>
          <w:b/>
          <w:bCs/>
        </w:rPr>
        <w:t xml:space="preserve"> outcomes</w:t>
      </w:r>
    </w:p>
    <w:p w:rsidR="00591B61" w:rsidRDefault="00591B61" w:rsidP="00591B61">
      <w:pPr>
        <w:pStyle w:val="Default"/>
        <w:ind w:left="1440"/>
        <w:contextualSpacing/>
        <w:rPr>
          <w:b/>
          <w:bCs/>
        </w:rPr>
      </w:pPr>
    </w:p>
    <w:p w:rsidR="00591B61" w:rsidRDefault="00591B61" w:rsidP="00591B61">
      <w:pPr>
        <w:pStyle w:val="Default"/>
        <w:ind w:left="1440"/>
        <w:contextualSpacing/>
        <w:jc w:val="both"/>
        <w:rPr>
          <w:bCs/>
        </w:rPr>
      </w:pPr>
      <w:r>
        <w:rPr>
          <w:bCs/>
        </w:rPr>
        <w:t>By the end of this module, and having done the relevant readings and activities, learners should be able to:</w:t>
      </w:r>
    </w:p>
    <w:p w:rsidR="00591B61" w:rsidRDefault="00591B61" w:rsidP="00591B61">
      <w:pPr>
        <w:pStyle w:val="Default"/>
        <w:numPr>
          <w:ilvl w:val="0"/>
          <w:numId w:val="1"/>
        </w:numPr>
        <w:contextualSpacing/>
        <w:jc w:val="both"/>
        <w:rPr>
          <w:bCs/>
        </w:rPr>
      </w:pPr>
      <w:r>
        <w:rPr>
          <w:bCs/>
        </w:rPr>
        <w:t>Describe the term banking and finance</w:t>
      </w:r>
    </w:p>
    <w:p w:rsidR="00591B61" w:rsidRDefault="00591B61" w:rsidP="00591B61">
      <w:pPr>
        <w:pStyle w:val="Default"/>
        <w:numPr>
          <w:ilvl w:val="0"/>
          <w:numId w:val="1"/>
        </w:numPr>
        <w:contextualSpacing/>
        <w:jc w:val="both"/>
        <w:rPr>
          <w:bCs/>
        </w:rPr>
      </w:pPr>
      <w:r>
        <w:rPr>
          <w:bCs/>
        </w:rPr>
        <w:t>State why financial systems exist, and how they are structured</w:t>
      </w:r>
    </w:p>
    <w:p w:rsidR="00591B61" w:rsidRDefault="00591B61" w:rsidP="00591B61">
      <w:pPr>
        <w:pStyle w:val="Default"/>
        <w:numPr>
          <w:ilvl w:val="0"/>
          <w:numId w:val="1"/>
        </w:numPr>
        <w:contextualSpacing/>
        <w:jc w:val="both"/>
        <w:rPr>
          <w:bCs/>
        </w:rPr>
      </w:pPr>
      <w:r>
        <w:rPr>
          <w:bCs/>
        </w:rPr>
        <w:t>Discuss why the relative importance of financial intermediaries and financial markets is different around the world, and how bank-based systems differ from market –based systems,</w:t>
      </w:r>
    </w:p>
    <w:p w:rsidR="00591B61" w:rsidRDefault="00591B61" w:rsidP="00591B61">
      <w:pPr>
        <w:pStyle w:val="Default"/>
        <w:numPr>
          <w:ilvl w:val="0"/>
          <w:numId w:val="1"/>
        </w:numPr>
        <w:contextualSpacing/>
        <w:jc w:val="both"/>
        <w:rPr>
          <w:bCs/>
        </w:rPr>
      </w:pPr>
      <w:r>
        <w:rPr>
          <w:bCs/>
        </w:rPr>
        <w:t>Gain insight on the role of financial intermediations in the financial system</w:t>
      </w:r>
    </w:p>
    <w:p w:rsidR="00591B61" w:rsidRDefault="00591B61" w:rsidP="00591B61">
      <w:pPr>
        <w:pStyle w:val="Default"/>
        <w:numPr>
          <w:ilvl w:val="0"/>
          <w:numId w:val="1"/>
        </w:numPr>
        <w:contextualSpacing/>
        <w:jc w:val="both"/>
        <w:rPr>
          <w:bCs/>
        </w:rPr>
      </w:pPr>
      <w:r>
        <w:rPr>
          <w:bCs/>
        </w:rPr>
        <w:t>Define the term financial stability and be able to explain the role of the financial sector development plan (FSDP) in the country.</w:t>
      </w:r>
    </w:p>
    <w:p w:rsidR="00591B61" w:rsidRDefault="00591B61" w:rsidP="00591B61">
      <w:pPr>
        <w:pStyle w:val="Default"/>
        <w:numPr>
          <w:ilvl w:val="0"/>
          <w:numId w:val="1"/>
        </w:numPr>
        <w:contextualSpacing/>
        <w:jc w:val="both"/>
        <w:rPr>
          <w:bCs/>
        </w:rPr>
      </w:pPr>
      <w:r>
        <w:rPr>
          <w:bCs/>
        </w:rPr>
        <w:t xml:space="preserve">Explain why banks need regulation, and illustrate the key reasons for and against the regulation of banking systems.   </w:t>
      </w:r>
    </w:p>
    <w:p w:rsidR="00591B61" w:rsidRDefault="00591B61" w:rsidP="00591B61">
      <w:pPr>
        <w:pStyle w:val="Default"/>
        <w:contextualSpacing/>
        <w:jc w:val="both"/>
        <w:rPr>
          <w:bCs/>
        </w:rPr>
      </w:pPr>
    </w:p>
    <w:p w:rsidR="00591B61" w:rsidRDefault="00591B61" w:rsidP="00591B61">
      <w:pPr>
        <w:pStyle w:val="Default"/>
        <w:contextualSpacing/>
        <w:jc w:val="both"/>
        <w:rPr>
          <w:bCs/>
        </w:rPr>
      </w:pPr>
      <w:r>
        <w:rPr>
          <w:b/>
        </w:rPr>
        <w:t xml:space="preserve"> E1.1.3 Course Content: Volume 1:</w:t>
      </w:r>
    </w:p>
    <w:p w:rsidR="00591B61" w:rsidRDefault="00591B61" w:rsidP="00591B61">
      <w:pPr>
        <w:tabs>
          <w:tab w:val="left" w:pos="2513"/>
        </w:tabs>
        <w:contextualSpacing/>
        <w:rPr>
          <w:rFonts w:ascii="Times New Roman" w:hAnsi="Times New Roman" w:cs="Times New Roman"/>
          <w:b/>
        </w:rPr>
      </w:pPr>
    </w:p>
    <w:p w:rsidR="00591B61" w:rsidRDefault="00591B61" w:rsidP="00591B61">
      <w:pPr>
        <w:tabs>
          <w:tab w:val="left" w:pos="2513"/>
        </w:tabs>
        <w:ind w:left="720"/>
        <w:contextualSpacing/>
        <w:rPr>
          <w:rFonts w:ascii="Times New Roman" w:hAnsi="Times New Roman" w:cs="Times New Roman"/>
        </w:rPr>
      </w:pPr>
      <w:r>
        <w:rPr>
          <w:rFonts w:ascii="Times New Roman" w:hAnsi="Times New Roman" w:cs="Times New Roman"/>
        </w:rPr>
        <w:t>Unit 1: Banking and Finance</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2: Financial Markets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3: Comparative Financial System</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4: The Role of Financial Intermediation</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5: Financial Stability</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6: Bank regulation</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7: Risk Management in Banking</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7:  The Central Bank and the Monetary Policy</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8: Financial Securities: Risk and returns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9:  Foreign Exchange Market</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10:  Derivatives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 xml:space="preserve"> Unit 11:  Capital Budgeting</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12:  Regulation – Financial Markets and Instruments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lastRenderedPageBreak/>
        <w:t>Unit 13:  Regulation-Commercial Banks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 xml:space="preserve"> Unit 14: Bank Risks</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15: Capital Expenditure, Budgeting and Valuation</w:t>
      </w:r>
    </w:p>
    <w:p w:rsidR="00591B61" w:rsidRDefault="00591B61" w:rsidP="00591B61">
      <w:pPr>
        <w:pStyle w:val="NoSpacing"/>
        <w:ind w:left="720"/>
        <w:contextualSpacing/>
        <w:rPr>
          <w:rFonts w:ascii="Times New Roman" w:hAnsi="Times New Roman"/>
          <w:sz w:val="24"/>
          <w:szCs w:val="24"/>
        </w:rPr>
      </w:pPr>
      <w:r>
        <w:rPr>
          <w:rFonts w:ascii="Times New Roman" w:hAnsi="Times New Roman"/>
          <w:sz w:val="24"/>
          <w:szCs w:val="24"/>
        </w:rPr>
        <w:t>Unit 16: Bank Information Technology Development</w:t>
      </w:r>
    </w:p>
    <w:p w:rsidR="00591B61" w:rsidRDefault="00591B61" w:rsidP="00591B61">
      <w:pPr>
        <w:pStyle w:val="NoSpacing"/>
        <w:ind w:left="720"/>
        <w:contextualSpacing/>
        <w:rPr>
          <w:rFonts w:ascii="Times New Roman" w:hAnsi="Times New Roman"/>
          <w:sz w:val="24"/>
          <w:szCs w:val="24"/>
        </w:rPr>
      </w:pPr>
    </w:p>
    <w:p w:rsidR="00591B61" w:rsidRDefault="00591B61" w:rsidP="00591B61">
      <w:pPr>
        <w:tabs>
          <w:tab w:val="left" w:pos="2513"/>
        </w:tabs>
        <w:ind w:left="720"/>
        <w:contextualSpacing/>
        <w:rPr>
          <w:rFonts w:ascii="Times New Roman" w:hAnsi="Times New Roman" w:cs="Times New Roman"/>
          <w:b/>
        </w:rPr>
      </w:pPr>
    </w:p>
    <w:p w:rsidR="00591B61" w:rsidRDefault="00591B61" w:rsidP="00591B61">
      <w:pPr>
        <w:tabs>
          <w:tab w:val="left" w:pos="2513"/>
        </w:tabs>
        <w:contextualSpacing/>
        <w:rPr>
          <w:rFonts w:ascii="Times New Roman" w:hAnsi="Times New Roman" w:cs="Times New Roman"/>
          <w:b/>
        </w:rPr>
      </w:pPr>
      <w:r>
        <w:rPr>
          <w:rFonts w:ascii="Times New Roman" w:hAnsi="Times New Roman" w:cs="Times New Roman"/>
          <w:b/>
        </w:rPr>
        <w:t xml:space="preserve">                       E1.1.4 Assessment</w:t>
      </w:r>
    </w:p>
    <w:p w:rsidR="00591B61" w:rsidRDefault="00591B61" w:rsidP="00591B61">
      <w:pPr>
        <w:tabs>
          <w:tab w:val="left" w:pos="2513"/>
        </w:tabs>
        <w:contextualSpacing/>
        <w:rPr>
          <w:rFonts w:ascii="Times New Roman" w:hAnsi="Times New Roman" w:cs="Times New Roman"/>
          <w:b/>
        </w:rPr>
      </w:pPr>
    </w:p>
    <w:p w:rsidR="00591B61" w:rsidRDefault="00591B61" w:rsidP="00591B61">
      <w:pPr>
        <w:tabs>
          <w:tab w:val="left" w:pos="2513"/>
        </w:tabs>
        <w:contextualSpacing/>
        <w:rPr>
          <w:rFonts w:ascii="Times New Roman" w:hAnsi="Times New Roman" w:cs="Times New Roman"/>
        </w:rPr>
      </w:pPr>
      <w:r>
        <w:rPr>
          <w:rFonts w:ascii="Times New Roman" w:hAnsi="Times New Roman" w:cs="Times New Roman"/>
        </w:rPr>
        <w:t>Assignments:</w:t>
      </w:r>
      <w:r>
        <w:rPr>
          <w:rFonts w:ascii="Times New Roman" w:hAnsi="Times New Roman" w:cs="Times New Roman"/>
        </w:rPr>
        <w:tab/>
        <w:t>50%</w:t>
      </w:r>
    </w:p>
    <w:p w:rsidR="00591B61" w:rsidRDefault="00591B61" w:rsidP="00591B61">
      <w:pPr>
        <w:tabs>
          <w:tab w:val="left" w:pos="2513"/>
        </w:tabs>
        <w:contextualSpacing/>
        <w:rPr>
          <w:rFonts w:ascii="Times New Roman" w:hAnsi="Times New Roman" w:cs="Times New Roman"/>
        </w:rPr>
      </w:pPr>
    </w:p>
    <w:p w:rsidR="00591B61" w:rsidRDefault="00591B61" w:rsidP="00591B61">
      <w:pPr>
        <w:tabs>
          <w:tab w:val="left" w:pos="2513"/>
        </w:tabs>
        <w:contextualSpacing/>
        <w:rPr>
          <w:rFonts w:ascii="Times New Roman" w:hAnsi="Times New Roman" w:cs="Times New Roman"/>
        </w:rPr>
      </w:pPr>
      <w:r>
        <w:rPr>
          <w:rFonts w:ascii="Times New Roman" w:hAnsi="Times New Roman" w:cs="Times New Roman"/>
        </w:rPr>
        <w:t>Examination:</w:t>
      </w:r>
      <w:r>
        <w:rPr>
          <w:rFonts w:ascii="Times New Roman" w:hAnsi="Times New Roman" w:cs="Times New Roman"/>
        </w:rPr>
        <w:tab/>
        <w:t>50%</w:t>
      </w:r>
    </w:p>
    <w:p w:rsidR="00591B61" w:rsidRDefault="00591B61" w:rsidP="00591B61">
      <w:pPr>
        <w:tabs>
          <w:tab w:val="left" w:pos="2513"/>
        </w:tabs>
        <w:contextualSpacing/>
        <w:rPr>
          <w:rFonts w:ascii="Times New Roman" w:hAnsi="Times New Roman" w:cs="Times New Roman"/>
          <w:b/>
        </w:rPr>
      </w:pPr>
    </w:p>
    <w:p w:rsidR="00591B61" w:rsidRDefault="00591B61" w:rsidP="00591B61">
      <w:pPr>
        <w:tabs>
          <w:tab w:val="left" w:pos="2513"/>
        </w:tabs>
        <w:contextualSpacing/>
        <w:rPr>
          <w:rFonts w:ascii="Times New Roman" w:hAnsi="Times New Roman" w:cs="Times New Roman"/>
          <w:b/>
        </w:rPr>
      </w:pPr>
      <w:r>
        <w:rPr>
          <w:rFonts w:ascii="Times New Roman" w:hAnsi="Times New Roman" w:cs="Times New Roman"/>
          <w:b/>
        </w:rPr>
        <w:t>E1.2.5 Prescribed Textbooks</w:t>
      </w:r>
    </w:p>
    <w:p w:rsidR="00591B61" w:rsidRDefault="00591B61" w:rsidP="00591B61">
      <w:pPr>
        <w:tabs>
          <w:tab w:val="left" w:pos="2513"/>
        </w:tabs>
        <w:contextualSpacing/>
        <w:rPr>
          <w:rFonts w:ascii="Times New Roman" w:hAnsi="Times New Roman" w:cs="Times New Roman"/>
          <w:b/>
        </w:rPr>
      </w:pPr>
    </w:p>
    <w:p w:rsidR="00591B61" w:rsidRDefault="00591B61" w:rsidP="00591B61">
      <w:pPr>
        <w:tabs>
          <w:tab w:val="left" w:pos="2513"/>
        </w:tabs>
        <w:contextualSpacing/>
        <w:rPr>
          <w:rFonts w:ascii="Times New Roman" w:hAnsi="Times New Roman" w:cs="Times New Roman"/>
          <w:b/>
        </w:rPr>
      </w:pPr>
      <w:proofErr w:type="gramStart"/>
      <w:r>
        <w:rPr>
          <w:rFonts w:ascii="Times New Roman" w:hAnsi="Times New Roman" w:cs="Times New Roman"/>
        </w:rPr>
        <w:t>Allen, F. and Gale, D. (latest).</w:t>
      </w:r>
      <w:proofErr w:type="gramEnd"/>
      <w:r>
        <w:rPr>
          <w:rFonts w:ascii="Times New Roman" w:hAnsi="Times New Roman" w:cs="Times New Roman"/>
        </w:rPr>
        <w:t xml:space="preserve"> </w:t>
      </w:r>
      <w:proofErr w:type="gramStart"/>
      <w:r>
        <w:rPr>
          <w:rFonts w:ascii="Times New Roman" w:hAnsi="Times New Roman" w:cs="Times New Roman"/>
          <w:u w:val="single"/>
        </w:rPr>
        <w:t>Financial Systems</w:t>
      </w:r>
      <w:r>
        <w:rPr>
          <w:rFonts w:ascii="Times New Roman" w:hAnsi="Times New Roman" w:cs="Times New Roman"/>
        </w:rPr>
        <w:t>.</w:t>
      </w:r>
      <w:proofErr w:type="gramEnd"/>
      <w:r>
        <w:rPr>
          <w:rFonts w:ascii="Times New Roman" w:hAnsi="Times New Roman" w:cs="Times New Roman"/>
        </w:rPr>
        <w:t xml:space="preserve"> MIT Press</w:t>
      </w:r>
    </w:p>
    <w:p w:rsidR="00591B61" w:rsidRDefault="00591B61" w:rsidP="00591B61">
      <w:pPr>
        <w:tabs>
          <w:tab w:val="left" w:pos="2513"/>
        </w:tabs>
        <w:contextualSpacing/>
        <w:jc w:val="both"/>
        <w:rPr>
          <w:rFonts w:ascii="Times New Roman" w:hAnsi="Times New Roman" w:cs="Times New Roman"/>
        </w:rPr>
      </w:pPr>
    </w:p>
    <w:p w:rsidR="00591B61" w:rsidRDefault="00591B61" w:rsidP="00591B61">
      <w:pPr>
        <w:tabs>
          <w:tab w:val="left" w:pos="2513"/>
        </w:tabs>
        <w:contextualSpacing/>
        <w:jc w:val="both"/>
        <w:rPr>
          <w:rFonts w:ascii="Times New Roman" w:hAnsi="Times New Roman" w:cs="Times New Roman"/>
          <w:u w:val="single"/>
        </w:rPr>
      </w:pPr>
      <w:proofErr w:type="spellStart"/>
      <w:proofErr w:type="gramStart"/>
      <w:r>
        <w:rPr>
          <w:rFonts w:ascii="Times New Roman" w:hAnsi="Times New Roman" w:cs="Times New Roman"/>
        </w:rPr>
        <w:t>Breadly</w:t>
      </w:r>
      <w:proofErr w:type="spellEnd"/>
      <w:r>
        <w:rPr>
          <w:rFonts w:ascii="Times New Roman" w:hAnsi="Times New Roman" w:cs="Times New Roman"/>
        </w:rPr>
        <w:t>, R.A. and Myers, S.C. (Latest).</w:t>
      </w:r>
      <w:proofErr w:type="gramEnd"/>
      <w:r>
        <w:rPr>
          <w:rFonts w:ascii="Times New Roman" w:hAnsi="Times New Roman" w:cs="Times New Roman"/>
        </w:rPr>
        <w:t xml:space="preserve"> </w:t>
      </w:r>
      <w:r>
        <w:rPr>
          <w:rFonts w:ascii="Times New Roman" w:hAnsi="Times New Roman" w:cs="Times New Roman"/>
          <w:u w:val="single"/>
        </w:rPr>
        <w:t>Principles of Corporate finance</w:t>
      </w:r>
      <w:r>
        <w:rPr>
          <w:rFonts w:ascii="Times New Roman" w:hAnsi="Times New Roman" w:cs="Times New Roman"/>
        </w:rPr>
        <w:t xml:space="preserve">. </w:t>
      </w:r>
      <w:proofErr w:type="gramStart"/>
      <w:r>
        <w:rPr>
          <w:rFonts w:ascii="Times New Roman" w:hAnsi="Times New Roman" w:cs="Times New Roman"/>
        </w:rPr>
        <w:t>McGraw-Hill/Irwin.</w:t>
      </w:r>
      <w:proofErr w:type="gramEnd"/>
    </w:p>
    <w:p w:rsidR="00591B61" w:rsidRDefault="00591B61" w:rsidP="00591B61">
      <w:pPr>
        <w:tabs>
          <w:tab w:val="left" w:pos="2513"/>
        </w:tabs>
        <w:contextualSpacing/>
        <w:jc w:val="both"/>
        <w:rPr>
          <w:rFonts w:ascii="Times New Roman" w:hAnsi="Times New Roman" w:cs="Times New Roman"/>
        </w:rPr>
      </w:pPr>
    </w:p>
    <w:p w:rsidR="00591B61" w:rsidRDefault="00591B61" w:rsidP="00591B61">
      <w:pPr>
        <w:tabs>
          <w:tab w:val="left" w:pos="2513"/>
        </w:tabs>
        <w:contextualSpacing/>
        <w:jc w:val="both"/>
        <w:rPr>
          <w:rFonts w:ascii="Times New Roman" w:hAnsi="Times New Roman" w:cs="Times New Roman"/>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p>
    <w:p w:rsidR="00591B61" w:rsidRDefault="00591B61" w:rsidP="00591B61">
      <w:pPr>
        <w:pStyle w:val="Default"/>
        <w:contextualSpacing/>
        <w:rPr>
          <w:b/>
          <w:bCs/>
        </w:rPr>
      </w:pPr>
      <w:r>
        <w:rPr>
          <w:b/>
          <w:bCs/>
        </w:rPr>
        <w:lastRenderedPageBreak/>
        <w:t>BBAC 111: Principles of Accounts</w:t>
      </w:r>
    </w:p>
    <w:p w:rsidR="00591B61" w:rsidRDefault="00591B61" w:rsidP="00591B61">
      <w:pPr>
        <w:pStyle w:val="Default"/>
        <w:contextualSpacing/>
        <w:rPr>
          <w:b/>
          <w:bCs/>
        </w:rPr>
      </w:pPr>
    </w:p>
    <w:p w:rsidR="00591B61" w:rsidRDefault="00591B61" w:rsidP="00591B61">
      <w:pPr>
        <w:pStyle w:val="Default"/>
        <w:ind w:left="1440"/>
        <w:contextualSpacing/>
        <w:rPr>
          <w:b/>
        </w:rPr>
      </w:pPr>
      <w:r>
        <w:rPr>
          <w:b/>
          <w:bCs/>
        </w:rPr>
        <w:t xml:space="preserve">E1.1.1 Background and Rationale </w:t>
      </w:r>
    </w:p>
    <w:p w:rsidR="00591B61" w:rsidRDefault="00591B61" w:rsidP="00591B61">
      <w:pPr>
        <w:pStyle w:val="Default"/>
        <w:ind w:left="1440"/>
        <w:contextualSpacing/>
        <w:jc w:val="both"/>
      </w:pPr>
      <w:r>
        <w:t>This module focuses on the techniques for dealing with a number of issues in financial accounting such as preparations of group statements, accounting for property, plant and equipment, impairments of assets and liquidation accounting. The module does also define financial accounting and has outlined the various business entities. Equity is also discussed.</w:t>
      </w:r>
    </w:p>
    <w:p w:rsidR="00591B61" w:rsidRDefault="00591B61" w:rsidP="00591B61">
      <w:pPr>
        <w:pStyle w:val="Default"/>
        <w:ind w:left="1440"/>
        <w:contextualSpacing/>
      </w:pPr>
    </w:p>
    <w:p w:rsidR="00591B61" w:rsidRDefault="00591B61" w:rsidP="00591B61">
      <w:pPr>
        <w:pStyle w:val="Default"/>
        <w:ind w:left="1440"/>
        <w:contextualSpacing/>
        <w:jc w:val="both"/>
      </w:pPr>
      <w:r>
        <w:rPr>
          <w:bCs/>
        </w:rPr>
        <w:t>The aim of the module is to ensure that learners develop knowledge and understanding to deal with various issues in financial accounting much more complex than principles of accounting.</w:t>
      </w:r>
    </w:p>
    <w:p w:rsidR="00591B61" w:rsidRDefault="00591B61" w:rsidP="00591B61">
      <w:pPr>
        <w:pStyle w:val="Default"/>
        <w:ind w:left="1440"/>
        <w:contextualSpacing/>
      </w:pPr>
    </w:p>
    <w:p w:rsidR="00591B61" w:rsidRDefault="00591B61" w:rsidP="00591B61">
      <w:pPr>
        <w:pStyle w:val="Default"/>
        <w:ind w:left="1440"/>
        <w:contextualSpacing/>
        <w:rPr>
          <w:b/>
          <w:bCs/>
        </w:rPr>
      </w:pPr>
      <w:r>
        <w:rPr>
          <w:b/>
          <w:bCs/>
        </w:rPr>
        <w:t xml:space="preserve">E1.1.2 </w:t>
      </w:r>
      <w:proofErr w:type="gramStart"/>
      <w:r>
        <w:rPr>
          <w:b/>
          <w:bCs/>
        </w:rPr>
        <w:t>Learning</w:t>
      </w:r>
      <w:proofErr w:type="gramEnd"/>
      <w:r>
        <w:rPr>
          <w:b/>
          <w:bCs/>
        </w:rPr>
        <w:t xml:space="preserve"> outcomes </w:t>
      </w:r>
    </w:p>
    <w:p w:rsidR="00591B61" w:rsidRDefault="00591B61" w:rsidP="00591B61">
      <w:pPr>
        <w:pStyle w:val="Default"/>
        <w:ind w:left="1440"/>
        <w:contextualSpacing/>
        <w:jc w:val="both"/>
        <w:rPr>
          <w:bCs/>
          <w:color w:val="auto"/>
        </w:rPr>
      </w:pPr>
      <w:r>
        <w:rPr>
          <w:bCs/>
          <w:color w:val="auto"/>
        </w:rPr>
        <w:t>On completion of this module, learners should be able to:</w:t>
      </w:r>
    </w:p>
    <w:p w:rsidR="00591B61" w:rsidRDefault="00591B61" w:rsidP="00591B61">
      <w:pPr>
        <w:pStyle w:val="Default"/>
        <w:numPr>
          <w:ilvl w:val="0"/>
          <w:numId w:val="2"/>
        </w:numPr>
        <w:contextualSpacing/>
        <w:jc w:val="both"/>
        <w:rPr>
          <w:bCs/>
          <w:color w:val="auto"/>
        </w:rPr>
      </w:pPr>
      <w:r>
        <w:rPr>
          <w:bCs/>
          <w:color w:val="auto"/>
        </w:rPr>
        <w:t>Understand what accounting is all about and the types of business entities</w:t>
      </w:r>
    </w:p>
    <w:p w:rsidR="00591B61" w:rsidRDefault="00591B61" w:rsidP="00591B61">
      <w:pPr>
        <w:pStyle w:val="Default"/>
        <w:numPr>
          <w:ilvl w:val="0"/>
          <w:numId w:val="2"/>
        </w:numPr>
        <w:contextualSpacing/>
        <w:jc w:val="both"/>
        <w:rPr>
          <w:bCs/>
          <w:color w:val="auto"/>
        </w:rPr>
      </w:pPr>
      <w:r>
        <w:rPr>
          <w:bCs/>
          <w:color w:val="auto"/>
        </w:rPr>
        <w:t>Gain knowledge on what is the conceptual framework</w:t>
      </w:r>
    </w:p>
    <w:p w:rsidR="00591B61" w:rsidRDefault="00591B61" w:rsidP="00591B61">
      <w:pPr>
        <w:pStyle w:val="Default"/>
        <w:numPr>
          <w:ilvl w:val="0"/>
          <w:numId w:val="2"/>
        </w:numPr>
        <w:contextualSpacing/>
        <w:jc w:val="both"/>
        <w:rPr>
          <w:bCs/>
          <w:color w:val="auto"/>
        </w:rPr>
      </w:pPr>
      <w:r>
        <w:rPr>
          <w:bCs/>
          <w:color w:val="auto"/>
        </w:rPr>
        <w:t>Have an understanding of business combinations</w:t>
      </w:r>
    </w:p>
    <w:p w:rsidR="00591B61" w:rsidRDefault="00591B61" w:rsidP="00591B61">
      <w:pPr>
        <w:pStyle w:val="Default"/>
        <w:numPr>
          <w:ilvl w:val="0"/>
          <w:numId w:val="2"/>
        </w:numPr>
        <w:contextualSpacing/>
        <w:jc w:val="both"/>
        <w:rPr>
          <w:bCs/>
          <w:color w:val="auto"/>
        </w:rPr>
      </w:pPr>
      <w:r>
        <w:rPr>
          <w:bCs/>
          <w:color w:val="auto"/>
        </w:rPr>
        <w:t>Preparation of basic group accounts-consolidated balance sheet fo0rn a company with one subsidiary</w:t>
      </w:r>
    </w:p>
    <w:p w:rsidR="00591B61" w:rsidRDefault="00591B61" w:rsidP="00591B61">
      <w:pPr>
        <w:pStyle w:val="Default"/>
        <w:numPr>
          <w:ilvl w:val="0"/>
          <w:numId w:val="2"/>
        </w:numPr>
        <w:contextualSpacing/>
        <w:jc w:val="both"/>
        <w:rPr>
          <w:bCs/>
          <w:color w:val="auto"/>
        </w:rPr>
      </w:pPr>
      <w:r>
        <w:rPr>
          <w:bCs/>
          <w:color w:val="auto"/>
        </w:rPr>
        <w:t>Understand techniques in accounting for income tax</w:t>
      </w:r>
    </w:p>
    <w:p w:rsidR="00591B61" w:rsidRDefault="00591B61" w:rsidP="00591B61">
      <w:pPr>
        <w:pStyle w:val="Default"/>
        <w:numPr>
          <w:ilvl w:val="0"/>
          <w:numId w:val="2"/>
        </w:numPr>
        <w:contextualSpacing/>
        <w:jc w:val="both"/>
        <w:rPr>
          <w:bCs/>
          <w:color w:val="auto"/>
        </w:rPr>
      </w:pPr>
      <w:r>
        <w:rPr>
          <w:bCs/>
          <w:color w:val="auto"/>
        </w:rPr>
        <w:t>Gain insight in accounting for property, plant and equipment</w:t>
      </w:r>
    </w:p>
    <w:p w:rsidR="00591B61" w:rsidRDefault="00591B61" w:rsidP="00591B61">
      <w:pPr>
        <w:pStyle w:val="Default"/>
        <w:numPr>
          <w:ilvl w:val="0"/>
          <w:numId w:val="2"/>
        </w:numPr>
        <w:contextualSpacing/>
        <w:jc w:val="both"/>
        <w:rPr>
          <w:bCs/>
          <w:color w:val="auto"/>
        </w:rPr>
      </w:pPr>
      <w:r>
        <w:rPr>
          <w:bCs/>
          <w:color w:val="auto"/>
        </w:rPr>
        <w:t>Understand techniques in liquidation accounting</w:t>
      </w:r>
    </w:p>
    <w:p w:rsidR="00591B61" w:rsidRDefault="00591B61" w:rsidP="00591B61">
      <w:pPr>
        <w:pStyle w:val="Default"/>
        <w:numPr>
          <w:ilvl w:val="0"/>
          <w:numId w:val="2"/>
        </w:numPr>
        <w:contextualSpacing/>
        <w:jc w:val="both"/>
        <w:rPr>
          <w:bCs/>
          <w:color w:val="auto"/>
        </w:rPr>
      </w:pPr>
      <w:r>
        <w:rPr>
          <w:bCs/>
          <w:color w:val="auto"/>
        </w:rPr>
        <w:t>Gain knowledge on financial statements disclosure</w:t>
      </w:r>
    </w:p>
    <w:p w:rsidR="00591B61" w:rsidRDefault="00591B61" w:rsidP="00591B61">
      <w:pPr>
        <w:pStyle w:val="Default"/>
        <w:contextualSpacing/>
        <w:rPr>
          <w:b/>
          <w:bCs/>
          <w:color w:val="auto"/>
        </w:rPr>
      </w:pPr>
    </w:p>
    <w:p w:rsidR="00591B61" w:rsidRDefault="00591B61" w:rsidP="00591B61">
      <w:pPr>
        <w:pStyle w:val="Default"/>
        <w:ind w:left="1440"/>
        <w:contextualSpacing/>
        <w:rPr>
          <w:b/>
          <w:bCs/>
          <w:color w:val="auto"/>
        </w:rPr>
      </w:pPr>
      <w:r>
        <w:rPr>
          <w:b/>
          <w:bCs/>
          <w:color w:val="auto"/>
        </w:rPr>
        <w:t xml:space="preserve">E1.1.3 Course content </w:t>
      </w:r>
    </w:p>
    <w:p w:rsidR="00591B61" w:rsidRDefault="00591B61" w:rsidP="00591B61">
      <w:pPr>
        <w:pStyle w:val="Default"/>
        <w:ind w:left="2070"/>
        <w:contextualSpacing/>
        <w:jc w:val="both"/>
        <w:rPr>
          <w:bCs/>
          <w:color w:val="auto"/>
        </w:rPr>
      </w:pPr>
      <w:r>
        <w:rPr>
          <w:bCs/>
          <w:color w:val="auto"/>
        </w:rPr>
        <w:t>Unit 1: Introduction to financial accounting</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2: Nature and Regulation of Companies</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3: Accounting Concepts and Accounting Framework</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4: Equity: Share capital and Reserves</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5: Accounting for Income Tax</w:t>
      </w:r>
    </w:p>
    <w:p w:rsidR="00591B61" w:rsidRDefault="00591B61" w:rsidP="00591B61">
      <w:pPr>
        <w:pStyle w:val="Default"/>
        <w:ind w:left="2070"/>
        <w:contextualSpacing/>
        <w:jc w:val="both"/>
        <w:rPr>
          <w:bCs/>
          <w:color w:val="auto"/>
        </w:rPr>
      </w:pPr>
      <w:r>
        <w:rPr>
          <w:bCs/>
          <w:color w:val="auto"/>
        </w:rPr>
        <w:t>Unit 6: Business Combinations</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7: Group Financial Statements</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8: Property, Plant and Equipment</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9: Impairment of asset</w:t>
      </w:r>
    </w:p>
    <w:p w:rsidR="00591B61" w:rsidRDefault="00591B61" w:rsidP="00591B61">
      <w:pPr>
        <w:pStyle w:val="Default"/>
        <w:contextualSpacing/>
        <w:jc w:val="both"/>
        <w:rPr>
          <w:bCs/>
          <w:color w:val="auto"/>
        </w:rPr>
      </w:pPr>
    </w:p>
    <w:p w:rsidR="00591B61" w:rsidRDefault="00591B61" w:rsidP="00591B61">
      <w:pPr>
        <w:pStyle w:val="Default"/>
        <w:ind w:left="2070"/>
        <w:contextualSpacing/>
        <w:jc w:val="both"/>
        <w:rPr>
          <w:bCs/>
          <w:color w:val="auto"/>
        </w:rPr>
      </w:pPr>
      <w:r>
        <w:rPr>
          <w:bCs/>
          <w:color w:val="auto"/>
        </w:rPr>
        <w:t>Unit 10: Liquidation Basis of Accounting</w:t>
      </w:r>
    </w:p>
    <w:p w:rsidR="00591B61" w:rsidRDefault="00591B61" w:rsidP="00591B61">
      <w:pPr>
        <w:pStyle w:val="Default"/>
        <w:ind w:left="2070"/>
        <w:contextualSpacing/>
        <w:jc w:val="both"/>
        <w:rPr>
          <w:bCs/>
          <w:color w:val="auto"/>
        </w:rPr>
      </w:pPr>
    </w:p>
    <w:p w:rsidR="00591B61" w:rsidRDefault="00591B61" w:rsidP="00591B61">
      <w:pPr>
        <w:pStyle w:val="Default"/>
        <w:ind w:left="2070"/>
        <w:contextualSpacing/>
        <w:jc w:val="both"/>
        <w:rPr>
          <w:bCs/>
          <w:color w:val="auto"/>
        </w:rPr>
      </w:pPr>
      <w:r>
        <w:rPr>
          <w:bCs/>
          <w:color w:val="auto"/>
        </w:rPr>
        <w:t>Unit 11: Financial Statements disclosure</w:t>
      </w:r>
    </w:p>
    <w:p w:rsidR="00591B61" w:rsidRDefault="00591B61" w:rsidP="00591B61">
      <w:pPr>
        <w:pStyle w:val="Default"/>
        <w:ind w:left="2070"/>
        <w:contextualSpacing/>
        <w:jc w:val="both"/>
        <w:rPr>
          <w:bCs/>
          <w:color w:val="auto"/>
        </w:rPr>
      </w:pPr>
    </w:p>
    <w:p w:rsidR="00591B61" w:rsidRDefault="00591B61" w:rsidP="00591B61">
      <w:pPr>
        <w:pStyle w:val="Default"/>
        <w:ind w:left="1440"/>
        <w:contextualSpacing/>
        <w:jc w:val="both"/>
        <w:rPr>
          <w:b/>
          <w:bCs/>
          <w:color w:val="auto"/>
        </w:rPr>
      </w:pPr>
    </w:p>
    <w:p w:rsidR="00591B61" w:rsidRDefault="00591B61" w:rsidP="00591B61">
      <w:pPr>
        <w:pStyle w:val="Default"/>
        <w:ind w:left="1440"/>
        <w:contextualSpacing/>
        <w:rPr>
          <w:b/>
          <w:bCs/>
          <w:color w:val="auto"/>
        </w:rPr>
      </w:pPr>
    </w:p>
    <w:p w:rsidR="00591B61" w:rsidRDefault="00591B61" w:rsidP="00591B61">
      <w:pPr>
        <w:pStyle w:val="Default"/>
        <w:ind w:left="1440"/>
        <w:contextualSpacing/>
        <w:rPr>
          <w:b/>
          <w:bCs/>
          <w:color w:val="auto"/>
        </w:rPr>
      </w:pPr>
      <w:r>
        <w:rPr>
          <w:b/>
          <w:bCs/>
          <w:color w:val="auto"/>
        </w:rPr>
        <w:t>E1.1.4</w:t>
      </w:r>
      <w:r>
        <w:rPr>
          <w:b/>
          <w:bCs/>
          <w:color w:val="auto"/>
        </w:rPr>
        <w:tab/>
        <w:t>Assessment</w:t>
      </w:r>
    </w:p>
    <w:p w:rsidR="00591B61" w:rsidRDefault="00591B61" w:rsidP="00591B61">
      <w:pPr>
        <w:pStyle w:val="Default"/>
        <w:ind w:left="1440"/>
        <w:contextualSpacing/>
        <w:rPr>
          <w:b/>
          <w:bCs/>
          <w:color w:val="auto"/>
        </w:rPr>
      </w:pPr>
    </w:p>
    <w:p w:rsidR="00591B61" w:rsidRDefault="00591B61" w:rsidP="00591B61">
      <w:pPr>
        <w:pStyle w:val="Default"/>
        <w:numPr>
          <w:ilvl w:val="0"/>
          <w:numId w:val="3"/>
        </w:numPr>
        <w:contextualSpacing/>
        <w:rPr>
          <w:bCs/>
          <w:color w:val="auto"/>
        </w:rPr>
      </w:pPr>
      <w:r>
        <w:rPr>
          <w:bCs/>
          <w:color w:val="auto"/>
        </w:rPr>
        <w:t>Assignments:</w:t>
      </w:r>
      <w:r>
        <w:rPr>
          <w:bCs/>
          <w:color w:val="auto"/>
        </w:rPr>
        <w:tab/>
        <w:t>50%</w:t>
      </w:r>
    </w:p>
    <w:p w:rsidR="00591B61" w:rsidRDefault="00591B61" w:rsidP="00591B61">
      <w:pPr>
        <w:pStyle w:val="Default"/>
        <w:ind w:left="720" w:firstLine="720"/>
        <w:contextualSpacing/>
        <w:rPr>
          <w:bCs/>
          <w:color w:val="auto"/>
        </w:rPr>
      </w:pPr>
    </w:p>
    <w:p w:rsidR="00591B61" w:rsidRDefault="00591B61" w:rsidP="00591B61">
      <w:pPr>
        <w:pStyle w:val="Default"/>
        <w:numPr>
          <w:ilvl w:val="0"/>
          <w:numId w:val="3"/>
        </w:numPr>
        <w:contextualSpacing/>
        <w:rPr>
          <w:bCs/>
          <w:color w:val="auto"/>
        </w:rPr>
      </w:pPr>
      <w:r>
        <w:rPr>
          <w:bCs/>
          <w:color w:val="auto"/>
        </w:rPr>
        <w:t>Examination:</w:t>
      </w:r>
      <w:r>
        <w:rPr>
          <w:bCs/>
          <w:color w:val="auto"/>
        </w:rPr>
        <w:tab/>
        <w:t>50%</w:t>
      </w:r>
    </w:p>
    <w:p w:rsidR="00591B61" w:rsidRDefault="00591B61" w:rsidP="00591B61">
      <w:pPr>
        <w:pStyle w:val="Default"/>
        <w:ind w:left="1440"/>
        <w:contextualSpacing/>
        <w:rPr>
          <w:b/>
          <w:bCs/>
          <w:color w:val="auto"/>
        </w:rPr>
      </w:pPr>
    </w:p>
    <w:p w:rsidR="00591B61" w:rsidRDefault="00591B61" w:rsidP="00591B61">
      <w:pPr>
        <w:pStyle w:val="Default"/>
        <w:ind w:left="1440"/>
        <w:contextualSpacing/>
        <w:rPr>
          <w:b/>
          <w:bCs/>
          <w:color w:val="auto"/>
        </w:rPr>
      </w:pPr>
      <w:r>
        <w:rPr>
          <w:b/>
          <w:bCs/>
          <w:color w:val="auto"/>
        </w:rPr>
        <w:t>E1.1.5</w:t>
      </w:r>
      <w:r>
        <w:rPr>
          <w:b/>
          <w:bCs/>
          <w:color w:val="auto"/>
        </w:rPr>
        <w:tab/>
        <w:t>Prescribed Textbook</w:t>
      </w:r>
    </w:p>
    <w:p w:rsidR="00591B61" w:rsidRDefault="00591B61" w:rsidP="00591B61">
      <w:pPr>
        <w:pStyle w:val="Default"/>
        <w:contextualSpacing/>
        <w:rPr>
          <w:bCs/>
          <w:color w:val="auto"/>
        </w:rPr>
      </w:pPr>
    </w:p>
    <w:p w:rsidR="00591B61" w:rsidRDefault="00591B61" w:rsidP="00591B61">
      <w:pPr>
        <w:pStyle w:val="Default"/>
        <w:ind w:firstLine="720"/>
        <w:contextualSpacing/>
        <w:rPr>
          <w:bCs/>
          <w:color w:val="auto"/>
        </w:rPr>
      </w:pPr>
      <w:proofErr w:type="gramStart"/>
      <w:r>
        <w:rPr>
          <w:bCs/>
          <w:color w:val="auto"/>
        </w:rPr>
        <w:t xml:space="preserve">Frank Wood &amp; Alan Sangster, (2008), </w:t>
      </w:r>
      <w:r>
        <w:rPr>
          <w:bCs/>
          <w:color w:val="auto"/>
          <w:u w:val="single"/>
        </w:rPr>
        <w:t>Business Accounting 2</w:t>
      </w:r>
      <w:r>
        <w:rPr>
          <w:bCs/>
          <w:color w:val="auto"/>
          <w:vertAlign w:val="superscript"/>
        </w:rPr>
        <w:t>,</w:t>
      </w:r>
      <w:r>
        <w:rPr>
          <w:bCs/>
          <w:color w:val="auto"/>
        </w:rPr>
        <w:t xml:space="preserve"> Eleventh Edition.</w:t>
      </w:r>
      <w:proofErr w:type="gramEnd"/>
    </w:p>
    <w:p w:rsidR="00591B61" w:rsidRDefault="00591B61" w:rsidP="00591B61">
      <w:pPr>
        <w:pStyle w:val="Default"/>
        <w:contextualSpacing/>
        <w:rPr>
          <w:b/>
          <w:bCs/>
          <w:color w:val="auto"/>
        </w:rPr>
      </w:pPr>
    </w:p>
    <w:p w:rsidR="00591B61" w:rsidRDefault="00591B61" w:rsidP="00591B61">
      <w:pPr>
        <w:pStyle w:val="Default"/>
        <w:ind w:left="1440"/>
        <w:contextualSpacing/>
        <w:rPr>
          <w:b/>
          <w:bCs/>
          <w:color w:val="auto"/>
        </w:rPr>
      </w:pPr>
      <w:r>
        <w:rPr>
          <w:b/>
          <w:bCs/>
          <w:color w:val="auto"/>
        </w:rPr>
        <w:t>E1.1.6</w:t>
      </w:r>
      <w:r>
        <w:rPr>
          <w:b/>
          <w:bCs/>
          <w:color w:val="auto"/>
        </w:rPr>
        <w:tab/>
        <w:t>Recommended Readings</w:t>
      </w:r>
    </w:p>
    <w:p w:rsidR="00591B61" w:rsidRDefault="00591B61" w:rsidP="00591B61">
      <w:pPr>
        <w:pStyle w:val="Default"/>
        <w:contextualSpacing/>
        <w:jc w:val="both"/>
        <w:rPr>
          <w:bCs/>
          <w:color w:val="auto"/>
        </w:rPr>
      </w:pPr>
    </w:p>
    <w:p w:rsidR="00591B61" w:rsidRDefault="00591B61" w:rsidP="00591B61">
      <w:pPr>
        <w:pStyle w:val="Default"/>
        <w:ind w:left="720"/>
        <w:contextualSpacing/>
        <w:jc w:val="both"/>
        <w:rPr>
          <w:bCs/>
          <w:color w:val="auto"/>
        </w:rPr>
      </w:pPr>
      <w:proofErr w:type="gramStart"/>
      <w:r>
        <w:rPr>
          <w:bCs/>
          <w:color w:val="auto"/>
        </w:rPr>
        <w:t xml:space="preserve">A.T. </w:t>
      </w:r>
      <w:proofErr w:type="spellStart"/>
      <w:r>
        <w:rPr>
          <w:bCs/>
          <w:color w:val="auto"/>
        </w:rPr>
        <w:t>Foulks</w:t>
      </w:r>
      <w:proofErr w:type="spellEnd"/>
      <w:r>
        <w:rPr>
          <w:bCs/>
          <w:color w:val="auto"/>
        </w:rPr>
        <w:t xml:space="preserve"> Lynch Ltd, (1997), </w:t>
      </w:r>
      <w:r>
        <w:rPr>
          <w:bCs/>
          <w:color w:val="auto"/>
          <w:u w:val="single"/>
        </w:rPr>
        <w:t>Financial Accounting</w:t>
      </w:r>
      <w:r>
        <w:rPr>
          <w:bCs/>
          <w:color w:val="auto"/>
        </w:rPr>
        <w:t>, National Technicians.</w:t>
      </w:r>
      <w:proofErr w:type="gramEnd"/>
    </w:p>
    <w:p w:rsidR="00591B61" w:rsidRDefault="00591B61" w:rsidP="00591B61">
      <w:pPr>
        <w:pStyle w:val="Default"/>
        <w:ind w:left="720"/>
        <w:contextualSpacing/>
        <w:jc w:val="both"/>
        <w:rPr>
          <w:bCs/>
          <w:color w:val="auto"/>
        </w:rPr>
      </w:pPr>
    </w:p>
    <w:p w:rsidR="00591B61" w:rsidRDefault="00591B61" w:rsidP="00591B61">
      <w:pPr>
        <w:pStyle w:val="Default"/>
        <w:ind w:left="720"/>
        <w:contextualSpacing/>
        <w:jc w:val="both"/>
        <w:rPr>
          <w:bCs/>
          <w:color w:val="auto"/>
        </w:rPr>
      </w:pPr>
      <w:r>
        <w:rPr>
          <w:bCs/>
          <w:color w:val="auto"/>
        </w:rPr>
        <w:t xml:space="preserve">J.R. Dyson, (2004), </w:t>
      </w:r>
      <w:r>
        <w:rPr>
          <w:bCs/>
          <w:color w:val="auto"/>
          <w:u w:val="single"/>
        </w:rPr>
        <w:t>Accounting for non-accounting students</w:t>
      </w:r>
      <w:r>
        <w:rPr>
          <w:bCs/>
          <w:color w:val="auto"/>
        </w:rPr>
        <w:t>, Sixth Edition.</w:t>
      </w:r>
    </w:p>
    <w:p w:rsidR="00591B61" w:rsidRDefault="00591B61" w:rsidP="00591B61">
      <w:pPr>
        <w:pStyle w:val="Default"/>
        <w:ind w:left="720"/>
        <w:contextualSpacing/>
        <w:jc w:val="both"/>
        <w:rPr>
          <w:bCs/>
          <w:color w:val="auto"/>
        </w:rPr>
      </w:pPr>
    </w:p>
    <w:p w:rsidR="00591B61" w:rsidRDefault="00591B61" w:rsidP="00591B61">
      <w:pPr>
        <w:pStyle w:val="Default"/>
        <w:ind w:left="720"/>
        <w:contextualSpacing/>
        <w:jc w:val="both"/>
        <w:rPr>
          <w:bCs/>
          <w:color w:val="auto"/>
        </w:rPr>
      </w:pPr>
      <w:proofErr w:type="gramStart"/>
      <w:r>
        <w:rPr>
          <w:bCs/>
          <w:color w:val="auto"/>
        </w:rPr>
        <w:t xml:space="preserve">Augustine Benedict, (2008), </w:t>
      </w:r>
      <w:r>
        <w:rPr>
          <w:bCs/>
          <w:color w:val="auto"/>
          <w:u w:val="single"/>
        </w:rPr>
        <w:t>Financial Accounting, an Introduction,</w:t>
      </w:r>
      <w:r>
        <w:rPr>
          <w:bCs/>
          <w:color w:val="auto"/>
        </w:rPr>
        <w:t xml:space="preserve"> First Edition.</w:t>
      </w:r>
      <w:proofErr w:type="gramEnd"/>
      <w:r>
        <w:rPr>
          <w:bCs/>
          <w:color w:val="auto"/>
        </w:rPr>
        <w:t xml:space="preserve"> </w:t>
      </w:r>
    </w:p>
    <w:p w:rsidR="00591B61" w:rsidRDefault="00591B61" w:rsidP="00591B61">
      <w:pPr>
        <w:pStyle w:val="Default"/>
        <w:ind w:left="720"/>
        <w:contextualSpacing/>
        <w:rPr>
          <w:b/>
          <w:bCs/>
          <w:color w:val="auto"/>
        </w:rPr>
      </w:pPr>
    </w:p>
    <w:p w:rsidR="00591B61" w:rsidRDefault="00591B61" w:rsidP="00591B61">
      <w:pPr>
        <w:pStyle w:val="Default"/>
        <w:contextualSpacing/>
        <w:rPr>
          <w:b/>
          <w:bCs/>
        </w:rPr>
      </w:pPr>
    </w:p>
    <w:p w:rsidR="00591B61" w:rsidRDefault="00591B61" w:rsidP="00591B61">
      <w:pPr>
        <w:pStyle w:val="Default"/>
        <w:contextualSpacing/>
        <w:rPr>
          <w:b/>
          <w:bCs/>
        </w:rPr>
      </w:pPr>
    </w:p>
    <w:p w:rsidR="000E2BF2" w:rsidRDefault="000E2BF2"/>
    <w:sectPr w:rsidR="000E2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3444"/>
    <w:multiLevelType w:val="multilevel"/>
    <w:tmpl w:val="042F344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1">
    <w:nsid w:val="30323D8C"/>
    <w:multiLevelType w:val="multilevel"/>
    <w:tmpl w:val="30323D8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
    <w:nsid w:val="52E9741A"/>
    <w:multiLevelType w:val="multilevel"/>
    <w:tmpl w:val="52E9741A"/>
    <w:lvl w:ilvl="0">
      <w:start w:val="1"/>
      <w:numFmt w:val="bullet"/>
      <w:lvlText w:val=""/>
      <w:lvlJc w:val="left"/>
      <w:pPr>
        <w:ind w:left="2070" w:hanging="360"/>
      </w:pPr>
      <w:rPr>
        <w:rFonts w:ascii="Symbol" w:hAnsi="Symbol" w:hint="default"/>
      </w:r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1B61"/>
    <w:rsid w:val="000E2BF2"/>
    <w:rsid w:val="002A5C0B"/>
    <w:rsid w:val="00591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91B61"/>
    <w:pPr>
      <w:widowControl w:val="0"/>
      <w:autoSpaceDE w:val="0"/>
      <w:autoSpaceDN w:val="0"/>
      <w:adjustRightInd w:val="0"/>
    </w:pPr>
    <w:rPr>
      <w:rFonts w:ascii="Times New Roman" w:eastAsiaTheme="minorHAnsi" w:hAnsi="Times New Roman" w:cs="Times New Roman"/>
      <w:color w:val="000000"/>
      <w:sz w:val="24"/>
      <w:szCs w:val="24"/>
    </w:rPr>
  </w:style>
  <w:style w:type="paragraph" w:styleId="NoSpacing">
    <w:name w:val="No Spacing"/>
    <w:link w:val="NoSpacingChar"/>
    <w:qFormat/>
    <w:rsid w:val="00591B61"/>
    <w:rPr>
      <w:rFonts w:ascii="Arial" w:eastAsia="Batang" w:hAnsi="Arial" w:cs="Times New Roman"/>
      <w:sz w:val="20"/>
      <w:szCs w:val="20"/>
    </w:rPr>
  </w:style>
  <w:style w:type="character" w:customStyle="1" w:styleId="NoSpacingChar">
    <w:name w:val="No Spacing Char"/>
    <w:basedOn w:val="DefaultParagraphFont"/>
    <w:link w:val="NoSpacing"/>
    <w:rsid w:val="00591B61"/>
    <w:rPr>
      <w:rFonts w:ascii="Arial" w:eastAsia="Batang"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FILIMLIGHTS</dc:creator>
  <cp:lastModifiedBy>FILIMLIGHTS</cp:lastModifiedBy>
  <cp:revision>2</cp:revision>
  <dcterms:created xsi:type="dcterms:W3CDTF">2020-09-22T18:40:00Z</dcterms:created>
  <dcterms:modified xsi:type="dcterms:W3CDTF">2020-09-22T18:40:00Z</dcterms:modified>
</cp:coreProperties>
</file>