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算力约束下提升大语言模型能力的资源配置建模</w:t>
      </w:r>
    </w:p>
    <w:p>
      <w:pPr>
        <w:pStyle w:val="Heading1"/>
      </w:pPr>
      <w:r>
        <w:t>摘要</w:t>
      </w:r>
    </w:p>
    <w:p>
      <w:r>
        <w:t>大语言模型的能力由参数量 N、训练数据量 D、数据质量 Q、领域配比 p 与上下文长度共同决定，而算力预算始终有限，五者之间存在可量化的取舍关系。本文围绕“数据刻画—规律统一—约束优化—前沿预测”主线，基于附件 A、B、C 三套数据建立完整模型链，全部结论均经多重稳健性检验。</w:t>
      </w:r>
    </w:p>
    <w:p>
      <w:r>
        <w:t>针对问题一，构建“熵权 + CRITIC 组合赋权”的 18 指标质量评分链，界定并消解指标冲突；在单纯形约束下建立 17 域配比—损失关系（ILR 逐域选型 test_1m 宏平均 R²=0.896），主判据反向 Spearman ρ=−0.835。</w:t>
      </w:r>
    </w:p>
    <w:p>
      <w:r>
        <w:t>针对问题二，构建广义标度律，经典部分 E=1.690、α=0.340、β=0.280，质量项 θ_Q=0.363，质量提升 0.1 等价于参数 +37.4%。</w:t>
      </w:r>
    </w:p>
    <w:p>
      <w:r>
        <w:t>针对问题三，算力预算下联合优化满足 KKT 等边际（偏差 0.00%），识别结构性转移。</w:t>
      </w:r>
    </w:p>
    <w:p>
      <w:r>
        <w:t>针对问题四，C8 重建 Pearson 0.968，预测 12/24 个月开源前沿 49.34 / 51.01。</w:t>
      </w:r>
    </w:p>
    <w:p>
      <w:r>
        <w:t>关键词：标度律；数据质量评价；领域配比；算力约束优化；技术演进预测</w:t>
      </w:r>
    </w:p>
    <w:p>
      <w:pPr>
        <w:pStyle w:val="Heading1"/>
      </w:pPr>
      <w:r>
        <w:t>一、解题思路与技术路线</w:t>
      </w:r>
    </w:p>
    <w:p>
      <w:r>
        <w:drawing>
          <wp:inline xmlns:a="http://schemas.openxmlformats.org/drawingml/2006/main" xmlns:pic="http://schemas.openxmlformats.org/drawingml/2006/picture">
            <wp:extent cx="5486400" cy="2826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ch_route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 全文技术路线</w:t>
      </w:r>
    </w:p>
    <w:p>
      <w:r>
        <w:t>本文按四步递进：问题一产出域级质量分与配比响应面；问题二建立含 N、D、Q、p 的广义标度律；问题三求解算力约束下的最优资源配置；问题四完成桥接、分解与前沿预测。</w:t>
      </w:r>
    </w:p>
    <w:p>
      <w:pPr>
        <w:pStyle w:val="Heading1"/>
      </w:pPr>
      <w:r>
        <w:t>二、问题一：数据质量评价与领域配比建模</w:t>
      </w:r>
    </w:p>
    <w:p>
      <w:pPr>
        <w:pStyle w:val="Heading2"/>
      </w:pPr>
      <w:r>
        <w:t>2.1 质量评价模型</w:t>
      </w:r>
    </w:p>
    <w:p>
      <w:r>
        <w:t>构建 18 指标协议（15 ECDF 语义 + 3 区间型长度），组级 CRITIC 赋权（reason 组 0.347 最高），以 IQR 栅栏 + Huber 稳健重打分消解冲突。</w:t>
      </w:r>
    </w:p>
    <w:p>
      <w:r>
        <w:drawing>
          <wp:inline xmlns:a="http://schemas.openxmlformats.org/drawingml/2006/main" xmlns:pic="http://schemas.openxmlformats.org/drawingml/2006/picture">
            <wp:extent cx="5486400" cy="5908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ecdf_grid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  15 个质量指标在 A1 七域上的经验累积分布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weights_v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  组级赋权方案对比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corr_heatmap_v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  15 个质量指标的 Spearman 相关矩阵</w:t>
      </w:r>
    </w:p>
    <w:p>
      <w:r>
        <w:drawing>
          <wp:inline xmlns:a="http://schemas.openxmlformats.org/drawingml/2006/main" xmlns:pic="http://schemas.openxmlformats.org/drawingml/2006/picture">
            <wp:extent cx="5486400" cy="4642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conflict_heatmap_v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  五组质量分数的组间冲突倍率矩阵</w:t>
      </w:r>
    </w:p>
    <w:p>
      <w:pPr>
        <w:pStyle w:val="Heading2"/>
      </w:pPr>
      <w:r>
        <w:t>2.2 配比—损失定量关系</w:t>
      </w:r>
    </w:p>
    <w:p>
      <w:r>
        <w:t>17 域配比经乘性零值替换与 ILR 变换后，逐域模型选型在 test_1m 上取得宏平均 R²=0.896（13/13 域为正），主判据反向 Spearman ρ=−0.835。</w:t>
      </w:r>
    </w:p>
    <w:p>
      <w:pPr>
        <w:pStyle w:val="Heading1"/>
      </w:pPr>
      <w:r>
        <w:t>三、问题二：广义标度律</w:t>
      </w:r>
    </w:p>
    <w:p>
      <w:pPr>
        <w:pStyle w:val="Heading2"/>
      </w:pPr>
      <w:r>
        <w:t>3.1 经典标度律</w:t>
      </w:r>
    </w:p>
    <w:p>
      <w:r>
        <w:t>经典标度律为</w:t>
      </w:r>
    </w:p>
    <w:p>
      <m:oMath>
        <m:r>
          <m:t>L(N,D) = E + A·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t>-α</m:t>
        </m:r>
        <m:r>
          <m:t> + B·</m:t>
        </m:r>
        <m:sSup>
          <m:e>
            <m:r>
              <m:t>D</m:t>
            </m:r>
          </m:e>
          <m:sup>
            <m:r>
              <m:t>D</m:t>
            </m:r>
          </m:sup>
        </m:sSup>
        <m:r>
          <m:t>-β</m:t>
        </m:r>
      </m:oMath>
    </w:p>
    <w:p>
      <w:r>
        <w:t>在 B1 完整解析网格上拟合得 E=1.690、α=0.340、β=0.280。</w:t>
      </w:r>
    </w:p>
    <w:p>
      <w:r>
        <w:drawing>
          <wp:inline xmlns:a="http://schemas.openxmlformats.org/drawingml/2006/main" xmlns:pic="http://schemas.openxmlformats.org/drawingml/2006/picture">
            <wp:extent cx="5486400" cy="4042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isoloss_v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6  经典标度律等损失地形与计算最优前沿</w:t>
      </w:r>
    </w:p>
    <w:p>
      <w:pPr>
        <w:pStyle w:val="Heading2"/>
      </w:pPr>
      <w:r>
        <w:t>3.2 质量项的引入</w:t>
      </w:r>
    </w:p>
    <w:p>
      <w:r>
        <w:t>质量以加性非对称项进入，广义标度律为</w:t>
      </w:r>
    </w:p>
    <w:p>
      <m:oMath>
        <m:r>
          <m:t>L(N,D,Q) = </m:t>
        </m:r>
        <m:sSub>
          <m:e>
            <m:r>
              <m:t>L</m:t>
            </m:r>
          </m:e>
          <m:sub>
            <m:r>
              <m:t>L</m:t>
            </m:r>
          </m:sub>
        </m:sSub>
        <m:r>
          <m:t>0</m:t>
        </m:r>
        <m:r>
          <m:t>(N,D) + </m:t>
        </m:r>
        <m:sSub>
          <m:e>
            <m:r>
              <m:t>θ</m:t>
            </m:r>
          </m:e>
          <m:sub>
            <m:r>
              <m:t>θ</m:t>
            </m:r>
          </m:sub>
        </m:sSub>
        <m:r>
          <m:t>Q</m:t>
        </m:r>
        <m:r>
          <m:t>·(Q</m:t>
        </m:r>
        <m:sSub>
          <m:e>
            <m:r>
              <m:t>0</m:t>
            </m:r>
          </m:e>
          <m:sub>
            <m:r>
              <m:t>0</m:t>
            </m:r>
          </m:sub>
        </m:sSub>
        <m:r>
          <m:t>−Q)·(D/100)</m:t>
        </m:r>
        <m:sSup>
          <m:e>
            <m:r>
              <m:t>−γ</m:t>
            </m:r>
          </m:e>
          <m:sup>
            <m:r>
              <m:t>−γ</m:t>
            </m:r>
          </m:sup>
        </m:sSup>
      </m:oMath>
    </w:p>
    <w:p>
      <w:r>
        <w:t>其中 θ_Q=0.363 [0.338, 0.390]，Q0=1.002，γ=0.041；Q→Q0 时精确退化为经典律。B6 R²=0.953、B7 R²=0.955、B8 乘性机制 R²=0.947。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substitution_v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7  质量—规模替代曲线（bootstrap 带）</w:t>
      </w:r>
    </w:p>
    <w:p>
      <w:pPr>
        <w:pStyle w:val="Heading2"/>
      </w:pPr>
      <w:r>
        <w:t>3.3 配比效应与跨尺度收缩</w:t>
      </w:r>
    </w:p>
    <w:p>
      <w:r>
        <w:t>配比效应随参数规模幂律衰减（δ&lt;0，13 域均值 −0.202±0.078）。</w:t>
      </w:r>
    </w:p>
    <w:p>
      <w:r>
        <w:drawing>
          <wp:inline xmlns:a="http://schemas.openxmlformats.org/drawingml/2006/main" xmlns:pic="http://schemas.openxmlformats.org/drawingml/2006/picture">
            <wp:extent cx="5486400" cy="35475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cipe_shrinkage_v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8  配比效应随规模幂律收缩（κ=0.145）</w:t>
      </w:r>
    </w:p>
    <w:p>
      <w:pPr>
        <w:pStyle w:val="Heading1"/>
      </w:pPr>
      <w:r>
        <w:t>四、问题三：算力预算下的资源配置优化</w:t>
      </w:r>
    </w:p>
    <w:p>
      <w:pPr>
        <w:pStyle w:val="Heading2"/>
      </w:pPr>
      <w:r>
        <w:t>4.1 优化模型</w:t>
      </w:r>
    </w:p>
    <w:p>
      <m:oMath>
        <m:r>
          <m:t>min</m:t>
        </m:r>
        <m:sSub>
          <m:e>
            <m:r>
              <m:t>N,D,Q,p</m:t>
            </m:r>
          </m:e>
          <m:sub>
            <m:r>
              <m:t>N,D,Q,p</m:t>
            </m:r>
          </m:sub>
        </m:sSub>
        <m:r>
          <m:t> L(N,D,Q,p)   s.t.   (6+η</m:t>
        </m:r>
        <m:sSub>
          <m:e>
            <m:r>
              <m:t>L</m:t>
            </m:r>
          </m:e>
          <m:sub>
            <m:r>
              <m:t>L</m:t>
            </m:r>
          </m:sub>
        </m:sSub>
        <m:r>
          <m:t>ctx</m:t>
        </m:r>
        <m:r>
          <m:t>)ND + D[g(Q)−g(Q</m:t>
        </m:r>
        <m:sSub>
          <m:e>
            <m:r>
              <m:t>0</m:t>
            </m:r>
          </m:e>
          <m:sub>
            <m:r>
              <m:t>0</m:t>
            </m:r>
          </m:sub>
        </m:sSub>
        <m:r>
          <m:t>)]</m:t>
        </m:r>
        <m:sSub>
          <m:e>
            <m:r>
              <m:t>+</m:t>
            </m:r>
          </m:e>
          <m:sub>
            <m:r>
              <m:t>+</m:t>
            </m:r>
          </m:sub>
        </m:sSub>
        <m:r>
          <m:t> ≤ C</m:t>
        </m:r>
      </m:oMath>
    </w:p>
    <w:p>
      <w:r>
        <w:t>p 可分离，先定配比、再联合优化 (N,D,Q)，L-BFGS-B 多起点求二维最优。</w:t>
      </w:r>
    </w:p>
    <w:p>
      <w:pPr>
        <w:pStyle w:val="Heading2"/>
      </w:pPr>
      <w:r>
        <w:t>4.2 最优性与结构性转移</w:t>
      </w:r>
    </w:p>
    <w:p>
      <w:r>
        <w:t>最优解满足 KKT 等边际（偏差 0.00%），邻域扰动无改进（0%），预算占用 100%；识别出 logC≈20.25 处质量目标由内部解切换至 ceiling 的结构性转移。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budget_shares_v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9  最优解的算力份额三元轨迹</w:t>
      </w:r>
    </w:p>
    <w:p>
      <w:pPr>
        <w:pStyle w:val="Heading1"/>
      </w:pPr>
      <w:r>
        <w:t>五、问题四：能力演进与前沿预测</w:t>
      </w:r>
    </w:p>
    <w:p>
      <w:r>
        <w:t>以 C8 逐任务聚合重建综合分并与 C1 交叉校验（Pearson 0.968），建立 Loss-Benchmark 仿射桥接，分解规模扩张（约八成）与非规模技术进步的贡献；以高分位回归刻画能力前沿，预测 12/24 个月开源前沿 49.34 [48.09, 50.59] 与 51.01 [49.76, 52.26]。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license_v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10  开源口径披露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backtest_frontier_v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11  前沿序列 · 滚动回测 · 12/24 个月预测</w:t>
      </w:r>
    </w:p>
    <w:p>
      <w:r>
        <w:drawing>
          <wp:inline xmlns:a="http://schemas.openxmlformats.org/drawingml/2006/main" xmlns:pic="http://schemas.openxmlformats.org/drawingml/2006/picture">
            <wp:extent cx="5486400" cy="50643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c8_scatter_v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12  C8 重建综合分 vs C1 综合分</w:t>
      </w:r>
    </w:p>
    <w:p>
      <w:pPr>
        <w:pStyle w:val="Heading1"/>
      </w:pPr>
      <w:r>
        <w:t>六、模型检验与稳健性分析</w:t>
      </w:r>
    </w:p>
    <w:p>
      <w:r>
        <w:t>多框架交叉验证：标度律/配比/分位回归跨框架系数偏差 ≤1e-6；质量项相对无质量基线配对 t 检验 p&lt;1e-5；四代基准套件全部 PASS。</w:t>
      </w:r>
    </w:p>
    <w:p>
      <w:r>
        <w:drawing>
          <wp:inline xmlns:a="http://schemas.openxmlformats.org/drawingml/2006/main" xmlns:pic="http://schemas.openxmlformats.org/drawingml/2006/picture">
            <wp:extent cx="5486400" cy="34995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ultiframework_v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9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13  多框架交叉验证的数值稳健性</w:t>
      </w:r>
    </w:p>
    <w:p>
      <w:r>
        <w:drawing>
          <wp:inline xmlns:a="http://schemas.openxmlformats.org/drawingml/2006/main" xmlns:pic="http://schemas.openxmlformats.org/drawingml/2006/picture">
            <wp:extent cx="5486400" cy="39930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osure_v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14  P3 最优轨迹 vs 真实训练点（Pearson=0.921）</w:t>
      </w:r>
    </w:p>
    <w:p>
      <w:pPr>
        <w:pStyle w:val="Heading1"/>
      </w:pPr>
      <w:r>
        <w:t>七、结果总结与决策建议</w:t>
      </w:r>
    </w:p>
    <w:p>
      <w:r>
        <w:t>1. 质量是最高杠杆（η_Q=−0.102，质量 +0.1 ≈ 参数 +37.4%）；2. 配比杠杆有限且随规模衰减（δ&lt;0）；3. 规模扩张仍是前沿主导（约八成）；4. 预算配置遵循等边际（KKT 0.00%）。</w:t>
      </w:r>
    </w:p>
    <w:p>
      <w:pPr>
        <w:pStyle w:val="Heading1"/>
      </w:pPr>
      <w:r>
        <w:t>八、模型评价与改进</w:t>
      </w:r>
    </w:p>
    <w:p>
      <w:r>
        <w:t>优点：四问闭环、多重稳健性检验、因果表述分层。局限：半合成数据使 θ_Q 属跨源转移系数；回测样本仅 4 点；配方实验中质量与域身份设计性混杂。</w:t>
      </w:r>
    </w:p>
    <w:p>
      <w:pPr>
        <w:pStyle w:val="Heading1"/>
      </w:pPr>
      <w:r>
        <w:t>九、参考文献</w:t>
      </w:r>
    </w:p>
    <w:p>
      <w:r>
        <w:t>[1] Kaplan J, et al. Scaling Laws for Neural Language Models. arXiv:2001.08361, 2020.</w:t>
      </w:r>
    </w:p>
    <w:p>
      <w:r>
        <w:t>[2] Hoffmann J, et al. Training Compute-Optimal Large Language Models. arXiv:2203.15556, 2022.</w:t>
      </w:r>
    </w:p>
    <w:p>
      <w:r>
        <w:t>[3] Liu Q, et al. RegMix: Data Mixture as Regression. arXiv:2407.01492, 2024.</w:t>
      </w:r>
    </w:p>
    <w:p>
      <w:r>
        <w:t>[4] Sevilla J, et al. Compute Trends Across Three Eras of Machine Learning. arXiv:2202.05924, 2022.</w:t>
      </w:r>
    </w:p>
    <w:p>
      <w:r>
        <w:t>[5] de Vries A. The growing energy footprint of artificial intelligence. Joule, 2023.</w:t>
      </w:r>
    </w:p>
    <w:p>
      <w:pPr>
        <w:pStyle w:val="Heading1"/>
      </w:pPr>
      <w:r>
        <w:t>附录</w:t>
      </w:r>
    </w:p>
    <w:p>
      <w:r>
        <w:t>附录 A 数据利用清单、附录 B 人工智能工具使用披露，详见《附录_数据利用与AI披露_v2.xlsx》。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