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教学实习教学设计</w:t>
      </w:r>
    </w:p>
    <w:p>
      <w:pPr>
        <w:ind w:firstLine="4006" w:firstLineChars="190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 3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22 </w:t>
      </w:r>
      <w:r>
        <w:rPr>
          <w:rFonts w:hint="eastAsia"/>
          <w:b/>
          <w:bCs/>
          <w:u w:val="none"/>
          <w:lang w:val="en-US" w:eastAsia="zh-CN"/>
        </w:rPr>
        <w:t xml:space="preserve"> 日（星期</w:t>
      </w:r>
      <w:r>
        <w:rPr>
          <w:rFonts w:hint="eastAsia"/>
          <w:b/>
          <w:bCs/>
          <w:u w:val="single"/>
          <w:lang w:val="en-US" w:eastAsia="zh-CN"/>
        </w:rPr>
        <w:t xml:space="preserve">  1  </w:t>
      </w:r>
      <w:r>
        <w:rPr>
          <w:rFonts w:hint="eastAsia"/>
          <w:b/>
          <w:bCs/>
          <w:u w:val="none"/>
          <w:lang w:val="en-US" w:eastAsia="zh-CN"/>
        </w:rPr>
        <w:t xml:space="preserve">）第 </w:t>
      </w:r>
      <w:r>
        <w:rPr>
          <w:rFonts w:hint="eastAsia"/>
          <w:b/>
          <w:bCs/>
          <w:u w:val="single"/>
          <w:lang w:val="en-US" w:eastAsia="zh-CN"/>
        </w:rPr>
        <w:t xml:space="preserve"> 4   </w:t>
      </w:r>
      <w:r>
        <w:rPr>
          <w:rFonts w:hint="eastAsia"/>
          <w:b/>
          <w:bCs/>
          <w:u w:val="none"/>
          <w:lang w:val="en-US" w:eastAsia="zh-CN"/>
        </w:rPr>
        <w:t>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1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授课班级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初一（3）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        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授课内容</w:t>
            </w: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（章节）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信息与信息技术——信息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学习内容分析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是书中第一章第一节的内容，内容理论性较强，只由教师讲，学生会觉得枯燥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学习者分析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此阶段，学生对知识的获取开始由感性认识提升到理性认识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学习目标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知识与技能目标：例举学习和生活中的各种信息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过程与方法：培养学生从日常生活、学习中发现或归纳出新知识的能力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情感态度与价值观目标：理解信息技术对生活的重要性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教学重难点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重点：信息特征的认识；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难点：信息的含义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教学策略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讲授法、讨论法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教学环节及时间</w:t>
            </w:r>
          </w:p>
        </w:tc>
        <w:tc>
          <w:tcPr>
            <w:tcW w:w="3186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2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谈话引入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教学反思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提问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回答举例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板书设计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信息的特征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4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教学设计反思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分组培养学生协作学习的精神，也培养他们的学习兴趣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46D83"/>
    <w:rsid w:val="17C25E55"/>
    <w:rsid w:val="2C720C3B"/>
    <w:rsid w:val="59C36DC8"/>
    <w:rsid w:val="5F3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2021-04-19T02:54:46Z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DB0BE173A850484FA82ED9F877DC8E0E</vt:lpwstr>
  </property>
</Properties>
</file>