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spectHR vs CARSPAN / VU-AMS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Algorithm Differences</w:t>
      </w:r>
    </w:p>
    <w:p>
      <w:pPr>
        <w:pBdr>
          <w:bottom w:val="single" w:color="2E4057" w:sz="4" w:space="1"/>
        </w:pBdr>
        <w:spacing w:after="160" w:before="16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spectHR is a faithful Python reimplementation of the CARSPAN cardiovascular analysis system. The vast majority of its algorithms are verified bit-for-bit ports of the CARSPAN Pascal source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T_AnaFunctions.pas</w:t>
      </w:r>
      <w:r>
        <w:rPr>
          <w:rFonts w:ascii="Arial" w:cs="Arial" w:eastAsia="Arial" w:hAnsi="Arial"/>
          <w:sz w:val="22"/>
          <w:szCs w:val="22"/>
        </w:rPr>
        <w:t xml:space="preserve">). This document records the places where spectHR departs from or extends the originals, and flags where numbers will differ from CARSPAN or VU-DAMS output even when the method is mathematically equivalent.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Frequency Bands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CARSPAN manual §3.1.5; Task Force (1996).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spectHR uses the CARSPAN / Groningen frequency bands, which differ from the Task Force (1996) clinical standard: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spectHR (CARSPAN)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Force (1996)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0.02–0.06 Hz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0.04 Hz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0.07–0.14 Hz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0.04–0.15 Hz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0.15–0.40 Hz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0.15–0.40 Hz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FullRange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0.02–0.50 Hz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0.02–0.40 Hz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sz w:val="22"/>
          <w:szCs w:val="22"/>
        </w:rPr>
        <w:t xml:space="preserve">The CARSPAN LF band is narrower and shifted upward, deliberately centred on the ~0.10 Hz Mayer-wave / baroreceptor oscillation that is most sensitive to mental effort (Mulder, 1980, 1989).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spectHR’s LF and VLF values are NOT numerically interchangeable with Task Force LF/VLF.</w:t>
      </w:r>
      <w:r>
        <w:rPr>
          <w:rFonts w:ascii="Arial" w:cs="Arial" w:eastAsia="Arial" w:hAnsi="Arial"/>
          <w:sz w:val="22"/>
          <w:szCs w:val="22"/>
        </w:rPr>
        <w:t xml:space="preserve"> Band edges are user-configurable in the workspace.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PSD Methods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Default: CARSPAN IBI-amplitude DFT (Eq. 3.21)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CARSPAN manual Eq. 3.21; T_AnaFunctions.pas RunPDS.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Faithful port. The DFT is computed on the actual cumulative-IBI time grid — no uniform resampling. Each event is weighted by its IBI duration in seconds: Amp[i] = (IBI_ms[i] − mean_ms) × taper[i] × IBI_s[i]. Default for Profiles and Transfer views.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CARSPAN Event-Series DFT (Eq. 3.19)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CARSPAN manual Eq. 3.19; T_AnaFunctions.pas SOC branch.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R-peaks modelled as unit impulses. Faithful port; reproduces CARSPAN manual worked example to within ~2 % on every band.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2.3 Welch PSD — additional method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Divergence: </w:t>
      </w:r>
      <w:r>
        <w:rPr>
          <w:rFonts w:ascii="Arial" w:cs="Arial" w:eastAsia="Arial" w:hAnsi="Arial"/>
          <w:sz w:val="22"/>
          <w:szCs w:val="22"/>
        </w:rPr>
        <w:t xml:space="preserve">CARSPAN does not use Welch. This is an added method.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IBI series resampled to 4 Hz by cubic interpolation, then scipy.signal.welch (Hann window, 256-sample segments, 50 % overlap). Returns ms²/Hz, converted to mMI²/Hz. Known limitation: interpolation distorts the spectrum at low beat counts; the CARSPAN method is therefore the default.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2.4 Lomb–Scargle PSD — additional method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Divergence: </w:t>
      </w:r>
      <w:r>
        <w:rPr>
          <w:rFonts w:ascii="Arial" w:cs="Arial" w:eastAsia="Arial" w:hAnsi="Arial"/>
          <w:sz w:val="22"/>
          <w:szCs w:val="22"/>
        </w:rPr>
        <w:t xml:space="preserve">Not present in CARSPAN.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scipy.signal.lombscargle on mean-subtracted IBI values at native event times. Power: (2·T/N)·pgram. DOF estimation is approximate. Available as an opt-in alternative.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Normalisation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CARSPAN manual Eq. 3.20.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All methods offer both ms²/Hz and mMI²/Hz (squared modulation index). Conversion: 10⁶ / mean_IBI².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Divergence — two mean-IBI conventions: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Harmonic mean (default): </w:t>
      </w:r>
      <w:r>
        <w:rPr>
          <w:rFonts w:ascii="Arial" w:cs="Arial" w:eastAsia="Arial" w:hAnsi="Arial"/>
          <w:sz w:val="22"/>
          <w:szCs w:val="22"/>
        </w:rPr>
        <w:t xml:space="preserve">mean_IBI = T / N (segment length ÷ beat count).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Arithmetic mean (CARSPAN-strict): </w:t>
      </w:r>
      <w:r>
        <w:rPr>
          <w:rFonts w:ascii="Arial" w:cs="Arial" w:eastAsia="Arial" w:hAnsi="Arial"/>
          <w:sz w:val="22"/>
          <w:szCs w:val="22"/>
        </w:rPr>
        <w:t xml:space="preserve">mean_IBI = 1 / mean(1/IBI_i) — used by the CARSPAN Pascal source.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two conventions give slightly different normalised power values. The distinction matters when comparing absolute mMI² values between spectHR and original CARSPAN output.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Taper (Cosine-Bell Window)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T_AnaFunctions.pas:128–161 (Taper function).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spectHR’s cosine-bell taper is a bit-for-bit port of the Pascal original. It uses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(i+1) index offset</w:t>
      </w:r>
      <w:r>
        <w:rPr>
          <w:rFonts w:ascii="Arial" w:cs="Arial" w:eastAsia="Arial" w:hAnsi="Arial"/>
          <w:sz w:val="22"/>
          <w:szCs w:val="22"/>
        </w:rPr>
        <w:t xml:space="preserve">, meaning the first and last samples are NOT zeroed — this differs from scipy’s Tukey window, which zeros boundary samples. Default: 5 % per side (Pascal TaperPercent = 5). Using scipy’s built-in windows with the CARSPAN engine will produce different spectral results.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Resampling to Display Grid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T_AnaFunctions.pas:171–239 (Resample_R).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For display, the native DFT grid (1/T spacing) is resampled to 0.01 Hz resolution using energy-conserving bin averaging with fractional-coverage weights. The upper boundary of each display bin is exclusive. Faithful Pascal port.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this resampling applies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displayed spectrum only</w:t>
      </w:r>
      <w:r>
        <w:rPr>
          <w:rFonts w:ascii="Arial" w:cs="Arial" w:eastAsia="Arial" w:hAnsi="Arial"/>
          <w:sz w:val="22"/>
          <w:szCs w:val="22"/>
        </w:rPr>
        <w:t xml:space="preserve">. Band-power integrals use the native grid (CARSPAN manual §3.3.5), so plotted and exported numbers may appear to differ slightly.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Smoothing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T_AnaFunctions.pas:595–643 (MAW_R); lines 443–487 (CrossSpectrum WindowSize=3).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3-point MAW (display smoother): </w:t>
      </w:r>
      <w:r>
        <w:rPr>
          <w:rFonts w:ascii="Arial" w:cs="Arial" w:eastAsia="Arial" w:hAnsi="Arial"/>
          <w:sz w:val="22"/>
          <w:szCs w:val="22"/>
        </w:rPr>
        <w:t xml:space="preserve">Applied to the plotted PSD curve when “Smooth for display” is enabled. Edge weights: out[0] = (3/8)·x[0] + (5/8)·x[1]; out[−1] = (5/8)·x[−2] + (3/8)·x[−1]. Faithful Pascal port. NOT applied to band-power integrals.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3-point triangular smoother (transfer / profile): </w:t>
      </w:r>
      <w:r>
        <w:rPr>
          <w:rFonts w:ascii="Arial" w:cs="Arial" w:eastAsia="Arial" w:hAnsi="Arial"/>
          <w:sz w:val="22"/>
          <w:szCs w:val="22"/>
        </w:rPr>
        <w:t xml:space="preserve">Applied to auto- and cross-spectra in the profile and transfer pipelines (Pascal WindowSize=3). Yields sub-unity coherence estimates for sliding-window analysis. Edge policy: left mirror, right replicate-centre — faithful to Pascal.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RSA (Respiratory Sinus Arrhythmia)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Grossman et al. (1990); VU-DAMS manual §4.2.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Grossman peak-to-valley method: shortest IBI on the accelerating slope of each inhalation, longest IBI on the decelerating slope of each exhalation; RSA per breath = longest − shortest (ms). Default lag: 1.0 s (VU-DAMS default; use 0.3–0.5 s for children).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VU-DAMS rejection codes implemented: </w:t>
      </w:r>
      <w:r>
        <w:rPr>
          <w:rFonts w:ascii="Arial" w:cs="Arial" w:eastAsia="Arial" w:hAnsi="Arial"/>
          <w:sz w:val="22"/>
          <w:szCs w:val="22"/>
        </w:rPr>
        <w:t xml:space="preserve">Code –5 rejects an IBI if deviation from the previous IBI exceeds 50 % (max_ibi_deviation); Code –6 rejects a whole breath if respiration rate deviates more than 50 % from the 20-breath running average (max_rate_deviation).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output metrics: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rsa</w:t>
      </w:r>
      <w:r>
        <w:rPr>
          <w:rFonts w:ascii="Arial" w:cs="Arial" w:eastAsia="Arial" w:hAnsi="Arial"/>
          <w:sz w:val="22"/>
          <w:szCs w:val="22"/>
        </w:rPr>
        <w:t xml:space="preserve"> — mean of valid (positive) RSA values only; invalid breaths are NaN (Grossman convention).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rsa0</w:t>
      </w:r>
      <w:r>
        <w:rPr>
          <w:rFonts w:ascii="Arial" w:cs="Arial" w:eastAsia="Arial" w:hAnsi="Arial"/>
          <w:sz w:val="22"/>
          <w:szCs w:val="22"/>
        </w:rPr>
        <w:t xml:space="preserve"> — invalid breaths counted as zero in the denominator (VU-DAMS RSA0 convention). A researcher using only ‘rsa’ will obtain slightly higher means than VU-DAMS’s RSA0 when rejection rates are high.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Transfer Function / Spectral Baroreflex Sensitivity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T_AnaFunctions.pas RunTransfer (lines 2493–2610); CARSPAN manual §3.1.5.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Faithful port of the CARSPAN RunTransfer pipeline: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H(f) = CrossSpectrum(input, IBI) / AutoSpectrum(input)</w:t>
      </w:r>
      <w:r>
        <w:rPr>
          <w:rFonts w:ascii="Arial" w:cs="Arial" w:eastAsia="Arial" w:hAnsi="Arial"/>
          <w:sz w:val="22"/>
          <w:szCs w:val="22"/>
        </w:rPr>
        <w:t xml:space="preserve">. Output channel is always the IBI series. Input is selectable: respiration (classic RSA transfer) or per-beat systolic/diastolic BP (spectral BRS, result in ms/mmHg).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Single-epoch coherence: </w:t>
      </w:r>
      <w:r>
        <w:rPr>
          <w:rFonts w:ascii="Arial" w:cs="Arial" w:eastAsia="Arial" w:hAnsi="Arial"/>
          <w:sz w:val="22"/>
          <w:szCs w:val="22"/>
        </w:rPr>
        <w:t xml:space="preserve">Squared coherence is 1 at every non-zero bin by construction (one DFT realisation per epoch). The 3-point triangular smoother (smooth=True, the default for profile analysis) is required to obtain sub-unity estimates — matching CARSPAN’s WindowSize=3 profile branch.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caveat: </w:t>
      </w:r>
      <w:r>
        <w:rPr>
          <w:rFonts w:ascii="Arial" w:cs="Arial" w:eastAsia="Arial" w:hAnsi="Arial"/>
          <w:sz w:val="22"/>
          <w:szCs w:val="22"/>
        </w:rPr>
        <w:t xml:space="preserve">Transfer-function BRS is an open-loop estimate of a closed-loop system (blood pressure and heart rate mutually drive each other). This is inherent to the method, not a bug.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Stationarity Metric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Bendat &amp; Piersol (1971) reverse-arrangements test.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spectHR computes two stationarity measures: Pearson correlation of IBI vs. beat index (linear trend detector) and a reverse-arrangements z-score (counts pairs i &lt; j with IBI[j] &gt; IBI[i]).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Limitation: </w:t>
      </w:r>
      <w:r>
        <w:rPr>
          <w:rFonts w:ascii="Arial" w:cs="Arial" w:eastAsia="Arial" w:hAnsi="Arial"/>
          <w:sz w:val="22"/>
          <w:szCs w:val="22"/>
        </w:rPr>
        <w:t xml:space="preserve">neither test detects variance non-stationarity or periodic trends. Wide-sense stationarity — required for valid PSD interpretation — is not fully verifiable with these metrics alone. See docs/ALGORITHM_AUDIT.md §1.6.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Frequency-Band Integration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CARSPAN manual Eq. 3.28.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Band power is computed by rectangular integration over the native frequency grid. The bin width for non-uniform grids uses centred differences for interior bins and one-sided differences for edge bins, correctly handling both the uniform Welch/Lomb–Scargle grids and the non-uniform CARSPAN native grid. Faithful to the Pascal integration logic.</w:t>
      </w:r>
    </w:p>
    <w:p>
      <w:pPr>
        <w:pBdr>
          <w:bottom w:val="single" w:color="2E405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table below lists every area reviewed. Entries in the Difference column that are not “None (faithful port)” or “None (bit-for-bit)” are shown in bold.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CARSPAN Original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spectHR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PSD default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IBI-amplitude DFT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(faithful port)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PSD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Welch, Lomb–Scargle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 methods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Frequency bands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CARSPAN (LF 0.07–0.14)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User-configurable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Cosine-bell (i+1 offset)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(bit-for-bit)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resampling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Resample_R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(bit-for-bit)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Smoothing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3-pt MAW / triangular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(faithful port)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mMI² mean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Arithmetic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Harmonic (default)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 numerical difference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Grossman peak-valley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+ VU-DAMS guards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Guards optional; rsa vs rsa0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RunTransfer 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(faithful port)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Stationarity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in CARSPAN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Pearson r + reverse-arr.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Added; limited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Welch/LS normalisation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10⁶/mean_IBI²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</w:t>
            </w:r>
          </w:p>
        </w:tc>
      </w:tr>
    </w:tbl>
    <w:p>
      <w:pPr>
        <w:pBdr>
          <w:bottom w:val="single" w:color="2E405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References</w:t>
      </w:r>
    </w:p>
    <w:p>
      <w:pPr>
        <w:spacing w:after="80" w:before="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Grossman, P., et al. (1990). A comparison of three quantification methods for estimation of respiratory sinus arrhythmia. Psychophysiology, 27, 702–714.</w:t>
      </w:r>
    </w:p>
    <w:p>
      <w:pPr>
        <w:spacing w:after="80" w:before="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Mulder, G. (1980). The heart of mental effort. PhD thesis, University of Groningen.</w:t>
      </w:r>
    </w:p>
    <w:p>
      <w:pPr>
        <w:spacing w:after="80" w:before="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Mulder, L. J. M. (1989). CARSPAN: cardiovascular spectral analysis.</w:t>
      </w:r>
    </w:p>
    <w:p>
      <w:pPr>
        <w:spacing w:after="80" w:before="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Robbe, H. W. J., et al. (1987). Assessment of baroreceptor reflex sensitivity by spectral analysis. Hypertension, 10, 538–543.</w:t>
      </w:r>
    </w:p>
    <w:p>
      <w:pPr>
        <w:spacing w:after="80" w:before="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Task Force of the ESC and NASPE (1996). Heart rate variability: standards of measurement. Circulation, 93, 1043–1065.</w:t>
      </w:r>
    </w:p>
    <w:p>
      <w:pPr>
        <w:spacing w:after="80" w:before="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VU-DAMS manual V2 (2022). VU Ambulatory Monitoring System.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spectHR Algorithm Differences — generated 2026-06-15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2026-06-15T14:07:49.566Z</dcterms:created>
  <dcterms:modified xsi:type="dcterms:W3CDTF">2026-06-15T14:07:49.566Z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