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svg" ContentType="image/svg+xml"/>
  <Override PartName="/word/media/rId38.png" ContentType="image/png"/>
  <Override PartName="/word/media/rId44.png" ContentType="image/png"/>
  <Override PartName="/word/media/rId35.png" ContentType="image/png"/>
  <Override PartName="/word/media/rId32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hyperlink r:id="rId23">
        <w:r>
          <w:drawing>
            <wp:inline>
              <wp:extent cx="1038225" cy="190500"/>
              <wp:effectExtent b="0" l="0" r="0" t="0"/>
              <wp:docPr descr="Binder" title="" id="21" name="Picture"/>
              <a:graphic>
                <a:graphicData uri="http://schemas.openxmlformats.org/drawingml/2006/picture">
                  <pic:pic>
                    <pic:nvPicPr>
                      <pic:cNvPr descr="https://binderhub.app.rug.nl/badge_logo.svg" id="22" name="Picture"/>
                      <pic:cNvPicPr>
                        <a:picLocks noChangeArrowheads="1" noChangeAspect="1"/>
                      </pic:cNvPicPr>
                    </pic:nvPicPr>
                    <pic:blipFill>
                      <a:blip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2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038225" cy="190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lockText"/>
      </w:pPr>
      <w:r>
        <w:rPr>
          <w:b/>
          <w:bCs/>
        </w:rPr>
        <w:t xml:space="preserve">⚠️ CAUTION:</w:t>
      </w:r>
      <w:r>
        <w:br/>
      </w:r>
    </w:p>
    <w:p>
      <w:pPr>
        <w:pStyle w:val="BlockText"/>
      </w:pPr>
      <w:r>
        <w:t xml:space="preserve">This project is work in progress. It can not be used for data analysis yet. Breathing and blood pressure data are totally untested/not yet implemented.</w:t>
      </w:r>
    </w:p>
    <w:p>
      <w:pPr>
        <w:pStyle w:val="FirstParagraph"/>
      </w:pPr>
      <w:r>
        <w:t xml:space="preserve">This project is mainly the introduction of a library. The idea is that library can be used without knowledge of</w:t>
      </w:r>
      <w:r>
        <w:t xml:space="preserve"> </w:t>
      </w:r>
      <w:r>
        <w:rPr>
          <w:rStyle w:val="VerbatimChar"/>
        </w:rPr>
        <w:t xml:space="preserve">python</w:t>
      </w:r>
      <w:r>
        <w:t xml:space="preserve"> </w:t>
      </w:r>
      <w:r>
        <w:t xml:space="preserve">by using the App. The App runs primarily in Jupyter.</w:t>
      </w:r>
    </w:p>
    <w:bookmarkStart w:id="48" w:name="Xbec2f399e6adcb0f4e2a214d127f2308fffefe1"/>
    <w:p>
      <w:pPr>
        <w:pStyle w:val="Heading1"/>
      </w:pPr>
      <w:r>
        <w:t xml:space="preserve">HRApp: An Interactive Heart Rate Variability (HRV) Analysis Tool</w:t>
      </w:r>
    </w:p>
    <w:bookmarkStart w:id="24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b/>
          <w:bCs/>
        </w:rPr>
        <w:t xml:space="preserve">HRApp</w:t>
      </w:r>
      <w:r>
        <w:t xml:space="preserve"> </w:t>
      </w:r>
      <w:r>
        <w:t xml:space="preserve">is an interactive tool designed to assist in the analysis of heart rate variability (HRV) data. It provides a graphical user interface (GUI) within Jupyter Notebooks to explore, preprocess, and visualize HRV data. The app organizes its features into multiple tabs, each focusing on a specific aspect of HRV analysis.</w:t>
      </w:r>
    </w:p>
    <w:bookmarkEnd w:id="24"/>
    <w:bookmarkStart w:id="25" w:name="features"/>
    <w:p>
      <w:pPr>
        <w:pStyle w:val="Heading2"/>
      </w:pPr>
      <w:r>
        <w:t xml:space="preserve">Features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PreProcessing Tab</w:t>
      </w:r>
    </w:p>
    <w:p>
      <w:pPr>
        <w:pStyle w:val="Compact"/>
        <w:numPr>
          <w:ilvl w:val="1"/>
          <w:numId w:val="1002"/>
        </w:numPr>
      </w:pPr>
      <w:r>
        <w:t xml:space="preserve">Provides tools to preprocess HRV data, such as cleaning and inspecting inter-beat intervals (IBI).</w:t>
      </w:r>
    </w:p>
    <w:p>
      <w:pPr>
        <w:pStyle w:val="Compact"/>
        <w:numPr>
          <w:ilvl w:val="1"/>
          <w:numId w:val="1002"/>
        </w:numPr>
      </w:pPr>
      <w:r>
        <w:t xml:space="preserve">Displays a customizable GUI for manipulating the dataset.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Poincare Tab</w:t>
      </w:r>
    </w:p>
    <w:p>
      <w:pPr>
        <w:pStyle w:val="Compact"/>
        <w:numPr>
          <w:ilvl w:val="1"/>
          <w:numId w:val="1003"/>
        </w:numPr>
      </w:pPr>
      <w:r>
        <w:t xml:space="preserve">Visualizes HRV data using Poincaré plots, which highlight the relationships between successive IBIs.</w:t>
      </w:r>
    </w:p>
    <w:p>
      <w:pPr>
        <w:pStyle w:val="Compact"/>
        <w:numPr>
          <w:ilvl w:val="1"/>
          <w:numId w:val="1003"/>
        </w:numPr>
      </w:pPr>
      <w:r>
        <w:t xml:space="preserve">Ideal for assessing nonlinear dynamics in heart rate data.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Descriptives Tab</w:t>
      </w:r>
    </w:p>
    <w:p>
      <w:pPr>
        <w:pStyle w:val="Compact"/>
        <w:numPr>
          <w:ilvl w:val="1"/>
          <w:numId w:val="1004"/>
        </w:numPr>
      </w:pPr>
      <w:r>
        <w:t xml:space="preserve">Computes detailed descriptive statistics for IBIs, grouped by epochs.</w:t>
      </w:r>
    </w:p>
    <w:p>
      <w:pPr>
        <w:pStyle w:val="Compact"/>
        <w:numPr>
          <w:ilvl w:val="1"/>
          <w:numId w:val="1004"/>
        </w:numPr>
      </w:pPr>
      <w:r>
        <w:t xml:space="preserve">Includes metrics such as mean, standard deviation, RMSSD, SDNN, SD1, SD2, and others.</w:t>
      </w:r>
    </w:p>
    <w:p>
      <w:pPr>
        <w:pStyle w:val="Compact"/>
        <w:numPr>
          <w:ilvl w:val="1"/>
          <w:numId w:val="1004"/>
        </w:numPr>
      </w:pPr>
      <w:r>
        <w:t xml:space="preserve">Integrates power spectral density (PSD) results into the statistics, if available.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PSD Tab</w:t>
      </w:r>
    </w:p>
    <w:p>
      <w:pPr>
        <w:pStyle w:val="Compact"/>
        <w:numPr>
          <w:ilvl w:val="1"/>
          <w:numId w:val="1005"/>
        </w:numPr>
      </w:pPr>
      <w:r>
        <w:t xml:space="preserve">Uses Welch’s method to compute power spectral density (PSD) for HRV data.</w:t>
      </w:r>
    </w:p>
    <w:p>
      <w:pPr>
        <w:pStyle w:val="Compact"/>
        <w:numPr>
          <w:ilvl w:val="1"/>
          <w:numId w:val="1005"/>
        </w:numPr>
      </w:pPr>
      <w:r>
        <w:t xml:space="preserve">Groups PSD results by epochs, providing insights into the frequency domain features of HRV.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Epochs Tab</w:t>
      </w:r>
    </w:p>
    <w:p>
      <w:pPr>
        <w:pStyle w:val="Compact"/>
        <w:numPr>
          <w:ilvl w:val="1"/>
          <w:numId w:val="1006"/>
        </w:numPr>
      </w:pPr>
      <w:r>
        <w:t xml:space="preserve">Visualizes epochs of HRV data using a Gantt chart.</w:t>
      </w:r>
    </w:p>
    <w:p>
      <w:pPr>
        <w:pStyle w:val="Compact"/>
        <w:numPr>
          <w:ilvl w:val="1"/>
          <w:numId w:val="1006"/>
        </w:numPr>
      </w:pPr>
      <w:r>
        <w:t xml:space="preserve">Offers a clear representation of time-based data segmentation.</w:t>
      </w:r>
    </w:p>
    <w:bookmarkEnd w:id="25"/>
    <w:bookmarkStart w:id="29" w:name="how-it-works"/>
    <w:p>
      <w:pPr>
        <w:pStyle w:val="Heading2"/>
      </w:pPr>
      <w:r>
        <w:t xml:space="preserve">How It Works</w:t>
      </w:r>
    </w:p>
    <w:bookmarkStart w:id="26" w:name="inputs"/>
    <w:p>
      <w:pPr>
        <w:pStyle w:val="Heading3"/>
      </w:pPr>
      <w:r>
        <w:t xml:space="preserve">Inputs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Dataset</w:t>
      </w:r>
      <w:r>
        <w:t xml:space="preserve">: The app requires a dataset containing HRV-related data, such as IBIs, epochs, and other time-series information. This dataset is expected to support operations defined in the</w:t>
      </w:r>
      <w:r>
        <w:t xml:space="preserve"> </w:t>
      </w:r>
      <w:r>
        <w:rPr>
          <w:rStyle w:val="VerbatimChar"/>
        </w:rPr>
        <w:t xml:space="preserve">spectHR</w:t>
      </w:r>
      <w:r>
        <w:t xml:space="preserve"> </w:t>
      </w:r>
      <w:r>
        <w:t xml:space="preserve">library.</w:t>
      </w:r>
    </w:p>
    <w:bookmarkEnd w:id="26"/>
    <w:bookmarkStart w:id="27" w:name="workflow"/>
    <w:p>
      <w:pPr>
        <w:pStyle w:val="Heading3"/>
      </w:pPr>
      <w:r>
        <w:t xml:space="preserve">Workflow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Launch the App</w:t>
      </w:r>
      <w:r>
        <w:br/>
      </w:r>
      <w:r>
        <w:t xml:space="preserve">Call the</w:t>
      </w:r>
      <w:r>
        <w:t xml:space="preserve"> </w:t>
      </w:r>
      <w:r>
        <w:rPr>
          <w:rStyle w:val="VerbatimChar"/>
        </w:rPr>
        <w:t xml:space="preserve">HRApp(DataSet)</w:t>
      </w:r>
      <w:r>
        <w:t xml:space="preserve"> </w:t>
      </w:r>
      <w:r>
        <w:t xml:space="preserve">function with the appropriate dataset as input. This displays the GUI with five tabs.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Switch Between Tabs</w:t>
      </w:r>
      <w:r>
        <w:br/>
      </w:r>
      <w:r>
        <w:t xml:space="preserve">Navigate through tabs to explore different aspects of HRV analysis. The selected tab dynamically updates its content:</w:t>
      </w:r>
    </w:p>
    <w:p>
      <w:pPr>
        <w:pStyle w:val="Compact"/>
        <w:numPr>
          <w:ilvl w:val="1"/>
          <w:numId w:val="1009"/>
        </w:numPr>
      </w:pPr>
      <w:r>
        <w:t xml:space="preserve">Preprocessing tools in the</w:t>
      </w:r>
      <w:r>
        <w:t xml:space="preserve"> </w:t>
      </w:r>
      <w:r>
        <w:rPr>
          <w:b/>
          <w:bCs/>
        </w:rPr>
        <w:t xml:space="preserve">PreProcessing</w:t>
      </w:r>
      <w:r>
        <w:t xml:space="preserve"> </w:t>
      </w:r>
      <w:r>
        <w:t xml:space="preserve">tab.</w:t>
      </w:r>
    </w:p>
    <w:p>
      <w:pPr>
        <w:pStyle w:val="Compact"/>
        <w:numPr>
          <w:ilvl w:val="1"/>
          <w:numId w:val="1009"/>
        </w:numPr>
      </w:pPr>
      <w:r>
        <w:t xml:space="preserve">Poincaré plot in the</w:t>
      </w:r>
      <w:r>
        <w:t xml:space="preserve"> </w:t>
      </w:r>
      <w:r>
        <w:rPr>
          <w:b/>
          <w:bCs/>
        </w:rPr>
        <w:t xml:space="preserve">Poincare</w:t>
      </w:r>
      <w:r>
        <w:t xml:space="preserve"> </w:t>
      </w:r>
      <w:r>
        <w:t xml:space="preserve">tab.</w:t>
      </w:r>
    </w:p>
    <w:p>
      <w:pPr>
        <w:pStyle w:val="Compact"/>
        <w:numPr>
          <w:ilvl w:val="1"/>
          <w:numId w:val="1009"/>
        </w:numPr>
      </w:pPr>
      <w:r>
        <w:t xml:space="preserve">Statistical summaries in the</w:t>
      </w:r>
      <w:r>
        <w:t xml:space="preserve"> </w:t>
      </w:r>
      <w:r>
        <w:rPr>
          <w:b/>
          <w:bCs/>
        </w:rPr>
        <w:t xml:space="preserve">Descriptives</w:t>
      </w:r>
      <w:r>
        <w:t xml:space="preserve"> </w:t>
      </w:r>
      <w:r>
        <w:t xml:space="preserve">tab.</w:t>
      </w:r>
    </w:p>
    <w:p>
      <w:pPr>
        <w:pStyle w:val="Compact"/>
        <w:numPr>
          <w:ilvl w:val="1"/>
          <w:numId w:val="1009"/>
        </w:numPr>
      </w:pPr>
      <w:r>
        <w:t xml:space="preserve">PSD analysis in the</w:t>
      </w:r>
      <w:r>
        <w:t xml:space="preserve"> </w:t>
      </w:r>
      <w:r>
        <w:rPr>
          <w:b/>
          <w:bCs/>
        </w:rPr>
        <w:t xml:space="preserve">PSD</w:t>
      </w:r>
      <w:r>
        <w:t xml:space="preserve"> </w:t>
      </w:r>
      <w:r>
        <w:t xml:space="preserve">tab.</w:t>
      </w:r>
    </w:p>
    <w:p>
      <w:pPr>
        <w:pStyle w:val="Compact"/>
        <w:numPr>
          <w:ilvl w:val="1"/>
          <w:numId w:val="1009"/>
        </w:numPr>
      </w:pPr>
      <w:r>
        <w:t xml:space="preserve">Epoch visualizations in the</w:t>
      </w:r>
      <w:r>
        <w:t xml:space="preserve"> </w:t>
      </w:r>
      <w:r>
        <w:rPr>
          <w:b/>
          <w:bCs/>
        </w:rPr>
        <w:t xml:space="preserve">Epochs</w:t>
      </w:r>
      <w:r>
        <w:t xml:space="preserve"> </w:t>
      </w:r>
      <w:r>
        <w:t xml:space="preserve">tab.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Real-Time Updates</w:t>
      </w:r>
      <w:r>
        <w:br/>
      </w:r>
      <w:r>
        <w:t xml:space="preserve">The app dynamically updates visualizations and calculations as you interact with each tab. Outputs are recalculated and displayed in real-time.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Data Saving</w:t>
      </w:r>
      <w:r>
        <w:br/>
      </w:r>
      <w:r>
        <w:t xml:space="preserve">Changes to the dataset, such as computed statistics or PSD values, are saved automatically.</w:t>
      </w:r>
    </w:p>
    <w:bookmarkEnd w:id="27"/>
    <w:bookmarkStart w:id="28" w:name="outputs"/>
    <w:p>
      <w:pPr>
        <w:pStyle w:val="Heading3"/>
      </w:pPr>
      <w:r>
        <w:t xml:space="preserve">Outputs</w:t>
      </w:r>
    </w:p>
    <w:p>
      <w:pPr>
        <w:pStyle w:val="Compact"/>
        <w:numPr>
          <w:ilvl w:val="0"/>
          <w:numId w:val="1010"/>
        </w:numPr>
      </w:pPr>
      <w:r>
        <w:t xml:space="preserve">Visualizations (e.g., plots, charts) for exploring HRV dynamics.</w:t>
      </w:r>
    </w:p>
    <w:p>
      <w:pPr>
        <w:pStyle w:val="Compact"/>
        <w:numPr>
          <w:ilvl w:val="0"/>
          <w:numId w:val="1010"/>
        </w:numPr>
      </w:pPr>
      <w:r>
        <w:t xml:space="preserve">Computed metrics and summaries for HRV data.</w:t>
      </w:r>
    </w:p>
    <w:p>
      <w:pPr>
        <w:pStyle w:val="Compact"/>
        <w:numPr>
          <w:ilvl w:val="0"/>
          <w:numId w:val="1010"/>
        </w:numPr>
      </w:pPr>
      <w:r>
        <w:t xml:space="preserve">Processed datasets ready for further analysis.</w:t>
      </w:r>
    </w:p>
    <w:bookmarkEnd w:id="28"/>
    <w:bookmarkEnd w:id="29"/>
    <w:bookmarkStart w:id="30" w:name="dependencies"/>
    <w:p>
      <w:pPr>
        <w:pStyle w:val="Heading2"/>
      </w:pPr>
      <w:r>
        <w:t xml:space="preserve">Dependencies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Python Libraries</w:t>
      </w:r>
      <w:r>
        <w:t xml:space="preserve">:</w:t>
      </w:r>
    </w:p>
    <w:p>
      <w:pPr>
        <w:pStyle w:val="Compact"/>
        <w:numPr>
          <w:ilvl w:val="1"/>
          <w:numId w:val="1012"/>
        </w:numPr>
      </w:pPr>
      <w:r>
        <w:rPr>
          <w:rStyle w:val="VerbatimChar"/>
        </w:rPr>
        <w:t xml:space="preserve">pyxdf</w:t>
      </w:r>
      <w:r>
        <w:t xml:space="preserve">: For reading .XDF files.</w:t>
      </w:r>
    </w:p>
    <w:p>
      <w:pPr>
        <w:pStyle w:val="Compact"/>
        <w:numPr>
          <w:ilvl w:val="1"/>
          <w:numId w:val="1012"/>
        </w:numPr>
      </w:pPr>
      <w:r>
        <w:rPr>
          <w:rStyle w:val="VerbatimChar"/>
        </w:rPr>
        <w:t xml:space="preserve">ipywidgets</w:t>
      </w:r>
      <w:r>
        <w:t xml:space="preserve">: For interactive UI elements.</w:t>
      </w:r>
    </w:p>
    <w:p>
      <w:pPr>
        <w:pStyle w:val="Compact"/>
        <w:numPr>
          <w:ilvl w:val="1"/>
          <w:numId w:val="1012"/>
        </w:numPr>
      </w:pPr>
      <w:r>
        <w:rPr>
          <w:rStyle w:val="VerbatimChar"/>
        </w:rPr>
        <w:t xml:space="preserve">spectHR</w:t>
      </w:r>
      <w:r>
        <w:t xml:space="preserve">: Custom library for HRV preprocessing and analysis.</w:t>
      </w:r>
    </w:p>
    <w:p>
      <w:pPr>
        <w:pStyle w:val="Compact"/>
        <w:numPr>
          <w:ilvl w:val="1"/>
          <w:numId w:val="1012"/>
        </w:numPr>
      </w:pPr>
      <w:r>
        <w:rPr>
          <w:rStyle w:val="VerbatimChar"/>
        </w:rPr>
        <w:t xml:space="preserve">pyhrv</w:t>
      </w:r>
      <w:r>
        <w:t xml:space="preserve">: For HRV metrics calculation.</w:t>
      </w:r>
    </w:p>
    <w:p>
      <w:pPr>
        <w:pStyle w:val="Compact"/>
        <w:numPr>
          <w:ilvl w:val="1"/>
          <w:numId w:val="1012"/>
        </w:numPr>
      </w:pPr>
      <w:r>
        <w:rPr>
          <w:rStyle w:val="VerbatimChar"/>
        </w:rPr>
        <w:t xml:space="preserve">pandas</w:t>
      </w:r>
      <w:r>
        <w:t xml:space="preserve">: For data manipulation and statistics.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Environment</w:t>
      </w:r>
      <w:r>
        <w:t xml:space="preserve">:</w:t>
      </w:r>
    </w:p>
    <w:p>
      <w:pPr>
        <w:pStyle w:val="Compact"/>
        <w:numPr>
          <w:ilvl w:val="1"/>
          <w:numId w:val="1013"/>
        </w:numPr>
      </w:pPr>
      <w:r>
        <w:t xml:space="preserve">Jupyter Notebook or JupyterLab (preferred) for running and displaying the app.</w:t>
      </w:r>
    </w:p>
    <w:bookmarkEnd w:id="30"/>
    <w:bookmarkStart w:id="31" w:name="example-usage"/>
    <w:p>
      <w:pPr>
        <w:pStyle w:val="Heading2"/>
      </w:pPr>
      <w:r>
        <w:t xml:space="preserve">Example Usage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spectHR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cs</w:t>
      </w:r>
      <w:r>
        <w:br/>
      </w:r>
      <w:r>
        <w:rPr>
          <w:rStyle w:val="OperatorTok"/>
        </w:rPr>
        <w:t xml:space="preserve">%</w:t>
      </w:r>
      <w:r>
        <w:rPr>
          <w:rStyle w:val="NormalTok"/>
        </w:rPr>
        <w:t xml:space="preserve">matplotlib widget</w:t>
      </w:r>
      <w:r>
        <w:br/>
      </w:r>
      <w:r>
        <w:br/>
      </w:r>
      <w:r>
        <w:rPr>
          <w:rStyle w:val="NormalTok"/>
        </w:rPr>
        <w:t xml:space="preserve">DataSet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cs.SpectHRDataset(</w:t>
      </w:r>
      <w:r>
        <w:rPr>
          <w:rStyle w:val="StringTok"/>
        </w:rPr>
        <w:t xml:space="preserve">"SUB_005.xdf"</w:t>
      </w:r>
      <w:r>
        <w:rPr>
          <w:rStyle w:val="NormalTok"/>
        </w:rPr>
        <w:t xml:space="preserve">, use_webdav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reset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DataSet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cs.borderData(DataSet)</w:t>
      </w:r>
      <w:r>
        <w:br/>
      </w:r>
      <w:r>
        <w:rPr>
          <w:rStyle w:val="NormalTok"/>
        </w:rPr>
        <w:t xml:space="preserve">DataSet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cs.filterECGData(DataSet, {</w:t>
      </w:r>
      <w:r>
        <w:rPr>
          <w:rStyle w:val="StringTok"/>
        </w:rPr>
        <w:t xml:space="preserve">"filterType"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"highpass"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"cutoff"</w:t>
      </w:r>
      <w:r>
        <w:rPr>
          <w:rStyle w:val="NormalTok"/>
        </w:rPr>
        <w:t xml:space="preserve">: </w:t>
      </w:r>
      <w:r>
        <w:rPr>
          <w:rStyle w:val="FloatTok"/>
        </w:rPr>
        <w:t xml:space="preserve">.50</w:t>
      </w:r>
      <w:r>
        <w:rPr>
          <w:rStyle w:val="NormalTok"/>
        </w:rPr>
        <w:t xml:space="preserve">})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hasattr</w:t>
      </w:r>
      <w:r>
        <w:rPr>
          <w:rStyle w:val="NormalTok"/>
        </w:rPr>
        <w:t xml:space="preserve">(DataSet, </w:t>
      </w:r>
      <w:r>
        <w:rPr>
          <w:rStyle w:val="StringTok"/>
        </w:rPr>
        <w:t xml:space="preserve">'RTops'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DataSet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cs.calcPeaks(DataSet)</w:t>
      </w:r>
      <w:r>
        <w:br/>
      </w:r>
      <w:r>
        <w:br/>
      </w:r>
      <w:r>
        <w:rPr>
          <w:rStyle w:val="CommentTok"/>
        </w:rPr>
        <w:t xml:space="preserve"># Launch the HRV analysis application</w:t>
      </w:r>
      <w:r>
        <w:br/>
      </w:r>
      <w:r>
        <w:rPr>
          <w:rStyle w:val="NormalTok"/>
        </w:rPr>
        <w:t xml:space="preserve">App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cs.HRApp(DataSet)</w:t>
      </w:r>
    </w:p>
    <w:bookmarkEnd w:id="31"/>
    <w:bookmarkStart w:id="47" w:name="screenshots"/>
    <w:p>
      <w:pPr>
        <w:pStyle w:val="Heading2"/>
      </w:pPr>
      <w:r>
        <w:t xml:space="preserve">Screenshots</w:t>
      </w:r>
    </w:p>
    <w:p>
      <w:pPr>
        <w:pStyle w:val="FirstParagraph"/>
      </w:pPr>
      <w:r>
        <w:t xml:space="preserve">Because everybody likes screenshots:</w:t>
      </w:r>
    </w:p>
    <w:p>
      <w:pPr>
        <w:pStyle w:val="CaptionedFigure"/>
      </w:pPr>
      <w:r>
        <w:drawing>
          <wp:inline>
            <wp:extent cx="5334000" cy="2704300"/>
            <wp:effectExtent b="0" l="0" r="0" t="0"/>
            <wp:docPr descr="Preprocessing interface" title="" id="33" name="Picture"/>
            <a:graphic>
              <a:graphicData uri="http://schemas.openxmlformats.org/drawingml/2006/picture">
                <pic:pic>
                  <pic:nvPicPr>
                    <pic:cNvPr descr="images/prep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04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Preprocessing interface</w:t>
      </w:r>
    </w:p>
    <w:p>
      <w:pPr>
        <w:pStyle w:val="CaptionedFigure"/>
      </w:pPr>
      <w:r>
        <w:drawing>
          <wp:inline>
            <wp:extent cx="5334000" cy="2847286"/>
            <wp:effectExtent b="0" l="0" r="0" t="0"/>
            <wp:docPr descr="Poincare Plots" title="" id="36" name="Picture"/>
            <a:graphic>
              <a:graphicData uri="http://schemas.openxmlformats.org/drawingml/2006/picture">
                <pic:pic>
                  <pic:nvPicPr>
                    <pic:cNvPr descr="images/poincare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472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Poincare Plots</w:t>
      </w:r>
    </w:p>
    <w:p>
      <w:pPr>
        <w:pStyle w:val="CaptionedFigure"/>
      </w:pPr>
      <w:r>
        <w:drawing>
          <wp:inline>
            <wp:extent cx="5334000" cy="891077"/>
            <wp:effectExtent b="0" l="0" r="0" t="0"/>
            <wp:docPr descr="Example statistics" title="" id="39" name="Picture"/>
            <a:graphic>
              <a:graphicData uri="http://schemas.openxmlformats.org/drawingml/2006/picture">
                <pic:pic>
                  <pic:nvPicPr>
                    <pic:cNvPr descr="images/descriptives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910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Example statistics</w:t>
      </w:r>
    </w:p>
    <w:p>
      <w:pPr>
        <w:pStyle w:val="CaptionedFigure"/>
      </w:pPr>
      <w:r>
        <w:drawing>
          <wp:inline>
            <wp:extent cx="5334000" cy="2087488"/>
            <wp:effectExtent b="0" l="0" r="0" t="0"/>
            <wp:docPr descr="Frequency domain Plots" title="" id="42" name="Picture"/>
            <a:graphic>
              <a:graphicData uri="http://schemas.openxmlformats.org/drawingml/2006/picture">
                <pic:pic>
                  <pic:nvPicPr>
                    <pic:cNvPr descr="images/psd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874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Frequency domain Plots</w:t>
      </w:r>
    </w:p>
    <w:p>
      <w:pPr>
        <w:pStyle w:val="CaptionedFigure"/>
      </w:pPr>
      <w:r>
        <w:drawing>
          <wp:inline>
            <wp:extent cx="5334000" cy="2623380"/>
            <wp:effectExtent b="0" l="0" r="0" t="0"/>
            <wp:docPr descr="Experiment epochs" title="" id="45" name="Picture"/>
            <a:graphic>
              <a:graphicData uri="http://schemas.openxmlformats.org/drawingml/2006/picture">
                <pic:pic>
                  <pic:nvPicPr>
                    <pic:cNvPr descr="images/gantt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233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Experiment epochs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This tool is ideal for researchers, clinicians, and students who work with HRV data and require an interactive, user-friendly interface for their analyses.</w:t>
      </w:r>
    </w:p>
    <w:bookmarkEnd w:id="47"/>
    <w:bookmarkEnd w:id="48"/>
    <w:bookmarkStart w:id="78" w:name="X3d7aa6c85b020c54888764d1de481bbd1e739ee"/>
    <w:p>
      <w:pPr>
        <w:pStyle w:val="Heading1"/>
      </w:pPr>
      <w:r>
        <w:t xml:space="preserve">spectHR - Cardiovascular Spectral Analysis Toolkit</w:t>
      </w:r>
    </w:p>
    <w:p>
      <w:pPr>
        <w:pStyle w:val="FirstParagraph"/>
      </w:pPr>
      <w:r>
        <w:rPr>
          <w:rStyle w:val="VerbatimChar"/>
        </w:rPr>
        <w:t xml:space="preserve">spectHR</w:t>
      </w:r>
      <w:r>
        <w:t xml:space="preserve"> </w:t>
      </w:r>
      <w:r>
        <w:t xml:space="preserve">is a Python library designed for interactive analysis of time series data, particularly focused on ECG and breathing patterns. The library provides tools for detecting peaks (R-tops) in ECG data, spectral analysis, and interactive visualization of time series data. It includes various modes for modifying, selecting, and analyzing R-tops and other key events in the data.</w:t>
      </w:r>
    </w:p>
    <w:bookmarkStart w:id="51" w:name="features-1"/>
    <w:p>
      <w:pPr>
        <w:pStyle w:val="Heading2"/>
      </w:pPr>
      <w:r>
        <w:t xml:space="preserve">Features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Reads XDF</w:t>
      </w:r>
      <w:r>
        <w:t xml:space="preserve">: It reads</w:t>
      </w:r>
      <w:r>
        <w:t xml:space="preserve"> </w:t>
      </w:r>
      <w:hyperlink r:id="rId49">
        <w:r>
          <w:rPr>
            <w:rStyle w:val="Hyperlink"/>
          </w:rPr>
          <w:t xml:space="preserve">labstreaminglayers</w:t>
        </w:r>
      </w:hyperlink>
      <w:r>
        <w:t xml:space="preserve"> </w:t>
      </w:r>
      <w:r>
        <w:t xml:space="preserve">.XDF files. the ECG stream is detected if its label contains</w:t>
      </w:r>
      <w:r>
        <w:t xml:space="preserve"> </w:t>
      </w:r>
      <w:r>
        <w:t xml:space="preserve">‘</w:t>
      </w:r>
      <w:r>
        <w:t xml:space="preserve">polar</w:t>
      </w:r>
      <w:r>
        <w:t xml:space="preserve">’</w:t>
      </w:r>
      <w:r>
        <w:t xml:space="preserve">. Generally for use with the PolarBand H10 and the</w:t>
      </w:r>
      <w:r>
        <w:t xml:space="preserve"> </w:t>
      </w:r>
      <w:hyperlink r:id="rId50">
        <w:r>
          <w:rPr>
            <w:rStyle w:val="Hyperlink"/>
          </w:rPr>
          <w:t xml:space="preserve">PolarGUI</w:t>
        </w:r>
      </w:hyperlink>
      <w:r>
        <w:t xml:space="preserve"> </w:t>
      </w:r>
      <w:r>
        <w:t xml:space="preserve">application. Markers are ready from a seperate stream, and should follow the patterns</w:t>
      </w:r>
      <w:r>
        <w:t xml:space="preserve"> </w:t>
      </w:r>
      <w:r>
        <w:rPr>
          <w:rStyle w:val="VerbatimChar"/>
        </w:rPr>
        <w:t xml:space="preserve">start label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end label</w:t>
      </w:r>
      <w:r>
        <w:t xml:space="preserve"> </w:t>
      </w:r>
      <w:r>
        <w:t xml:space="preserve">to mark an epoch (named</w:t>
      </w:r>
      <w:r>
        <w:t xml:space="preserve"> </w:t>
      </w:r>
      <w:r>
        <w:t xml:space="preserve">‘</w:t>
      </w:r>
      <w:r>
        <w:t xml:space="preserve">label</w:t>
      </w:r>
      <w:r>
        <w:t xml:space="preserve">’</w:t>
      </w:r>
      <w:r>
        <w:t xml:space="preserve">).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ECG and Breathing Pattern Analysis</w:t>
      </w:r>
      <w:r>
        <w:t xml:space="preserve">: Process and analyze time series data, including ECG and breathing patterns.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Peak Detection (R-tops)</w:t>
      </w:r>
      <w:r>
        <w:t xml:space="preserve">: Automatically detect R-top times in ECG signals.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Interactive Plotting</w:t>
      </w:r>
      <w:r>
        <w:t xml:space="preserve">: Use draggable vertical lines to visualize and manipulate R-tops within a plot.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Zoom and Epoch Selection</w:t>
      </w:r>
      <w:r>
        <w:t xml:space="preserve">: Interactively zoom into regions of interest and select epochs for marking.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Spectral Analysis</w:t>
      </w:r>
      <w:r>
        <w:t xml:space="preserve">: Perform cardiovascular spectral analysis to study heart rate variability and other metrics.</w:t>
      </w:r>
    </w:p>
    <w:bookmarkEnd w:id="51"/>
    <w:bookmarkStart w:id="54" w:name="installation"/>
    <w:p>
      <w:pPr>
        <w:pStyle w:val="Heading2"/>
      </w:pPr>
      <w:r>
        <w:t xml:space="preserve">Installation</w:t>
      </w:r>
    </w:p>
    <w:bookmarkStart w:id="52" w:name="requirements"/>
    <w:p>
      <w:pPr>
        <w:pStyle w:val="Heading3"/>
      </w:pPr>
      <w:r>
        <w:t xml:space="preserve">Requirements</w:t>
      </w:r>
    </w:p>
    <w:p>
      <w:pPr>
        <w:pStyle w:val="Compact"/>
        <w:numPr>
          <w:ilvl w:val="0"/>
          <w:numId w:val="1015"/>
        </w:numPr>
      </w:pPr>
      <w:r>
        <w:t xml:space="preserve">Python 3.7+</w:t>
      </w:r>
    </w:p>
    <w:p>
      <w:pPr>
        <w:pStyle w:val="Compact"/>
        <w:numPr>
          <w:ilvl w:val="0"/>
          <w:numId w:val="1015"/>
        </w:numPr>
      </w:pPr>
      <w:r>
        <w:t xml:space="preserve">Jupyter notebook or JupyterLab</w:t>
      </w:r>
    </w:p>
    <w:p>
      <w:pPr>
        <w:pStyle w:val="Compact"/>
        <w:numPr>
          <w:ilvl w:val="0"/>
          <w:numId w:val="1015"/>
        </w:numPr>
      </w:pPr>
      <w:r>
        <w:t xml:space="preserve">ipywidgets</w:t>
      </w:r>
    </w:p>
    <w:p>
      <w:pPr>
        <w:pStyle w:val="Compact"/>
        <w:numPr>
          <w:ilvl w:val="0"/>
          <w:numId w:val="1015"/>
        </w:numPr>
      </w:pPr>
      <w:r>
        <w:t xml:space="preserve">pyhrv</w:t>
      </w:r>
    </w:p>
    <w:p>
      <w:pPr>
        <w:pStyle w:val="Compact"/>
        <w:numPr>
          <w:ilvl w:val="0"/>
          <w:numId w:val="1015"/>
        </w:numPr>
      </w:pPr>
      <w:r>
        <w:t xml:space="preserve">ipyvuetify (for nicer looking widgets)</w:t>
      </w:r>
    </w:p>
    <w:bookmarkEnd w:id="52"/>
    <w:bookmarkStart w:id="53" w:name="install-the-library"/>
    <w:p>
      <w:pPr>
        <w:pStyle w:val="Heading3"/>
      </w:pPr>
      <w:r>
        <w:t xml:space="preserve">Install the library</w:t>
      </w:r>
    </w:p>
    <w:p>
      <w:pPr>
        <w:pStyle w:val="FirstParagraph"/>
      </w:pPr>
      <w:r>
        <w:t xml:space="preserve">&lt;not yet. but you can clone this repo…&gt;</w:t>
      </w:r>
    </w:p>
    <w:p>
      <w:pPr>
        <w:pStyle w:val="BodyText"/>
      </w:pPr>
      <w:r>
        <w:t xml:space="preserve">You can install</w:t>
      </w:r>
      <w:r>
        <w:t xml:space="preserve"> </w:t>
      </w:r>
      <w:r>
        <w:rPr>
          <w:rStyle w:val="VerbatimChar"/>
        </w:rPr>
        <w:t xml:space="preserve">spectHR</w:t>
      </w:r>
      <w:r>
        <w:t xml:space="preserve"> </w:t>
      </w:r>
      <w:r>
        <w:t xml:space="preserve">using pip:</w:t>
      </w:r>
    </w:p>
    <w:p>
      <w:pPr>
        <w:pStyle w:val="SourceCode"/>
      </w:pPr>
      <w:r>
        <w:rPr>
          <w:rStyle w:val="ExtensionTok"/>
        </w:rPr>
        <w:t xml:space="preserve">pip</w:t>
      </w:r>
      <w:r>
        <w:rPr>
          <w:rStyle w:val="NormalTok"/>
        </w:rPr>
        <w:t xml:space="preserve"> install spectHR</w:t>
      </w:r>
    </w:p>
    <w:p>
      <w:pPr>
        <w:pStyle w:val="FirstParagraph"/>
      </w:pPr>
      <w:r>
        <w:t xml:space="preserve">Or, if you’re developing locally, clone the repository and install it in editable mode:</w:t>
      </w:r>
    </w:p>
    <w:p>
      <w:pPr>
        <w:pStyle w:val="SourceCode"/>
      </w:pPr>
      <w:r>
        <w:rPr>
          <w:rStyle w:val="FunctionTok"/>
        </w:rPr>
        <w:t xml:space="preserve">git</w:t>
      </w:r>
      <w:r>
        <w:rPr>
          <w:rStyle w:val="NormalTok"/>
        </w:rPr>
        <w:t xml:space="preserve"> clone https://github.comA/rjanOnGithup/Experimental-Skills.git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spectHR</w:t>
      </w:r>
      <w:r>
        <w:br/>
      </w:r>
      <w:r>
        <w:rPr>
          <w:rStyle w:val="ExtensionTok"/>
        </w:rPr>
        <w:t xml:space="preserve">pip</w:t>
      </w:r>
      <w:r>
        <w:rPr>
          <w:rStyle w:val="NormalTok"/>
        </w:rPr>
        <w:t xml:space="preserve"> install </w:t>
      </w:r>
      <w:r>
        <w:rPr>
          <w:rStyle w:val="AttributeTok"/>
        </w:rPr>
        <w:t xml:space="preserve">-e</w:t>
      </w:r>
      <w:r>
        <w:rPr>
          <w:rStyle w:val="NormalTok"/>
        </w:rPr>
        <w:t xml:space="preserve"> .</w:t>
      </w:r>
    </w:p>
    <w:bookmarkEnd w:id="53"/>
    <w:bookmarkEnd w:id="54"/>
    <w:bookmarkStart w:id="65" w:name="usage"/>
    <w:p>
      <w:pPr>
        <w:pStyle w:val="Heading2"/>
      </w:pPr>
      <w:r>
        <w:t xml:space="preserve">Usage</w:t>
      </w:r>
    </w:p>
    <w:p>
      <w:pPr>
        <w:pStyle w:val="FirstParagraph"/>
      </w:pPr>
      <w:r>
        <w:t xml:space="preserve">To use</w:t>
      </w:r>
      <w:r>
        <w:t xml:space="preserve"> </w:t>
      </w:r>
      <w:r>
        <w:rPr>
          <w:rStyle w:val="VerbatimChar"/>
        </w:rPr>
        <w:t xml:space="preserve">spectHR</w:t>
      </w:r>
      <w:r>
        <w:t xml:space="preserve"> </w:t>
      </w:r>
      <w:r>
        <w:t xml:space="preserve">in your Jupyter notebook, import the necessary components and load your ECG data for analysis.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spectHR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cs</w:t>
      </w:r>
      <w:r>
        <w:br/>
      </w:r>
      <w:r>
        <w:br/>
      </w:r>
      <w:r>
        <w:rPr>
          <w:rStyle w:val="CommentTok"/>
        </w:rPr>
        <w:t xml:space="preserve"># Example: Load ECG data and perform peak detection</w:t>
      </w:r>
      <w:r>
        <w:br/>
      </w:r>
      <w:r>
        <w:rPr>
          <w:rStyle w:val="NormalTok"/>
        </w:rPr>
        <w:t xml:space="preserve">DataSet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cs.SpectHRDataset(</w:t>
      </w:r>
      <w:r>
        <w:rPr>
          <w:rStyle w:val="StringTok"/>
        </w:rPr>
        <w:t xml:space="preserve">"Example Data/SUB_002.xdf"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DataSet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cs.calcPeaks(DataSet)</w:t>
      </w:r>
    </w:p>
    <w:p>
      <w:pPr>
        <w:pStyle w:val="FirstParagraph"/>
      </w:pPr>
      <w:r>
        <w:t xml:space="preserve">This function systematically classifies Inter-Beat Intervals (IBIs) derived from R-top times in an ECG dataset based on statistical thresholds. Each classification captures specific temporal characteristics or patterns in the intervals between successive heartbeats:</w:t>
      </w:r>
    </w:p>
    <w:p>
      <w:pPr>
        <w:numPr>
          <w:ilvl w:val="0"/>
          <w:numId w:val="1016"/>
        </w:numPr>
      </w:pPr>
      <w:r>
        <w:t xml:space="preserve">“</w:t>
      </w:r>
      <w:r>
        <w:t xml:space="preserve">N</w:t>
      </w:r>
      <w:r>
        <w:t xml:space="preserve">”</w:t>
      </w:r>
      <w:r>
        <w:t xml:space="preserve"> </w:t>
      </w:r>
      <w:r>
        <w:t xml:space="preserve">(Normal): IBIs that fall within the expected range, determined by a rolling average and a standard deviation envelope (lower and higher thresholds). These intervals represent the individual’s typical cardiac rhythm, without deviations beyond defined statistical boundaries.</w:t>
      </w:r>
    </w:p>
    <w:p>
      <w:pPr>
        <w:numPr>
          <w:ilvl w:val="0"/>
          <w:numId w:val="1016"/>
        </w:numPr>
      </w:pPr>
      <w:r>
        <w:t xml:space="preserve">“</w:t>
      </w:r>
      <w:r>
        <w:t xml:space="preserve">S</w:t>
      </w:r>
      <w:r>
        <w:t xml:space="preserve">”</w:t>
      </w:r>
      <w:r>
        <w:t xml:space="preserve"> </w:t>
      </w:r>
      <w:r>
        <w:t xml:space="preserve">(Short): An IBI is labeled as</w:t>
      </w:r>
      <w:r>
        <w:t xml:space="preserve"> </w:t>
      </w:r>
      <w:r>
        <w:t xml:space="preserve">“</w:t>
      </w:r>
      <w:r>
        <w:t xml:space="preserve">Short</w:t>
      </w:r>
      <w:r>
        <w:t xml:space="preserve">”</w:t>
      </w:r>
      <w:r>
        <w:t xml:space="preserve"> </w:t>
      </w:r>
      <w:r>
        <w:t xml:space="preserve">if it is significantly smaller than the lower threshold (lower). This classification highlights faster-than-usual intervals that deviate from the individual’s baseline rhythm.</w:t>
      </w:r>
    </w:p>
    <w:p>
      <w:pPr>
        <w:numPr>
          <w:ilvl w:val="0"/>
          <w:numId w:val="1016"/>
        </w:numPr>
      </w:pPr>
      <w:r>
        <w:t xml:space="preserve">“</w:t>
      </w:r>
      <w:r>
        <w:t xml:space="preserve">L</w:t>
      </w:r>
      <w:r>
        <w:t xml:space="preserve">”</w:t>
      </w:r>
      <w:r>
        <w:t xml:space="preserve"> </w:t>
      </w:r>
      <w:r>
        <w:t xml:space="preserve">(Long): IBIs exceeding the upper threshold (higher) are categorized as</w:t>
      </w:r>
      <w:r>
        <w:t xml:space="preserve"> </w:t>
      </w:r>
      <w:r>
        <w:t xml:space="preserve">“</w:t>
      </w:r>
      <w:r>
        <w:t xml:space="preserve">Long.</w:t>
      </w:r>
      <w:r>
        <w:t xml:space="preserve">”</w:t>
      </w:r>
      <w:r>
        <w:t xml:space="preserve"> </w:t>
      </w:r>
      <w:r>
        <w:t xml:space="preserve">These represent slower-than-usual intervals, reflecting a departure from the individual’s expected rhythm.</w:t>
      </w:r>
    </w:p>
    <w:p>
      <w:pPr>
        <w:numPr>
          <w:ilvl w:val="0"/>
          <w:numId w:val="1016"/>
        </w:numPr>
      </w:pPr>
      <w:r>
        <w:t xml:space="preserve">“</w:t>
      </w:r>
      <w:r>
        <w:t xml:space="preserve">TL</w:t>
      </w:r>
      <w:r>
        <w:t xml:space="preserve">”</w:t>
      </w:r>
      <w:r>
        <w:t xml:space="preserve"> </w:t>
      </w:r>
      <w:r>
        <w:t xml:space="preserve">(Too Long): An IBI is marked as</w:t>
      </w:r>
      <w:r>
        <w:t xml:space="preserve"> </w:t>
      </w:r>
      <w:r>
        <w:t xml:space="preserve">“</w:t>
      </w:r>
      <w:r>
        <w:t xml:space="preserve">Too Long</w:t>
      </w:r>
      <w:r>
        <w:t xml:space="preserve">”</w:t>
      </w:r>
      <w:r>
        <w:t xml:space="preserve"> </w:t>
      </w:r>
      <w:r>
        <w:t xml:space="preserve">if it surpasses an absolute duration threshold (Tmax), signifying intervals that are exceptionally prolonged and may indicate abnormalities or measurement artifacts.</w:t>
      </w:r>
    </w:p>
    <w:p>
      <w:pPr>
        <w:numPr>
          <w:ilvl w:val="0"/>
          <w:numId w:val="1016"/>
        </w:numPr>
      </w:pPr>
      <w:r>
        <w:t xml:space="preserve">“</w:t>
      </w:r>
      <w:r>
        <w:t xml:space="preserve">SL</w:t>
      </w:r>
      <w:r>
        <w:t xml:space="preserve">”</w:t>
      </w:r>
      <w:r>
        <w:t xml:space="preserve"> </w:t>
      </w:r>
      <w:r>
        <w:t xml:space="preserve">(Short-Long): This classification identifies a specific pattern where a</w:t>
      </w:r>
      <w:r>
        <w:t xml:space="preserve"> </w:t>
      </w:r>
      <w:r>
        <w:t xml:space="preserve">“</w:t>
      </w:r>
      <w:r>
        <w:t xml:space="preserve">Short</w:t>
      </w:r>
      <w:r>
        <w:t xml:space="preserve">”</w:t>
      </w:r>
      <w:r>
        <w:t xml:space="preserve"> </w:t>
      </w:r>
      <w:r>
        <w:t xml:space="preserve">IBI is immediately followed by a</w:t>
      </w:r>
      <w:r>
        <w:t xml:space="preserve"> </w:t>
      </w:r>
      <w:r>
        <w:t xml:space="preserve">“</w:t>
      </w:r>
      <w:r>
        <w:t xml:space="preserve">Long</w:t>
      </w:r>
      <w:r>
        <w:t xml:space="preserve">”</w:t>
      </w:r>
      <w:r>
        <w:t xml:space="preserve"> </w:t>
      </w:r>
      <w:r>
        <w:t xml:space="preserve">IBI. Such sequences may indicate variability in cardiac timing, often observed in transitional patterns or measurement noise.</w:t>
      </w:r>
    </w:p>
    <w:p>
      <w:pPr>
        <w:numPr>
          <w:ilvl w:val="0"/>
          <w:numId w:val="1016"/>
        </w:numPr>
      </w:pPr>
      <w:r>
        <w:t xml:space="preserve">“</w:t>
      </w:r>
      <w:r>
        <w:t xml:space="preserve">SNS</w:t>
      </w:r>
      <w:r>
        <w:t xml:space="preserve">”</w:t>
      </w:r>
      <w:r>
        <w:t xml:space="preserve"> </w:t>
      </w:r>
      <w:r>
        <w:t xml:space="preserve">(Short-Normal-Short): This label applies to a sequence of three consecutive IBIs, where a</w:t>
      </w:r>
      <w:r>
        <w:t xml:space="preserve"> </w:t>
      </w:r>
      <w:r>
        <w:t xml:space="preserve">“</w:t>
      </w:r>
      <w:r>
        <w:t xml:space="preserve">Short</w:t>
      </w:r>
      <w:r>
        <w:t xml:space="preserve">”</w:t>
      </w:r>
      <w:r>
        <w:t xml:space="preserve"> </w:t>
      </w:r>
      <w:r>
        <w:t xml:space="preserve">IBI is followed by a</w:t>
      </w:r>
      <w:r>
        <w:t xml:space="preserve"> </w:t>
      </w:r>
      <w:r>
        <w:t xml:space="preserve">“</w:t>
      </w:r>
      <w:r>
        <w:t xml:space="preserve">Normal</w:t>
      </w:r>
      <w:r>
        <w:t xml:space="preserve">”</w:t>
      </w:r>
      <w:r>
        <w:t xml:space="preserve"> </w:t>
      </w:r>
      <w:r>
        <w:t xml:space="preserve">IBI, then another</w:t>
      </w:r>
      <w:r>
        <w:t xml:space="preserve"> </w:t>
      </w:r>
      <w:r>
        <w:t xml:space="preserve">“</w:t>
      </w:r>
      <w:r>
        <w:t xml:space="preserve">Short</w:t>
      </w:r>
      <w:r>
        <w:t xml:space="preserve">”</w:t>
      </w:r>
      <w:r>
        <w:t xml:space="preserve"> </w:t>
      </w:r>
      <w:r>
        <w:t xml:space="preserve">IBI. This pattern highlights irregularities interspersed with typical intervals.</w:t>
      </w:r>
    </w:p>
    <w:p>
      <w:pPr>
        <w:pStyle w:val="FirstParagraph"/>
      </w:pPr>
      <w:r>
        <w:t xml:space="preserve">The algorithm calculates a moving average and standard deviation of IBIs over a sliding time window (Tw), defining dynamic, individual-specific thresholds for classifying deviations. Each IBI is assessed against these thresholds and assigned an appropriate label. Subsequent steps ensure detection of sequential patterns like</w:t>
      </w:r>
      <w:r>
        <w:t xml:space="preserve"> </w:t>
      </w:r>
      <w:r>
        <w:t xml:space="preserve">“</w:t>
      </w:r>
      <w:r>
        <w:t xml:space="preserve">SL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SNS,</w:t>
      </w:r>
      <w:r>
        <w:t xml:space="preserve">”</w:t>
      </w:r>
      <w:r>
        <w:t xml:space="preserve"> </w:t>
      </w:r>
      <w:r>
        <w:t xml:space="preserve">enhancing the granularity of the classification.</w:t>
      </w:r>
    </w:p>
    <w:p>
      <w:pPr>
        <w:pStyle w:val="BodyText"/>
      </w:pPr>
      <w:r>
        <w:t xml:space="preserve">The function also provides a summary of detected classifications, logging the frequency of each label. This systematic approach helps identify deviations from regular heartbeat intervals and potential artifacts, supporting detailed analysis of ECG data.</w:t>
      </w:r>
    </w:p>
    <w:bookmarkStart w:id="58" w:name="parameters-used-in-the-classification"/>
    <w:p>
      <w:pPr>
        <w:pStyle w:val="Heading3"/>
      </w:pPr>
      <w:r>
        <w:t xml:space="preserve">Parameters used in the classification:</w:t>
      </w:r>
    </w:p>
    <w:bookmarkStart w:id="55" w:name="tw-window-size"/>
    <w:p>
      <w:pPr>
        <w:pStyle w:val="Heading4"/>
      </w:pPr>
      <w:r>
        <w:t xml:space="preserve">Tw (Window Size):</w:t>
      </w:r>
    </w:p>
    <w:p>
      <w:pPr>
        <w:pStyle w:val="FirstParagraph"/>
      </w:pPr>
      <w:r>
        <w:t xml:space="preserve">Description: Specifies the size of the rolling window (in beats) used to calculate the moving average (avIBIr) and standard deviation (SDavIBIr) of the Inter-Beat Intervals (IBIs).</w:t>
      </w:r>
    </w:p>
    <w:p>
      <w:pPr>
        <w:pStyle w:val="BodyText"/>
      </w:pPr>
      <w:r>
        <w:t xml:space="preserve">Usage:</w:t>
      </w:r>
    </w:p>
    <w:p>
      <w:pPr>
        <w:pStyle w:val="BodyText"/>
      </w:pPr>
      <w:r>
        <w:t xml:space="preserve">Affects the dynamic thresholds (lower and higher) by smoothing the IBIs over a range defined by this window.</w:t>
      </w:r>
    </w:p>
    <w:p>
      <w:pPr>
        <w:pStyle w:val="BodyText"/>
      </w:pPr>
      <w:r>
        <w:t xml:space="preserve">Larger values of Tw create smoother thresholds but may overlook short-term variability, while smaller values result in more sensitive thresholds that reflect short-term changes.</w:t>
      </w:r>
    </w:p>
    <w:p>
      <w:pPr>
        <w:pStyle w:val="BodyText"/>
      </w:pPr>
      <w:r>
        <w:t xml:space="preserve">Default:</w:t>
      </w:r>
      <w:r>
        <w:t xml:space="preserve"> </w:t>
      </w:r>
      <w:r>
        <w:rPr>
          <w:b/>
          <w:bCs/>
        </w:rPr>
        <w:t xml:space="preserve">Tw = 51.</w:t>
      </w:r>
    </w:p>
    <w:bookmarkEnd w:id="55"/>
    <w:bookmarkStart w:id="56" w:name="nsd-number-of-standard-deviations"/>
    <w:p>
      <w:pPr>
        <w:pStyle w:val="Heading4"/>
      </w:pPr>
      <w:r>
        <w:t xml:space="preserve">Nsd (Number of Standard Deviations):</w:t>
      </w:r>
    </w:p>
    <w:p>
      <w:pPr>
        <w:pStyle w:val="FirstParagraph"/>
      </w:pPr>
      <w:r>
        <w:t xml:space="preserve">Description: Determines the multiplier for the standard deviation when calculating the dynamic thresholds (lower and higher) for classifying IBIs as</w:t>
      </w:r>
      <w:r>
        <w:t xml:space="preserve"> </w:t>
      </w:r>
      <w:r>
        <w:t xml:space="preserve">“</w:t>
      </w:r>
      <w:r>
        <w:t xml:space="preserve">Short</w:t>
      </w:r>
      <w:r>
        <w:t xml:space="preserve">”</w:t>
      </w:r>
      <w:r>
        <w:t xml:space="preserve"> </w:t>
      </w:r>
      <w:r>
        <w:t xml:space="preserve">(S) or</w:t>
      </w:r>
      <w:r>
        <w:t xml:space="preserve"> </w:t>
      </w:r>
      <w:r>
        <w:t xml:space="preserve">“</w:t>
      </w:r>
      <w:r>
        <w:t xml:space="preserve">Long</w:t>
      </w:r>
      <w:r>
        <w:t xml:space="preserve">”</w:t>
      </w:r>
      <w:r>
        <w:t xml:space="preserve"> </w:t>
      </w:r>
      <w:r>
        <w:t xml:space="preserve">(L).</w:t>
      </w:r>
    </w:p>
    <w:p>
      <w:pPr>
        <w:pStyle w:val="BodyText"/>
      </w:pPr>
      <w:r>
        <w:t xml:space="preserve">Usage:</w:t>
      </w:r>
    </w:p>
    <w:p>
      <w:pPr>
        <w:pStyle w:val="BodyText"/>
      </w:pPr>
      <w:r>
        <w:t xml:space="preserve">Affects the boundaries of normal IBIs:</w:t>
      </w:r>
    </w:p>
    <w:p>
      <w:pPr>
        <w:pStyle w:val="BodyText"/>
      </w:pPr>
      <w:r>
        <w:t xml:space="preserve">The lower threshold is calculated as:</w:t>
      </w:r>
    </w:p>
    <w:p>
      <w:pPr>
        <w:pStyle w:val="SourceCode"/>
      </w:pPr>
      <w:r>
        <w:rPr>
          <w:rStyle w:val="VerbatimChar"/>
        </w:rPr>
        <w:t xml:space="preserve">lower = avIBIr - (Nsd * SD(avIBI)r)`</w:t>
      </w:r>
    </w:p>
    <w:p>
      <w:pPr>
        <w:pStyle w:val="FirstParagraph"/>
      </w:pPr>
      <w:r>
        <w:t xml:space="preserve">The upper threshold is:</w:t>
      </w:r>
    </w:p>
    <w:p>
      <w:pPr>
        <w:pStyle w:val="SourceCode"/>
      </w:pPr>
      <w:r>
        <w:rPr>
          <w:rStyle w:val="VerbatimChar"/>
        </w:rPr>
        <w:t xml:space="preserve">higher = avIBIr + (Nsd * SD(avIBI)r)`</w:t>
      </w:r>
    </w:p>
    <w:p>
      <w:pPr>
        <w:pStyle w:val="FirstParagraph"/>
      </w:pPr>
      <w:r>
        <w:t xml:space="preserve">Higher values of Nsd result in wider thresholds, reducing sensitivity to variations, while lower values make the classification more sensitive to smaller deviations.</w:t>
      </w:r>
    </w:p>
    <w:p>
      <w:pPr>
        <w:pStyle w:val="BodyText"/>
      </w:pPr>
      <w:r>
        <w:t xml:space="preserve">Default:</w:t>
      </w:r>
      <w:r>
        <w:t xml:space="preserve"> </w:t>
      </w:r>
      <w:r>
        <w:rPr>
          <w:b/>
          <w:bCs/>
        </w:rPr>
        <w:t xml:space="preserve">Nsd = 4.</w:t>
      </w:r>
    </w:p>
    <w:bookmarkEnd w:id="56"/>
    <w:bookmarkStart w:id="57" w:name="tmax-maximum-interval-threshold"/>
    <w:p>
      <w:pPr>
        <w:pStyle w:val="Heading4"/>
      </w:pPr>
      <w:r>
        <w:t xml:space="preserve">Tmax (Maximum Interval Threshold):</w:t>
      </w:r>
    </w:p>
    <w:p>
      <w:pPr>
        <w:pStyle w:val="FirstParagraph"/>
      </w:pPr>
      <w:r>
        <w:t xml:space="preserve">Description: Sets an absolute upper limit (in seconds) for classifying IBIs as</w:t>
      </w:r>
      <w:r>
        <w:t xml:space="preserve"> </w:t>
      </w:r>
      <w:r>
        <w:t xml:space="preserve">“</w:t>
      </w:r>
      <w:r>
        <w:t xml:space="preserve">Too Long</w:t>
      </w:r>
      <w:r>
        <w:t xml:space="preserve">”</w:t>
      </w:r>
      <w:r>
        <w:t xml:space="preserve"> </w:t>
      </w:r>
      <w:r>
        <w:t xml:space="preserve">(TL).</w:t>
      </w:r>
    </w:p>
    <w:p>
      <w:pPr>
        <w:pStyle w:val="BodyText"/>
      </w:pPr>
      <w:r>
        <w:t xml:space="preserve">Usage:</w:t>
      </w:r>
    </w:p>
    <w:p>
      <w:pPr>
        <w:pStyle w:val="BodyText"/>
      </w:pPr>
      <w:r>
        <w:t xml:space="preserve">Any IBI exceeding this value is immediately labeled as</w:t>
      </w:r>
      <w:r>
        <w:t xml:space="preserve"> </w:t>
      </w:r>
      <w:r>
        <w:t xml:space="preserve">“</w:t>
      </w:r>
      <w:r>
        <w:t xml:space="preserve">Too Long,</w:t>
      </w:r>
      <w:r>
        <w:t xml:space="preserve">”</w:t>
      </w:r>
      <w:r>
        <w:t xml:space="preserve"> </w:t>
      </w:r>
      <w:r>
        <w:t xml:space="preserve">irrespective of the dynamic thresholds (higher and lower).</w:t>
      </w:r>
    </w:p>
    <w:p>
      <w:pPr>
        <w:pStyle w:val="BodyText"/>
      </w:pPr>
      <w:r>
        <w:t xml:space="preserve">Provides a fixed boundary to capture extreme outliers that may indicate significant irregularities or artifacts in the data.</w:t>
      </w:r>
    </w:p>
    <w:p>
      <w:pPr>
        <w:pStyle w:val="BodyText"/>
      </w:pPr>
      <w:r>
        <w:t xml:space="preserve">Default:</w:t>
      </w:r>
      <w:r>
        <w:t xml:space="preserve"> </w:t>
      </w:r>
      <w:r>
        <w:rPr>
          <w:b/>
          <w:bCs/>
        </w:rPr>
        <w:t xml:space="preserve">Tmax = 5.</w:t>
      </w:r>
    </w:p>
    <w:bookmarkEnd w:id="57"/>
    <w:bookmarkEnd w:id="58"/>
    <w:bookmarkStart w:id="63" w:name="Xe1508018c4ba6c92fd6fa93c9906d01b1e9cd98"/>
    <w:p>
      <w:pPr>
        <w:pStyle w:val="Heading3"/>
      </w:pPr>
      <w:r>
        <w:t xml:space="preserve">How These Parameters Influence the Function</w:t>
      </w:r>
    </w:p>
    <w:bookmarkStart w:id="59" w:name="calculation-of-dynamic-thresholds"/>
    <w:p>
      <w:pPr>
        <w:pStyle w:val="Heading4"/>
      </w:pPr>
      <w:r>
        <w:t xml:space="preserve">Calculation of Dynamic Thresholds:</w:t>
      </w:r>
    </w:p>
    <w:p>
      <w:pPr>
        <w:pStyle w:val="FirstParagraph"/>
      </w:pPr>
      <w:r>
        <w:t xml:space="preserve">The rolling window size (Tw) and standard deviation multiplier (Nsd) work together to create individual-specific thresholds. These thresholds adapt to the temporal variability of the IBIs, classifying deviations as either</w:t>
      </w:r>
      <w:r>
        <w:t xml:space="preserve"> </w:t>
      </w:r>
      <w:r>
        <w:t xml:space="preserve">“</w:t>
      </w:r>
      <w:r>
        <w:t xml:space="preserve">Short</w:t>
      </w:r>
      <w:r>
        <w:t xml:space="preserve">”</w:t>
      </w:r>
      <w:r>
        <w:t xml:space="preserve"> </w:t>
      </w:r>
      <w:r>
        <w:t xml:space="preserve">(S) or</w:t>
      </w:r>
      <w:r>
        <w:t xml:space="preserve"> </w:t>
      </w:r>
      <w:r>
        <w:t xml:space="preserve">“</w:t>
      </w:r>
      <w:r>
        <w:t xml:space="preserve">Long</w:t>
      </w:r>
      <w:r>
        <w:t xml:space="preserve">”</w:t>
      </w:r>
      <w:r>
        <w:t xml:space="preserve"> </w:t>
      </w:r>
      <w:r>
        <w:t xml:space="preserve">(L).</w:t>
      </w:r>
    </w:p>
    <w:bookmarkEnd w:id="59"/>
    <w:bookmarkStart w:id="60" w:name="absolute-threshold-tmax"/>
    <w:p>
      <w:pPr>
        <w:pStyle w:val="Heading4"/>
      </w:pPr>
      <w:r>
        <w:t xml:space="preserve">Absolute Threshold (Tmax):</w:t>
      </w:r>
    </w:p>
    <w:p>
      <w:pPr>
        <w:pStyle w:val="FirstParagraph"/>
      </w:pPr>
      <w:r>
        <w:t xml:space="preserve">Serves as an override for dynamic thresholds by assigning the</w:t>
      </w:r>
      <w:r>
        <w:t xml:space="preserve"> </w:t>
      </w:r>
      <w:r>
        <w:t xml:space="preserve">“</w:t>
      </w:r>
      <w:r>
        <w:t xml:space="preserve">Too Long</w:t>
      </w:r>
      <w:r>
        <w:t xml:space="preserve">”</w:t>
      </w:r>
      <w:r>
        <w:t xml:space="preserve"> </w:t>
      </w:r>
      <w:r>
        <w:t xml:space="preserve">(TL) label to any IBI that exceeds this fixed value. This ensures extreme outliers are captured even if they fall within the dynamic thresholds.</w:t>
      </w:r>
    </w:p>
    <w:bookmarkEnd w:id="60"/>
    <w:bookmarkStart w:id="61" w:name="impact-on-classification"/>
    <w:p>
      <w:pPr>
        <w:pStyle w:val="Heading4"/>
      </w:pPr>
      <w:r>
        <w:t xml:space="preserve">Impact on Classification:</w:t>
      </w:r>
    </w:p>
    <w:p>
      <w:pPr>
        <w:pStyle w:val="FirstParagraph"/>
      </w:pPr>
      <w:r>
        <w:t xml:space="preserve">Dynamic Adjustments: The combination of Tw and Nsd tailors the classification to the individual’s data, ensuring the function is sensitive to relative changes while minimizing false positives.</w:t>
      </w:r>
    </w:p>
    <w:p>
      <w:pPr>
        <w:pStyle w:val="BodyText"/>
      </w:pPr>
      <w:r>
        <w:t xml:space="preserve">Outlier Detection: Tmax ensures robustness by capturing exceptionally long intervals, regardless of variability in the moving averages.</w:t>
      </w:r>
    </w:p>
    <w:bookmarkEnd w:id="61"/>
    <w:bookmarkStart w:id="62" w:name="summary-of-parameter-roles"/>
    <w:p>
      <w:pPr>
        <w:pStyle w:val="Heading4"/>
      </w:pPr>
      <w:r>
        <w:t xml:space="preserve">Summary of Parameter Roles</w:t>
      </w:r>
    </w:p>
    <w:p>
      <w:pPr>
        <w:pStyle w:val="FirstParagraph"/>
      </w:pPr>
      <w:r>
        <w:t xml:space="preserve">This parameter structure allows flexibility in adapting the function to different datasets and use cases, balancing sensitivity and robustness in IBI classification.</w:t>
      </w:r>
    </w:p>
    <w:p>
      <w:pPr>
        <w:pStyle w:val="BodyText"/>
      </w:pPr>
      <w:r>
        <w:t xml:space="preserve">Once the data is loaded, you can visualize it with interactive plots:</w:t>
      </w:r>
    </w:p>
    <w:p>
      <w:pPr>
        <w:pStyle w:val="SourceCode"/>
      </w:pPr>
      <w:r>
        <w:rPr>
          <w:rStyle w:val="NormalTok"/>
        </w:rPr>
        <w:t xml:space="preserve">GUI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cs.prepPlot(DataSet)  </w:t>
      </w:r>
      <w:r>
        <w:rPr>
          <w:rStyle w:val="CommentTok"/>
        </w:rPr>
        <w:t xml:space="preserve"># Plot ECG with draggable R-top lines</w:t>
      </w:r>
    </w:p>
    <w:bookmarkEnd w:id="62"/>
    <w:bookmarkEnd w:id="63"/>
    <w:bookmarkStart w:id="64" w:name="available-modes"/>
    <w:p>
      <w:pPr>
        <w:pStyle w:val="Heading3"/>
      </w:pPr>
      <w:r>
        <w:t xml:space="preserve">Available Modes</w:t>
      </w:r>
    </w:p>
    <w:p>
      <w:pPr>
        <w:pStyle w:val="Compact"/>
        <w:numPr>
          <w:ilvl w:val="0"/>
          <w:numId w:val="1017"/>
        </w:numPr>
      </w:pPr>
      <w:r>
        <w:t xml:space="preserve">Drag: Move the vertical lines (R-tops) along the x-axis to adjust detection.</w:t>
      </w:r>
    </w:p>
    <w:p>
      <w:pPr>
        <w:pStyle w:val="Compact"/>
        <w:numPr>
          <w:ilvl w:val="0"/>
          <w:numId w:val="1017"/>
        </w:numPr>
      </w:pPr>
      <w:r>
        <w:t xml:space="preserve">Remove: Select and remove individual R-tops by clicking on the lines.</w:t>
      </w:r>
    </w:p>
    <w:p>
      <w:pPr>
        <w:pStyle w:val="Compact"/>
        <w:numPr>
          <w:ilvl w:val="0"/>
          <w:numId w:val="1017"/>
        </w:numPr>
      </w:pPr>
      <w:r>
        <w:t xml:space="preserve">Add: Add a new R-top at a specific location on the plot.</w:t>
      </w:r>
    </w:p>
    <w:p>
      <w:pPr>
        <w:pStyle w:val="FirstParagraph"/>
      </w:pPr>
      <w:r>
        <w:t xml:space="preserve">This will allow you to interact with the ECG plot, dragging R-top lines and updating the dataset accordingly.</w:t>
      </w:r>
    </w:p>
    <w:bookmarkEnd w:id="64"/>
    <w:bookmarkEnd w:id="65"/>
    <w:bookmarkStart w:id="75" w:name="poincaré-plots"/>
    <w:p>
      <w:pPr>
        <w:pStyle w:val="Heading2"/>
      </w:pPr>
      <w:r>
        <w:t xml:space="preserve">Poincaré Plots</w:t>
      </w:r>
    </w:p>
    <w:p>
      <w:pPr>
        <w:pStyle w:val="FirstParagraph"/>
      </w:pPr>
      <w:r>
        <w:t xml:space="preserve">Poincaré plots are widely used tools for visualizing and analyzing heart rate variability (HRV) from ECG data. They provide a two-dimensional representation of consecutive inter-beat intervals (IBIs), where each interval is plotted against the subsequent one.</w:t>
      </w:r>
    </w:p>
    <w:p>
      <w:pPr>
        <w:pStyle w:val="BodyText"/>
      </w:pPr>
      <w:r>
        <w:t xml:space="preserve">In</w:t>
      </w:r>
      <w:r>
        <w:t xml:space="preserve"> </w:t>
      </w:r>
      <w:r>
        <w:rPr>
          <w:rStyle w:val="VerbatimChar"/>
        </w:rPr>
        <w:t xml:space="preserve">spectHR</w:t>
      </w:r>
      <w:r>
        <w:t xml:space="preserve">, Poincaré plots help assess the regularity and variability of the heart rhythm and provide quantifiable measures that describe short-term and long-term HRV.</w:t>
      </w:r>
    </w:p>
    <w:bookmarkStart w:id="66" w:name="how-it-works-1"/>
    <w:p>
      <w:pPr>
        <w:pStyle w:val="Heading3"/>
      </w:pPr>
      <w:r>
        <w:t xml:space="preserve">How It Works</w:t>
      </w:r>
    </w:p>
    <w:p>
      <w:pPr>
        <w:pStyle w:val="FirstParagraph"/>
      </w:pPr>
      <w:r>
        <w:t xml:space="preserve">Given a sequence of inter-beat intervals (IBI):</w:t>
      </w:r>
    </w:p>
    <w:p>
      <w:pPr>
        <w:pStyle w:val="SourceCode"/>
      </w:pPr>
      <w:r>
        <w:rPr>
          <w:rStyle w:val="VerbatimChar"/>
        </w:rPr>
        <w:t xml:space="preserve">IBI_1, IBI_2, IBI_3, \dots, IBI_n</w:t>
      </w:r>
    </w:p>
    <w:p>
      <w:pPr>
        <w:pStyle w:val="FirstParagraph"/>
      </w:pPr>
      <w:r>
        <w:t xml:space="preserve">Then:</w:t>
      </w:r>
    </w:p>
    <w:p>
      <w:pPr>
        <w:pStyle w:val="SourceCode"/>
      </w:pPr>
      <w:r>
        <w:rPr>
          <w:rStyle w:val="VerbatimChar"/>
        </w:rPr>
        <w:t xml:space="preserve">(IBI_i, IBI_{i+1})</w:t>
      </w:r>
    </w:p>
    <w:p>
      <w:pPr>
        <w:pStyle w:val="FirstParagraph"/>
      </w:pPr>
      <w:r>
        <w:t xml:space="preserve">creates a scatter plot where the x-axis represents (current interval) and the y-axis represents (next interval).</w:t>
      </w:r>
    </w:p>
    <w:bookmarkEnd w:id="66"/>
    <w:bookmarkStart w:id="67" w:name="key-features"/>
    <w:p>
      <w:pPr>
        <w:pStyle w:val="Heading3"/>
      </w:pPr>
      <w:r>
        <w:t xml:space="preserve">Key Features</w:t>
      </w:r>
    </w:p>
    <w:p>
      <w:pPr>
        <w:numPr>
          <w:ilvl w:val="0"/>
          <w:numId w:val="1018"/>
        </w:numPr>
      </w:pPr>
      <w:r>
        <w:t xml:space="preserve">Scatter Visualization: Visualizes the beat-to-beat dynamics of the cardiac rhythm.</w:t>
      </w:r>
    </w:p>
    <w:p>
      <w:pPr>
        <w:numPr>
          <w:ilvl w:val="0"/>
          <w:numId w:val="1018"/>
        </w:numPr>
      </w:pPr>
      <w:r>
        <w:t xml:space="preserve">Shape Analysis: The distribution and clustering of points provide insights into autonomic nervous system regulation.</w:t>
      </w:r>
    </w:p>
    <w:p>
      <w:pPr>
        <w:numPr>
          <w:ilvl w:val="0"/>
          <w:numId w:val="1018"/>
        </w:numPr>
      </w:pPr>
      <w:r>
        <w:t xml:space="preserve">Quantitative Measures: Calculates specific parameters describing the spread and organization of points.</w:t>
      </w:r>
    </w:p>
    <w:p>
      <w:r>
        <w:pict>
          <v:rect style="width:0;height:1.5pt" o:hralign="center" o:hrstd="t" o:hr="t"/>
        </w:pict>
      </w:r>
    </w:p>
    <w:bookmarkEnd w:id="67"/>
    <w:bookmarkStart w:id="72" w:name="X8a24872ed6b43eb76fe1c64495528124e849bf7"/>
    <w:p>
      <w:pPr>
        <w:pStyle w:val="Heading3"/>
      </w:pPr>
      <w:r>
        <w:t xml:space="preserve">Parameters Calculated from Poincaré Plots</w:t>
      </w:r>
    </w:p>
    <w:bookmarkStart w:id="68" w:name="sd1-short-term-variability"/>
    <w:p>
      <w:pPr>
        <w:pStyle w:val="Heading4"/>
      </w:pPr>
      <w:r>
        <w:t xml:space="preserve">SD</w:t>
      </w:r>
      <w:r>
        <w:t xml:space="preserve">1</w:t>
      </w:r>
      <w:r>
        <w:t xml:space="preserve"> </w:t>
      </w:r>
      <w:r>
        <w:t xml:space="preserve">(Short-term Variability)</w:t>
      </w:r>
    </w:p>
    <w:p>
      <w:pPr>
        <w:pStyle w:val="FirstParagraph"/>
      </w:pPr>
      <w:r>
        <w:t xml:space="preserve">SD</w:t>
      </w:r>
      <w:r>
        <w:t xml:space="preserve">1</w:t>
      </w:r>
      <w:r>
        <w:t xml:space="preserve"> </w:t>
      </w:r>
      <w:r>
        <w:t xml:space="preserve">measures the standard deviation of points perpendicular to the line of identity ().</w:t>
      </w:r>
    </w:p>
    <w:p>
      <w:pPr>
        <w:pStyle w:val="BodyText"/>
      </w:pPr>
      <w:r>
        <w:t xml:space="preserve">Represents short-term HRV, reflecting beat-to-beat variability.</w:t>
      </w:r>
    </w:p>
    <w:p>
      <w:pPr>
        <w:pStyle w:val="BodyText"/>
      </w:pPr>
      <w:r>
        <w:t xml:space="preserve">Formula:</w:t>
      </w:r>
    </w:p>
    <w:p>
      <w:pPr>
        <w:pStyle w:val="SourceCode"/>
      </w:pPr>
      <w:r>
        <w:rPr>
          <w:rStyle w:val="VerbatimChar"/>
        </w:rPr>
        <w:t xml:space="preserve">SD_1 = \sqrt{\frac{1}{2} \text{Var}(IBI_{i+1} - IBI_i)}</w:t>
      </w:r>
    </w:p>
    <w:bookmarkEnd w:id="68"/>
    <w:bookmarkStart w:id="69" w:name="sd2-long-term-variability"/>
    <w:p>
      <w:pPr>
        <w:pStyle w:val="Heading4"/>
      </w:pPr>
      <w:r>
        <w:t xml:space="preserve">SD</w:t>
      </w:r>
      <w:r>
        <w:t xml:space="preserve">2</w:t>
      </w:r>
      <w:r>
        <w:t xml:space="preserve"> </w:t>
      </w:r>
      <w:r>
        <w:t xml:space="preserve">(Long-term Variability)</w:t>
      </w:r>
    </w:p>
    <w:p>
      <w:pPr>
        <w:pStyle w:val="FirstParagraph"/>
      </w:pPr>
      <w:r>
        <w:t xml:space="preserve">SD</w:t>
      </w:r>
      <w:r>
        <w:t xml:space="preserve">2</w:t>
      </w:r>
      <w:r>
        <w:t xml:space="preserve"> </w:t>
      </w:r>
      <w:r>
        <w:t xml:space="preserve">measures the standard deviation of points along the line of identity ().</w:t>
      </w:r>
    </w:p>
    <w:p>
      <w:pPr>
        <w:pStyle w:val="BodyText"/>
      </w:pPr>
      <w:r>
        <w:t xml:space="preserve">Represents long-term HRV, capturing overall variability of the IBIs.</w:t>
      </w:r>
    </w:p>
    <w:p>
      <w:pPr>
        <w:pStyle w:val="BodyText"/>
      </w:pPr>
      <w:r>
        <w:t xml:space="preserve">Formula:</w:t>
      </w:r>
    </w:p>
    <w:p>
      <w:pPr>
        <w:pStyle w:val="SourceCode"/>
      </w:pPr>
      <w:r>
        <w:rPr>
          <w:rStyle w:val="VerbatimChar"/>
        </w:rPr>
        <w:t xml:space="preserve">SD_2 = \sqrt{2 \cdot \text{Var}(IBI_i) - \frac{1}{2} \text{Var}(IBI_{i+1} - IBI_i)}</w:t>
      </w:r>
    </w:p>
    <w:bookmarkEnd w:id="69"/>
    <w:bookmarkStart w:id="70" w:name="sd2sd1-ratio"/>
    <w:p>
      <w:pPr>
        <w:pStyle w:val="Heading4"/>
      </w:pPr>
      <w:r>
        <w:t xml:space="preserve">SD</w:t>
      </w:r>
      <w:r>
        <w:t xml:space="preserve">2</w:t>
      </w:r>
      <w:r>
        <w:t xml:space="preserve">/SD</w:t>
      </w:r>
      <w:r>
        <w:t xml:space="preserve">1</w:t>
      </w:r>
      <w:r>
        <w:t xml:space="preserve"> </w:t>
      </w:r>
      <w:r>
        <w:t xml:space="preserve">Ratio</w:t>
      </w:r>
    </w:p>
    <w:p>
      <w:pPr>
        <w:pStyle w:val="FirstParagraph"/>
      </w:pPr>
      <w:r>
        <w:t xml:space="preserve">The ratio between SD</w:t>
      </w:r>
      <w:r>
        <w:t xml:space="preserve">1</w:t>
      </w:r>
      <w:r>
        <w:t xml:space="preserve"> </w:t>
      </w:r>
      <w:r>
        <w:t xml:space="preserve">and SD</w:t>
      </w:r>
      <w:r>
        <w:t xml:space="preserve">2</w:t>
      </w:r>
      <w:r>
        <w:t xml:space="preserve"> </w:t>
      </w:r>
      <w:r>
        <w:t xml:space="preserve">is used to analyze the balance between short-term and long-term HRV.</w:t>
      </w:r>
    </w:p>
    <w:p>
      <w:pPr>
        <w:pStyle w:val="SourceCode"/>
      </w:pPr>
      <w:r>
        <w:rPr>
          <w:rStyle w:val="VerbatimChar"/>
        </w:rPr>
        <w:t xml:space="preserve"> SD_{ratio} = \frac{SD_2}{SD_1}</w:t>
      </w:r>
    </w:p>
    <w:bookmarkEnd w:id="70"/>
    <w:bookmarkStart w:id="71" w:name="ellipse-fitting"/>
    <w:p>
      <w:pPr>
        <w:pStyle w:val="Heading4"/>
      </w:pPr>
      <w:r>
        <w:t xml:space="preserve">Ellipse Fitting</w:t>
      </w:r>
    </w:p>
    <w:p>
      <w:pPr>
        <w:pStyle w:val="FirstParagraph"/>
      </w:pPr>
      <w:r>
        <w:t xml:space="preserve">The Poincaré plot can be approximated by an ellipse centered on the line of identity.</w:t>
      </w:r>
    </w:p>
    <w:p>
      <w:pPr>
        <w:pStyle w:val="BodyText"/>
      </w:pPr>
      <w:r>
        <w:t xml:space="preserve">SD</w:t>
      </w:r>
      <w:r>
        <w:t xml:space="preserve">1</w:t>
      </w:r>
      <w:r>
        <w:t xml:space="preserve"> </w:t>
      </w:r>
      <w:r>
        <w:t xml:space="preserve">corresponds to the width of the ellipse (short axis).</w:t>
      </w:r>
    </w:p>
    <w:p>
      <w:pPr>
        <w:pStyle w:val="BodyText"/>
      </w:pPr>
      <w:r>
        <w:t xml:space="preserve">SD</w:t>
      </w:r>
      <w:r>
        <w:t xml:space="preserve">2</w:t>
      </w:r>
      <w:r>
        <w:t xml:space="preserve"> </w:t>
      </w:r>
      <w:r>
        <w:t xml:space="preserve">corresponds to the length of the ellipse (long axis).</w:t>
      </w:r>
      <w:r>
        <w:t xml:space="preserve"> </w:t>
      </w:r>
      <w:r>
        <w:t xml:space="preserve">The area of the ellipse is often calculated as:</w:t>
      </w:r>
    </w:p>
    <w:p>
      <w:pPr>
        <w:pStyle w:val="SourceCode"/>
      </w:pPr>
      <w:r>
        <w:rPr>
          <w:rStyle w:val="VerbatimChar"/>
        </w:rPr>
        <w:t xml:space="preserve">\text{Area} = \pi \cdot SD_1 \cdot SD_2</w:t>
      </w:r>
    </w:p>
    <w:p>
      <w:r>
        <w:pict>
          <v:rect style="width:0;height:1.5pt" o:hralign="center" o:hrstd="t" o:hr="t"/>
        </w:pict>
      </w:r>
    </w:p>
    <w:bookmarkEnd w:id="71"/>
    <w:bookmarkEnd w:id="72"/>
    <w:bookmarkStart w:id="74" w:name="interpretation-of-poincaré-plots"/>
    <w:p>
      <w:pPr>
        <w:pStyle w:val="Heading3"/>
      </w:pPr>
      <w:r>
        <w:t xml:space="preserve">Interpretation of Poincaré Plots</w:t>
      </w:r>
    </w:p>
    <w:p>
      <w:pPr>
        <w:numPr>
          <w:ilvl w:val="0"/>
          <w:numId w:val="1019"/>
        </w:numPr>
      </w:pPr>
      <w:r>
        <w:t xml:space="preserve">Tight Clustering Around Identity Line: Indicates low HRV and reduced autonomic regulation (e.g., under stress or disease states).</w:t>
      </w:r>
    </w:p>
    <w:p>
      <w:pPr>
        <w:numPr>
          <w:ilvl w:val="0"/>
          <w:numId w:val="1019"/>
        </w:numPr>
      </w:pPr>
      <w:r>
        <w:t xml:space="preserve">Elliptical Shape with Large Spread: Suggests healthy HRV with dynamic autonomic modulation.</w:t>
      </w:r>
    </w:p>
    <w:p>
      <w:pPr>
        <w:numPr>
          <w:ilvl w:val="0"/>
          <w:numId w:val="1019"/>
        </w:numPr>
      </w:pPr>
      <w:r>
        <w:t xml:space="preserve">(x,y) points that are topographically district, are an indication of a mis-trigger of the r-top.</w:t>
      </w:r>
    </w:p>
    <w:p>
      <w:r>
        <w:pict>
          <v:rect style="width:0;height:1.5pt" o:hralign="center" o:hrstd="t" o:hr="t"/>
        </w:pict>
      </w:r>
    </w:p>
    <w:bookmarkStart w:id="73" w:name="example-code"/>
    <w:p>
      <w:pPr>
        <w:pStyle w:val="Heading4"/>
      </w:pPr>
      <w:r>
        <w:t xml:space="preserve">Example Code</w:t>
      </w:r>
    </w:p>
    <w:p>
      <w:pPr>
        <w:pStyle w:val="FirstParagraph"/>
      </w:pPr>
      <w:r>
        <w:t xml:space="preserve">Here is how to generate a Poincaré plot and calculate parameters in</w:t>
      </w:r>
      <w:r>
        <w:t xml:space="preserve"> </w:t>
      </w:r>
      <w:r>
        <w:rPr>
          <w:rStyle w:val="VerbatimChar"/>
        </w:rPr>
        <w:t xml:space="preserve">spectHR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cs.poincare(DataSet)</w:t>
      </w:r>
    </w:p>
    <w:p>
      <w:pPr>
        <w:pStyle w:val="FirstParagraph"/>
      </w:pPr>
      <w:r>
        <w:t xml:space="preserve">This will display a scatter plot of vs and compute SD</w:t>
      </w:r>
      <w:r>
        <w:t xml:space="preserve">1</w:t>
      </w:r>
      <w:r>
        <w:t xml:space="preserve">, SD</w:t>
      </w:r>
      <w:r>
        <w:t xml:space="preserve">2</w:t>
      </w:r>
      <w:r>
        <w:t xml:space="preserve">, and SD</w:t>
      </w:r>
      <w:r>
        <w:t xml:space="preserve">1</w:t>
      </w:r>
      <w:r>
        <w:t xml:space="preserve">/SD</w:t>
      </w:r>
      <w:r>
        <w:t xml:space="preserve">2</w:t>
      </w:r>
      <w:r>
        <w:t xml:space="preserve"> </w:t>
      </w:r>
      <w:r>
        <w:t xml:space="preserve">ratio, along with other descriptive statistics.</w:t>
      </w:r>
      <w:r>
        <w:t xml:space="preserve"> </w:t>
      </w:r>
      <w:r>
        <w:t xml:space="preserve">The plot also allows for selecting relevant epochs in the data. In the standard views of the data in the library, these selections are upheld.</w:t>
      </w:r>
    </w:p>
    <w:bookmarkEnd w:id="73"/>
    <w:bookmarkEnd w:id="74"/>
    <w:bookmarkEnd w:id="75"/>
    <w:bookmarkStart w:id="76" w:name="contributing"/>
    <w:p>
      <w:pPr>
        <w:pStyle w:val="Heading2"/>
      </w:pPr>
      <w:r>
        <w:t xml:space="preserve">Contributing</w:t>
      </w:r>
    </w:p>
    <w:p>
      <w:pPr>
        <w:pStyle w:val="FirstParagraph"/>
      </w:pPr>
      <w:r>
        <w:t xml:space="preserve">If you’d like to contribute to</w:t>
      </w:r>
      <w:r>
        <w:t xml:space="preserve"> </w:t>
      </w:r>
      <w:r>
        <w:rPr>
          <w:rStyle w:val="VerbatimChar"/>
        </w:rPr>
        <w:t xml:space="preserve">spectHR</w:t>
      </w:r>
      <w:r>
        <w:t xml:space="preserve">, feel free to fork the repository and submit pull requests. Please ensure that your code follows the existing style and includes appropriate tests.</w:t>
      </w:r>
    </w:p>
    <w:bookmarkEnd w:id="76"/>
    <w:bookmarkStart w:id="77" w:name="license"/>
    <w:p>
      <w:pPr>
        <w:pStyle w:val="Heading2"/>
      </w:pPr>
      <w:r>
        <w:t xml:space="preserve">License</w:t>
      </w:r>
    </w:p>
    <w:p>
      <w:pPr>
        <w:pStyle w:val="FirstParagraph"/>
      </w:pPr>
      <w:r>
        <w:rPr>
          <w:rStyle w:val="VerbatimChar"/>
        </w:rPr>
        <w:t xml:space="preserve">spectHR</w:t>
      </w:r>
      <w:r>
        <w:t xml:space="preserve"> </w:t>
      </w:r>
      <w:r>
        <w:t xml:space="preserve">is released under the GNU License. See the LICENSE file for more details.</w:t>
      </w:r>
    </w:p>
    <w:bookmarkEnd w:id="77"/>
    <w:bookmarkEnd w:id="7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svg" /><Relationship Type="http://schemas.openxmlformats.org/officeDocument/2006/relationships/image" Id="rId38" Target="media/rId38.png" /><Relationship Type="http://schemas.openxmlformats.org/officeDocument/2006/relationships/image" Id="rId44" Target="media/rId44.png" /><Relationship Type="http://schemas.openxmlformats.org/officeDocument/2006/relationships/image" Id="rId35" Target="media/rId35.png" /><Relationship Type="http://schemas.openxmlformats.org/officeDocument/2006/relationships/image" Id="rId32" Target="media/rId32.png" /><Relationship Type="http://schemas.openxmlformats.org/officeDocument/2006/relationships/image" Id="rId41" Target="media/rId41.png" /><Relationship Type="http://schemas.openxmlformats.org/officeDocument/2006/relationships/hyperlink" Id="rId23" Target="https://binderhub.app.rug.nl/v2/gh/ArjanOnGithup/Experimental-Skills/HEAD" TargetMode="External" /><Relationship Type="http://schemas.openxmlformats.org/officeDocument/2006/relationships/hyperlink" Id="rId50" Target="https://github.com/markspan/PolarBand2lsl" TargetMode="External" /><Relationship Type="http://schemas.openxmlformats.org/officeDocument/2006/relationships/hyperlink" Id="rId49" Target="https://github.com/sccn/labstreaminglayer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binderhub.app.rug.nl/v2/gh/ArjanOnGithup/Experimental-Skills/HEAD" TargetMode="External" /><Relationship Type="http://schemas.openxmlformats.org/officeDocument/2006/relationships/hyperlink" Id="rId50" Target="https://github.com/markspan/PolarBand2lsl" TargetMode="External" /><Relationship Type="http://schemas.openxmlformats.org/officeDocument/2006/relationships/hyperlink" Id="rId49" Target="https://github.com/sccn/labstreaminglaye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2025-02-07T08:36:47Z</dcterms:created>
  <dcterms:modified xsi:type="dcterms:W3CDTF">2025-02-07T08:36:47Z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