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0"/>
        <w:jc w:val="left"/>
        <w:rPr/>
      </w:pPr>
      <w:r>
        <w:rPr/>
        <w:t>The CFO Lens</w:t>
      </w:r>
    </w:p>
    <w:p>
      <w:pPr>
        <w:pStyle w:val="BodyText"/>
        <w:bidi w:val="0"/>
        <w:jc w:val="left"/>
        <w:rPr/>
      </w:pPr>
      <w:r>
        <w:rPr>
          <w:rStyle w:val="Emphasis"/>
        </w:rPr>
        <w:t>An audience-specific reading of the OIA Reference Model for chief financial officers and the finance organisations they lead.</w:t>
      </w:r>
    </w:p>
    <w:p>
      <w:pPr>
        <w:pStyle w:val="BodyText"/>
        <w:bidi w:val="0"/>
        <w:jc w:val="left"/>
        <w:rPr/>
      </w:pPr>
      <w:r>
        <w:rPr>
          <w:rStyle w:val="Strong"/>
        </w:rPr>
        <w:t>By Mark Templeton · Part of the OIA Lens System · Draft v0.1 · 2026 · Published by the Agentics Foundation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Anticipated lens — draft for author review.</w:t>
      </w:r>
      <w:r>
        <w:rPr/>
        <w:t xml:space="preserve"> The Lens System v0.3 names the CFO Lens as a future lens</w:t>
        <w:br/>
        <w:t>to be published “as practitioner engagement and demand support.” This draft is authored to the Lens System</w:t>
        <w:br/>
        <w:t>methodology (5–7 interpretive lenses across 2–3 orthogonal axes) ahead of formal publication; it should be</w:t>
        <w:br/>
        <w:t>reviewed and pressure-tested before it is treated as canonical.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What this document is</w:t>
      </w:r>
    </w:p>
    <w:p>
      <w:pPr>
        <w:pStyle w:val="BodyText"/>
        <w:bidi w:val="0"/>
        <w:jc w:val="left"/>
        <w:rPr/>
      </w:pPr>
      <w:r>
        <w:rPr/>
        <w:t>The OIA Reference Model describes the structural shape of enterprise intelligent systems — ten layers, seven</w:t>
        <w:br/>
        <w:t>cross-layer spans, three defining properties, four named threat surfaces — written to be vendor-neutral and</w:t>
        <w:br/>
        <w:t>audience-neutral. Most chief financial officers do not work from structural specifications; they work from</w:t>
        <w:br/>
        <w:t>capital-allocation frameworks, unit economics, and the categories their finance organisation reports against.</w:t>
        <w:br/>
        <w:t>Without translation, the OIA never reaches the capital conversation it should inform.</w:t>
      </w:r>
    </w:p>
    <w:p>
      <w:pPr>
        <w:pStyle w:val="BodyText"/>
        <w:bidi w:val="0"/>
        <w:jc w:val="left"/>
        <w:rPr/>
      </w:pPr>
      <w:r>
        <w:rPr/>
        <w:t>This is the translation. The CFO Lens reads the same OIA architecture through the questions a finance leader</w:t>
        <w:br/>
        <w:t>is actually asking about the most capital-intensive enterprise technology investment of the decade. The</w:t>
        <w:br/>
        <w:t>architecture is invariant. The lens changes the language.</w:t>
      </w:r>
    </w:p>
    <w:p>
      <w:pPr>
        <w:pStyle w:val="Heading2"/>
        <w:bidi w:val="0"/>
        <w:jc w:val="left"/>
        <w:rPr/>
      </w:pPr>
      <w:r>
        <w:rPr/>
        <w:t>2. What is in the CFO planning conversation in 2026</w:t>
      </w:r>
    </w:p>
    <w:p>
      <w:pPr>
        <w:pStyle w:val="BodyText"/>
        <w:bidi w:val="0"/>
        <w:jc w:val="left"/>
        <w:rPr/>
      </w:pPr>
      <w:r>
        <w:rPr/>
        <w:t>Seven observations frame what the finance audience is engaging with today.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AI is the most capital-intensive technology investment in a decade,</w:t>
      </w:r>
      <w:r>
        <w:rPr/>
        <w:t xml:space="preserve"> and the commitment is being made</w:t>
        <w:br/>
        <w:t xml:space="preserve">faster than the finance categories can absorb.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CapEx-versus-OpEx no longer sorts cleanly.</w:t>
      </w:r>
      <w:r>
        <w:rPr/>
        <w:t xml:space="preserve"> Training is amortisable; inference is consumption-based;</w:t>
        <w:br/>
        <w:t xml:space="preserve">fine-tuning sits between — and the mix determines the P&amp;L shape.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Supplier concentration is a financial risk, not just an architectural one.</w:t>
      </w:r>
      <w:r>
        <w:rPr/>
        <w:t xml:space="preserve"> GPU and model-provider</w:t>
        <w:br/>
        <w:t xml:space="preserve">concentration creates pricing power the enterprise does not control.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The unit economics of an agent are not yet a settled number.</w:t>
      </w:r>
      <w:r>
        <w:rPr/>
        <w:t xml:space="preserve"> Token costs, GPU-hours, and orchestration</w:t>
        <w:br/>
        <w:t xml:space="preserve">overhead must resolve into a cost-per-outcome the business can price against.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Working-capital and commitment structures are being locked in early.</w:t>
      </w:r>
      <w:r>
        <w:rPr/>
        <w:t xml:space="preserve"> Reserved capacity, prepaid</w:t>
        <w:br/>
        <w:t xml:space="preserve">credits, and multi-year commitments trade flexibility for price before demand is known.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Spend is fragmenting across business units</w:t>
      </w:r>
      <w:r>
        <w:rPr/>
        <w:t xml:space="preserve"> that each bought AI before finance had a governance model.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The board is asking finance to fund an AI strategy it can defend</w:t>
      </w:r>
      <w:r>
        <w:rPr/>
        <w:t xml:space="preserve"> — against a structural map, not a</w:t>
        <w:br/>
        <w:t xml:space="preserve">vendor list. </w:t>
      </w:r>
    </w:p>
    <w:p>
      <w:pPr>
        <w:pStyle w:val="Heading2"/>
        <w:bidi w:val="0"/>
        <w:jc w:val="left"/>
        <w:rPr/>
      </w:pPr>
      <w:r>
        <w:rPr/>
        <w:t>3. The six interpretive lenses on three axes</w:t>
      </w:r>
    </w:p>
    <w:p>
      <w:pPr>
        <w:pStyle w:val="Heading3"/>
        <w:bidi w:val="0"/>
        <w:jc w:val="left"/>
        <w:rPr/>
      </w:pPr>
      <w:r>
        <w:rPr/>
        <w:t>Capital axis · How AI is funded</w:t>
      </w:r>
    </w:p>
    <w:p>
      <w:pPr>
        <w:pStyle w:val="BodyText"/>
        <w:bidi w:val="0"/>
        <w:jc w:val="left"/>
        <w:rPr/>
      </w:pPr>
      <w:r>
        <w:rPr>
          <w:rStyle w:val="Strong"/>
        </w:rPr>
        <w:t>AI as CapEx.</w:t>
      </w:r>
      <w:r>
        <w:rPr/>
        <w:t xml:space="preserve"> </w:t>
      </w:r>
      <w:r>
        <w:rPr>
          <w:rStyle w:val="Emphasis"/>
        </w:rPr>
        <w:t>Know what is amortisable and what is not.</w:t>
      </w:r>
      <w:r>
        <w:rPr/>
        <w:t xml:space="preserve"> Training and owned infrastructure behave like</w:t>
        <w:br/>
        <w:t>capital assets; the treatment shapes the P&amp;L. Anchor: capital-budgeting practice.</w:t>
      </w:r>
    </w:p>
    <w:p>
      <w:pPr>
        <w:pStyle w:val="BodyText"/>
        <w:bidi w:val="0"/>
        <w:jc w:val="left"/>
        <w:rPr/>
      </w:pPr>
      <w:r>
        <w:rPr>
          <w:rStyle w:val="Strong"/>
        </w:rPr>
        <w:t>AI as OpEx.</w:t>
      </w:r>
      <w:r>
        <w:rPr/>
        <w:t xml:space="preserve"> </w:t>
      </w:r>
      <w:r>
        <w:rPr>
          <w:rStyle w:val="Emphasis"/>
        </w:rPr>
        <w:t>Govern consumption before it governs you.</w:t>
      </w:r>
      <w:r>
        <w:rPr/>
        <w:t xml:space="preserve"> Token and inference spend is consumption-based</w:t>
        <w:br/>
        <w:t xml:space="preserve">and must be metered, forecast, and controlled. Anchor: </w:t>
      </w:r>
      <w:r>
        <w:rPr>
          <w:rStyle w:val="Strong"/>
        </w:rPr>
        <w:t>FinOps Foundation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Exposure axis · Where financial risk concentrates</w:t>
      </w:r>
    </w:p>
    <w:p>
      <w:pPr>
        <w:pStyle w:val="BodyText"/>
        <w:bidi w:val="0"/>
        <w:jc w:val="left"/>
        <w:rPr/>
      </w:pPr>
      <w:r>
        <w:rPr>
          <w:rStyle w:val="Strong"/>
        </w:rPr>
        <w:t>AI as Concentration Risk.</w:t>
      </w:r>
      <w:r>
        <w:rPr/>
        <w:t xml:space="preserve"> </w:t>
      </w:r>
      <w:r>
        <w:rPr>
          <w:rStyle w:val="Emphasis"/>
        </w:rPr>
        <w:t>Price the exposure to GPU and model-provider concentration.</w:t>
      </w:r>
      <w:r>
        <w:rPr/>
        <w:t xml:space="preserve"> Supplier pricing</w:t>
        <w:br/>
        <w:t>power is a working-capital and margin risk established at Layers 0–2. Anchor: enterprise risk management.</w:t>
      </w:r>
    </w:p>
    <w:p>
      <w:pPr>
        <w:pStyle w:val="BodyText"/>
        <w:bidi w:val="0"/>
        <w:jc w:val="left"/>
        <w:rPr/>
      </w:pPr>
      <w:r>
        <w:rPr>
          <w:rStyle w:val="Strong"/>
        </w:rPr>
        <w:t>AI as Commitment.</w:t>
      </w:r>
      <w:r>
        <w:rPr/>
        <w:t xml:space="preserve"> </w:t>
      </w:r>
      <w:r>
        <w:rPr>
          <w:rStyle w:val="Emphasis"/>
        </w:rPr>
        <w:t>Trade flexibility for price deliberately.</w:t>
      </w:r>
      <w:r>
        <w:rPr/>
        <w:t xml:space="preserve"> Reserved capacity and multi-year deals are</w:t>
        <w:br/>
        <w:t>financial instruments with optionality value. Anchor: procurement / treasury practice.</w:t>
      </w:r>
    </w:p>
    <w:p>
      <w:pPr>
        <w:pStyle w:val="Heading3"/>
        <w:bidi w:val="0"/>
        <w:jc w:val="left"/>
        <w:rPr/>
      </w:pPr>
      <w:r>
        <w:rPr/>
        <w:t>Value axis · What AI returns</w:t>
      </w:r>
    </w:p>
    <w:p>
      <w:pPr>
        <w:pStyle w:val="BodyText"/>
        <w:bidi w:val="0"/>
        <w:jc w:val="left"/>
        <w:rPr/>
      </w:pPr>
      <w:r>
        <w:rPr>
          <w:rStyle w:val="Strong"/>
        </w:rPr>
        <w:t>AI as Unit Economics.</w:t>
      </w:r>
      <w:r>
        <w:rPr/>
        <w:t xml:space="preserve"> </w:t>
      </w:r>
      <w:r>
        <w:rPr>
          <w:rStyle w:val="Emphasis"/>
        </w:rPr>
        <w:t>Resolve the cost-per-outcome of an agent.</w:t>
      </w:r>
      <w:r>
        <w:rPr/>
        <w:t xml:space="preserve"> Cost per task, per agent, per decision</w:t>
        <w:br/>
        <w:t>— against a structural map, not a blended average. Anchor: unit-economics / activity-based costing.</w:t>
      </w:r>
    </w:p>
    <w:p>
      <w:pPr>
        <w:pStyle w:val="BodyText"/>
        <w:bidi w:val="0"/>
        <w:jc w:val="left"/>
        <w:rPr/>
      </w:pPr>
      <w:r>
        <w:rPr>
          <w:rStyle w:val="Strong"/>
        </w:rPr>
        <w:t>AI as Portfolio.</w:t>
      </w:r>
      <w:r>
        <w:rPr/>
        <w:t xml:space="preserve"> </w:t>
      </w:r>
      <w:r>
        <w:rPr>
          <w:rStyle w:val="Emphasis"/>
        </w:rPr>
        <w:t>Allocate across the stack, not across vendors.</w:t>
      </w:r>
      <w:r>
        <w:rPr/>
        <w:t xml:space="preserve"> Capital allocated by OIA layer and</w:t>
        <w:br/>
        <w:t>span, distinguishing partner-territory from own-stack investment. Anchor: capital-allocation frameworks.</w:t>
      </w:r>
    </w:p>
    <w:p>
      <w:pPr>
        <w:pStyle w:val="Heading2"/>
        <w:bidi w:val="0"/>
        <w:jc w:val="left"/>
        <w:rPr/>
      </w:pPr>
      <w:r>
        <w:rPr/>
        <w:t>4. The four threat surfaces as financial exposures</w:t>
      </w:r>
    </w:p>
    <w:p>
      <w:pPr>
        <w:pStyle w:val="BodyText"/>
        <w:bidi w:val="0"/>
        <w:jc w:val="left"/>
        <w:rPr/>
      </w:pPr>
      <w:r>
        <w:rPr/>
        <w:t>The four named threat surfaces translate, for finance, into loss events, insurable exposures, and</w:t>
        <w:br/>
        <w:t>contingency-reserve questions.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Mimicry</w:t>
      </w:r>
      <w:r>
        <w:rPr/>
        <w:t xml:space="preserve"> (Layer 9) — deepfake-authorised transactions are a direct fraud-loss exposure.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Agent-in-the-middle</w:t>
      </w:r>
      <w:r>
        <w:rPr/>
        <w:t xml:space="preserve"> (Layer 7) — an ungoverned orchestration boundary is an un-auditable financial</w:t>
        <w:br/>
        <w:t xml:space="preserve">control gap.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Agent spoofing</w:t>
      </w:r>
      <w:r>
        <w:rPr/>
        <w:t xml:space="preserve"> (Identity span) — inherited agent authority is an unbounded-liability exposure.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Model compromise</w:t>
      </w:r>
      <w:r>
        <w:rPr/>
        <w:t xml:space="preserve"> (Layer 5) — dependency on an externally mutable model is a continuity and</w:t>
        <w:br/>
        <w:t xml:space="preserve">impairment risk to capitalised AI assets. </w:t>
      </w:r>
    </w:p>
    <w:p>
      <w:pPr>
        <w:pStyle w:val="Heading2"/>
        <w:bidi w:val="0"/>
        <w:jc w:val="left"/>
        <w:rPr/>
      </w:pPr>
      <w:r>
        <w:rPr/>
        <w:t>5. The ten layers through the CFO Lens</w:t>
      </w:r>
    </w:p>
    <w:p>
      <w:pPr>
        <w:pStyle w:val="BodyText"/>
        <w:bidi w:val="0"/>
        <w:jc w:val="left"/>
        <w:rPr/>
      </w:pPr>
      <w:r>
        <w:rPr/>
        <w:t xml:space="preserve">Read as a capital-allocation map: </w:t>
      </w:r>
      <w:r>
        <w:rPr>
          <w:rStyle w:val="Strong"/>
        </w:rPr>
        <w:t>partner territory</w:t>
      </w:r>
      <w:r>
        <w:rPr/>
        <w:t xml:space="preserve"> (rent/consume) versus the </w:t>
      </w:r>
      <w:r>
        <w:rPr>
          <w:rStyle w:val="Strong"/>
        </w:rPr>
        <w:t>enterprise’s own stack</w:t>
      </w:r>
      <w:r>
        <w:rPr/>
        <w:br/>
        <w:t>(build/capitalise).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Layer 0 · Physical Compute</w:t>
      </w:r>
      <w:r>
        <w:rPr/>
        <w:t xml:space="preserve"> — </w:t>
      </w:r>
      <w:r>
        <w:rPr>
          <w:rStyle w:val="Emphasis"/>
        </w:rPr>
        <w:t>Partner.</w:t>
      </w:r>
      <w:r>
        <w:rPr/>
        <w:t xml:space="preserve"> “What is our exposure to energy and supply-chain cost, and is it capital or consumption?”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Layer 1 · Silicon Abstraction</w:t>
      </w:r>
      <w:r>
        <w:rPr/>
        <w:t xml:space="preserve"> — </w:t>
      </w:r>
      <w:r>
        <w:rPr>
          <w:rStyle w:val="Emphasis"/>
        </w:rPr>
        <w:t>Partner.</w:t>
      </w:r>
      <w:r>
        <w:rPr/>
        <w:t xml:space="preserve"> “What is our GPU-concentration exposure, and are we portable enough to keep pricing power?”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Layer 2 · Sovereign Infrastructure</w:t>
      </w:r>
      <w:r>
        <w:rPr/>
        <w:t xml:space="preserve"> — </w:t>
      </w:r>
      <w:r>
        <w:rPr>
          <w:rStyle w:val="Emphasis"/>
        </w:rPr>
        <w:t>Partner.</w:t>
      </w:r>
      <w:r>
        <w:rPr/>
        <w:t xml:space="preserve"> “What does sovereignty cost as a premium, and where must we pay it?”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Layer 3 · Agent Data Substrate</w:t>
      </w:r>
      <w:r>
        <w:rPr/>
        <w:t xml:space="preserve"> — </w:t>
      </w:r>
      <w:r>
        <w:rPr>
          <w:rStyle w:val="Emphasis"/>
        </w:rPr>
        <w:t>Own stack.</w:t>
      </w:r>
      <w:r>
        <w:rPr/>
        <w:t xml:space="preserve"> “What are we capitalising in our data substrate, and what is its ongoing cost to govern?”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Layer 4 · Model Training and Adaptation</w:t>
      </w:r>
      <w:r>
        <w:rPr/>
        <w:t xml:space="preserve"> — </w:t>
      </w:r>
      <w:r>
        <w:rPr>
          <w:rStyle w:val="Emphasis"/>
        </w:rPr>
        <w:t>Partner-leaning.</w:t>
      </w:r>
      <w:r>
        <w:rPr/>
        <w:t xml:space="preserve"> “Build, fine-tune, or rent — and what is amortisable in each?”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Layer 5 · Inference and Retrieval</w:t>
      </w:r>
      <w:r>
        <w:rPr/>
        <w:t xml:space="preserve"> — </w:t>
      </w:r>
      <w:r>
        <w:rPr>
          <w:rStyle w:val="Emphasis"/>
        </w:rPr>
        <w:t>Shared.</w:t>
      </w:r>
      <w:r>
        <w:rPr/>
        <w:t xml:space="preserve"> “What is our inference run-rate, and is it forecastable per outcome?”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Layer 6 · Context and Knowledge</w:t>
      </w:r>
      <w:r>
        <w:rPr/>
        <w:t xml:space="preserve"> — </w:t>
      </w:r>
      <w:r>
        <w:rPr>
          <w:rStyle w:val="Emphasis"/>
        </w:rPr>
        <w:t>Own stack.</w:t>
      </w:r>
      <w:r>
        <w:rPr/>
        <w:t xml:space="preserve"> “What does our retrieval/context capability cost to build and maintain?”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Layer 7 · Orchestration and Workflow</w:t>
      </w:r>
      <w:r>
        <w:rPr/>
        <w:t xml:space="preserve"> — </w:t>
      </w:r>
      <w:r>
        <w:rPr>
          <w:rStyle w:val="Emphasis"/>
        </w:rPr>
        <w:t>Own stack.</w:t>
      </w:r>
      <w:r>
        <w:rPr/>
        <w:t xml:space="preserve"> “What is the fully-loaded cost of an agent, including orchestration overhead?”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Layer 8 · Continuity Fabric</w:t>
      </w:r>
      <w:r>
        <w:rPr/>
        <w:t xml:space="preserve"> — </w:t>
      </w:r>
      <w:r>
        <w:rPr>
          <w:rStyle w:val="Emphasis"/>
        </w:rPr>
        <w:t>Own stack.</w:t>
      </w:r>
      <w:r>
        <w:rPr/>
        <w:t xml:space="preserve"> “What is the cost of NOT owning continuity — the impairment and recovery exposure?”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Layer 9 · Human and Browser Interface</w:t>
      </w:r>
      <w:r>
        <w:rPr/>
        <w:t xml:space="preserve"> — </w:t>
      </w:r>
      <w:r>
        <w:rPr>
          <w:rStyle w:val="Emphasis"/>
        </w:rPr>
        <w:t>Own stack.</w:t>
      </w:r>
      <w:r>
        <w:rPr/>
        <w:t xml:space="preserve"> “What is our fraud-loss exposure at the human/agent boundary?” </w:t>
      </w:r>
    </w:p>
    <w:p>
      <w:pPr>
        <w:pStyle w:val="Heading2"/>
        <w:bidi w:val="0"/>
        <w:jc w:val="left"/>
        <w:rPr/>
      </w:pPr>
      <w:r>
        <w:rPr/>
        <w:t>6. Adopting the lens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As a capital-allocation lens</w:t>
      </w:r>
      <w:r>
        <w:rPr/>
        <w:t xml:space="preserve"> — the layers and the partner/own-stack split give finance a structural map</w:t>
        <w:br/>
        <w:t xml:space="preserve">for AI capital, replacing vendor-list budgeting.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As a board and audit surface</w:t>
      </w:r>
      <w:r>
        <w:rPr/>
        <w:t xml:space="preserve"> — a defensible way to articulate AI spend, exposure, and unit economics.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As a vendor-negotiation vocabulary</w:t>
      </w:r>
      <w:r>
        <w:rPr/>
        <w:t xml:space="preserve"> — locating supplier pricing power at specific layers and spans. </w:t>
      </w:r>
    </w:p>
    <w:p>
      <w:pPr>
        <w:pStyle w:val="BodyText"/>
        <w:bidi w:val="0"/>
        <w:jc w:val="left"/>
        <w:rPr/>
      </w:pPr>
      <w:r>
        <w:rPr/>
        <w:t>The Foundation invites the finance community to engage with the lens, push back on what does not fit, and</w:t>
        <w:br/>
        <w:t>contribute to its refinement.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spacing w:before="0" w:after="160"/>
        <w:jc w:val="left"/>
        <w:rPr/>
      </w:pPr>
      <w:r>
        <w:rPr>
          <w:rStyle w:val="Emphasis"/>
        </w:rPr>
        <w:t>AGENTICS FOUNDATION · OIA LENS SYSTEM · THE CFO LENS · DRAFT v0.1 · 2026</w:t>
      </w:r>
    </w:p>
    <w:sectPr>
      <w:type w:val="nextPage"/>
      <w:pgSz w:w="11906" w:h="16838"/>
      <w:pgMar w:left="1361" w:right="1361" w:gutter="0" w:header="0" w:top="1247" w:footer="0" w:bottom="1247"/>
      <w:pgNumType w:fmt="decimal"/>
      <w:formProt w:val="false"/>
      <w:textDirection w:val="lrTb"/>
      <w:docGrid w:type="default" w:linePitch="600" w:charSpace="3481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0"/>
    </w:pPr>
    <w:rPr>
      <w:rFonts w:ascii="Liberation Serif;Georgia;serif" w:hAnsi="Liberation Serif;Georgia;serif" w:eastAsia="Liberation Serif;Georgia;serif" w:cs="Liberation Serif;Georgia;serif"/>
      <w:color w:val="1A1A1A"/>
      <w:sz w:val="23"/>
      <w:szCs w:val="23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40"/>
    </w:pPr>
    <w:rPr>
      <w:rFonts w:ascii="Liberation Sans;Helvetica;sans-serif" w:hAnsi="Liberation Sans;Helvetica;sans-serif" w:eastAsia="Liberation Sans;Helvetica;sans-serif" w:cs="Liberation Sans;Helvetica;sans-serif"/>
      <w:b/>
      <w:bCs/>
      <w:color w:val="14213D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C9CED6"/>
      </w:pBdr>
      <w:spacing w:before="400" w:after="120"/>
      <w:ind w:left="400" w:right="400"/>
      <w:outlineLvl w:val="1"/>
    </w:pPr>
    <w:rPr>
      <w:rFonts w:ascii="Liberation Sans;Helvetica;sans-serif" w:hAnsi="Liberation Sans;Helvetica;sans-serif" w:eastAsia="Liberation Sans;Helvetica;sans-serif" w:cs="Liberation Sans;Helvetica;sans-serif"/>
      <w:b/>
      <w:bCs/>
      <w:color w:val="14213D"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80" w:after="80"/>
      <w:ind w:left="280" w:right="280"/>
      <w:outlineLvl w:val="2"/>
    </w:pPr>
    <w:rPr>
      <w:rFonts w:ascii="Liberation Sans;Helvetica;sans-serif" w:hAnsi="Liberation Sans;Helvetica;sans-serif" w:eastAsia="Liberation Sans;Helvetica;sans-serif" w:cs="Liberation Sans;Helvetica;sans-serif"/>
      <w:b/>
      <w:bCs/>
      <w:color w:val="33415C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strike w:val="false"/>
      <w:dstrike w:val="false"/>
      <w:color w:val="14213D"/>
      <w:u w:val="none"/>
      <w:effect w:val="none"/>
    </w:rPr>
  </w:style>
  <w:style w:type="character" w:styleId="Strong">
    <w:name w:val="Strong"/>
    <w:qFormat/>
    <w:rPr>
      <w:b/>
      <w:bCs/>
      <w:color w:val="14213D"/>
    </w:rPr>
  </w:style>
  <w:style w:type="character" w:styleId="Emphasis">
    <w:name w:val="Emphasis"/>
    <w:qFormat/>
    <w:rPr>
      <w:i/>
      <w:iCs/>
      <w:color w:val="33415C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20"/>
      <w:szCs w:val="20"/>
      <w:shd w:fill="EEF1F5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strike w:val="false"/>
      <w:dstrike w:val="false"/>
      <w:color w:val="14213D"/>
      <w:u w:val="none"/>
      <w:effect w:val="non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16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pBdr>
        <w:left w:val="single" w:sz="18" w:space="12" w:color="14213D"/>
      </w:pBdr>
      <w:shd w:fill="F4F6F9" w:val="clear"/>
      <w:spacing w:before="200" w:after="200"/>
      <w:ind w:hanging="0" w:left="200" w:right="200"/>
    </w:pPr>
    <w:rPr>
      <w:color w:val="33415C"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