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jc w:val="left"/>
        <w:rPr/>
      </w:pPr>
      <w:r>
        <w:rPr/>
        <w:t>The CHRO Lens</w:t>
      </w:r>
    </w:p>
    <w:p>
      <w:pPr>
        <w:pStyle w:val="BodyText"/>
        <w:bidi w:val="0"/>
        <w:jc w:val="left"/>
        <w:rPr/>
      </w:pPr>
      <w:r>
        <w:rPr>
          <w:rStyle w:val="Emphasis"/>
        </w:rPr>
        <w:t>An audience-specific reading of the OIA Reference Model for chief human resources officers and the people organisations they lead.</w:t>
      </w:r>
    </w:p>
    <w:p>
      <w:pPr>
        <w:pStyle w:val="BodyText"/>
        <w:bidi w:val="0"/>
        <w:jc w:val="left"/>
        <w:rPr/>
      </w:pPr>
      <w:r>
        <w:rPr>
          <w:rStyle w:val="Strong"/>
        </w:rPr>
        <w:t>By Mark Templeton · Part of the OIA Lens System · Draft v0.1 · 2026 · Published by the Agentics Foundation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Anticipated lens — draft for author review.</w:t>
      </w:r>
      <w:r>
        <w:rPr/>
        <w:t xml:space="preserve"> The Lens System v0.3 names the CHRO Lens as a future lens</w:t>
        <w:br/>
        <w:t>to be published “as practitioner engagement and demand support,” and observes that workforce transformation</w:t>
        <w:br/>
        <w:t>is the half of the AI conversation least well served by existing frameworks, because those frameworks were</w:t>
        <w:br/>
        <w:t>built for human workforces only. This draft is authored to the Lens System methodology (5–7 interpretive</w:t>
        <w:br/>
        <w:t>lenses across 2–3 orthogonal axes) ahead of formal publication; it should be reviewed before it is treated</w:t>
        <w:br/>
        <w:t>as canonical.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What this document is</w:t>
      </w:r>
    </w:p>
    <w:p>
      <w:pPr>
        <w:pStyle w:val="BodyText"/>
        <w:bidi w:val="0"/>
        <w:jc w:val="left"/>
        <w:rPr/>
      </w:pPr>
      <w:r>
        <w:rPr/>
        <w:t>The OIA Reference Model describes the structural shape of enterprise intelligent systems — ten layers, seven</w:t>
        <w:br/>
        <w:t>cross-layer spans, three defining properties, four named threat surfaces — vendor-neutral and</w:t>
        <w:br/>
        <w:t>audience-neutral. People leaders do not work from structural specifications; they work from workforce</w:t>
        <w:br/>
        <w:t>strategy, role design, and governance built for humans. Yet agents now act inside the enterprise as a</w:t>
        <w:br/>
        <w:t>non-human workforce — and the existing HR frameworks do not see them. Without translation, the OIA never</w:t>
        <w:br/>
        <w:t>reaches the workforce conversation it should inform.</w:t>
      </w:r>
    </w:p>
    <w:p>
      <w:pPr>
        <w:pStyle w:val="BodyText"/>
        <w:bidi w:val="0"/>
        <w:jc w:val="left"/>
        <w:rPr/>
      </w:pPr>
      <w:r>
        <w:rPr/>
        <w:t>This is the translation. The CHRO Lens reads the same OIA architecture through the questions a people leader</w:t>
        <w:br/>
        <w:t>is actually asking about a workforce that is now part human, part agent. The architecture is invariant; the</w:t>
        <w:br/>
        <w:t>lens changes the language. Layer 7, Layer 9, and the Identity span together describe the architectural</w:t>
        <w:br/>
        <w:t>surface at which workforce policy for agents is implemented.</w:t>
      </w:r>
    </w:p>
    <w:p>
      <w:pPr>
        <w:pStyle w:val="Heading2"/>
        <w:bidi w:val="0"/>
        <w:jc w:val="left"/>
        <w:rPr/>
      </w:pPr>
      <w:r>
        <w:rPr/>
        <w:t>2. What is in the CHRO planning conversation in 2026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Augmentation versus displacement</w:t>
      </w:r>
      <w:r>
        <w:rPr/>
        <w:t xml:space="preserve"> is the defining workforce question, and it is being decided team by team.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Agents are a non-human workforce</w:t>
      </w:r>
      <w:r>
        <w:rPr/>
        <w:t xml:space="preserve"> operating alongside employees, largely ungoverned by people policy.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The employee lifecycle does not yet extend to agents</w:t>
      </w:r>
      <w:r>
        <w:rPr/>
        <w:t xml:space="preserve"> — there is no standard onboarding, scoping,</w:t>
        <w:br/>
        <w:t xml:space="preserve">baselining, or offboarding for them.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Performance management in mixed teams</w:t>
      </w:r>
      <w:r>
        <w:rPr/>
        <w:t xml:space="preserve"> (humans + agents) has no established practice.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Reskilling at scale</w:t>
      </w:r>
      <w:r>
        <w:rPr/>
        <w:t xml:space="preserve"> must keep pace with capability that changes monthly.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Segregation of duties and least privilege</w:t>
      </w:r>
      <w:r>
        <w:rPr/>
        <w:t xml:space="preserve"> — human governance concepts — now apply to agents too.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The “three actors” reality</w:t>
      </w:r>
      <w:r>
        <w:rPr/>
        <w:t xml:space="preserve"> (humans, agents, foundation models) reframes “workforce” itself. </w:t>
      </w:r>
    </w:p>
    <w:p>
      <w:pPr>
        <w:pStyle w:val="Heading2"/>
        <w:bidi w:val="0"/>
        <w:jc w:val="left"/>
        <w:rPr/>
      </w:pPr>
      <w:r>
        <w:rPr/>
        <w:t>3. The six interpretive lenses on three axes</w:t>
      </w:r>
    </w:p>
    <w:p>
      <w:pPr>
        <w:pStyle w:val="Heading3"/>
        <w:bidi w:val="0"/>
        <w:jc w:val="left"/>
        <w:rPr/>
      </w:pPr>
      <w:r>
        <w:rPr/>
        <w:t>Workforce axis · What AI is to people</w:t>
      </w:r>
    </w:p>
    <w:p>
      <w:pPr>
        <w:pStyle w:val="BodyText"/>
        <w:bidi w:val="0"/>
        <w:jc w:val="left"/>
        <w:rPr/>
      </w:pPr>
      <w:r>
        <w:rPr>
          <w:rStyle w:val="Strong"/>
        </w:rPr>
        <w:t>AI as Augmentation.</w:t>
      </w:r>
      <w:r>
        <w:rPr/>
        <w:t xml:space="preserve"> </w:t>
      </w:r>
      <w:r>
        <w:rPr>
          <w:rStyle w:val="Emphasis"/>
        </w:rPr>
        <w:t>Design roles where agents extend people, not replace judgement.</w:t>
      </w:r>
      <w:r>
        <w:rPr/>
        <w:t xml:space="preserve"> Anchor:</w:t>
        <w:br/>
        <w:t>job-architecture / capability frameworks.</w:t>
      </w:r>
    </w:p>
    <w:p>
      <w:pPr>
        <w:pStyle w:val="BodyText"/>
        <w:bidi w:val="0"/>
        <w:jc w:val="left"/>
        <w:rPr/>
      </w:pPr>
      <w:r>
        <w:rPr>
          <w:rStyle w:val="Strong"/>
        </w:rPr>
        <w:t>AI as Non-Human Workforce.</w:t>
      </w:r>
      <w:r>
        <w:rPr/>
        <w:t xml:space="preserve"> </w:t>
      </w:r>
      <w:r>
        <w:rPr>
          <w:rStyle w:val="Emphasis"/>
        </w:rPr>
        <w:t>Govern agents with the discipline applied to employees.</w:t>
      </w:r>
      <w:r>
        <w:rPr/>
        <w:t xml:space="preserve"> Onboarding, scoping,</w:t>
        <w:br/>
        <w:t>behavioural baselining, offboarding — the agent lifecycle. Anchor: workforce-governance practice.</w:t>
      </w:r>
    </w:p>
    <w:p>
      <w:pPr>
        <w:pStyle w:val="Heading3"/>
        <w:bidi w:val="0"/>
        <w:jc w:val="left"/>
        <w:rPr/>
      </w:pPr>
      <w:r>
        <w:rPr/>
        <w:t>Governance axis · How the mixed workforce is run</w:t>
      </w:r>
    </w:p>
    <w:p>
      <w:pPr>
        <w:pStyle w:val="BodyText"/>
        <w:bidi w:val="0"/>
        <w:jc w:val="left"/>
        <w:rPr/>
      </w:pPr>
      <w:r>
        <w:rPr>
          <w:rStyle w:val="Strong"/>
        </w:rPr>
        <w:t>AI as Managed Headcount.</w:t>
      </w:r>
      <w:r>
        <w:rPr/>
        <w:t xml:space="preserve"> </w:t>
      </w:r>
      <w:r>
        <w:rPr>
          <w:rStyle w:val="Emphasis"/>
        </w:rPr>
        <w:t>Bring agents into role design, access, and segregation of duties.</w:t>
      </w:r>
      <w:r>
        <w:rPr/>
        <w:t xml:space="preserve"> Every agent</w:t>
        <w:br/>
        <w:t>is, in effect, an employee with elevated privileges. Anchor: HR governance + NIST CSF (Govern).</w:t>
      </w:r>
    </w:p>
    <w:p>
      <w:pPr>
        <w:pStyle w:val="BodyText"/>
        <w:bidi w:val="0"/>
        <w:jc w:val="left"/>
        <w:rPr/>
      </w:pPr>
      <w:r>
        <w:rPr>
          <w:rStyle w:val="Strong"/>
        </w:rPr>
        <w:t>AI as Performance-Managed.</w:t>
      </w:r>
      <w:r>
        <w:rPr/>
        <w:t xml:space="preserve"> </w:t>
      </w:r>
      <w:r>
        <w:rPr>
          <w:rStyle w:val="Emphasis"/>
        </w:rPr>
        <w:t>Measure and manage mixed human-agent teams.</w:t>
      </w:r>
      <w:r>
        <w:rPr/>
        <w:t xml:space="preserve"> Anchor: performance-management</w:t>
        <w:br/>
        <w:t>frameworks.</w:t>
      </w:r>
    </w:p>
    <w:p>
      <w:pPr>
        <w:pStyle w:val="Heading3"/>
        <w:bidi w:val="0"/>
        <w:jc w:val="left"/>
        <w:rPr/>
      </w:pPr>
      <w:r>
        <w:rPr/>
        <w:t>Capability axis · How the workforce adapts</w:t>
      </w:r>
    </w:p>
    <w:p>
      <w:pPr>
        <w:pStyle w:val="BodyText"/>
        <w:bidi w:val="0"/>
        <w:jc w:val="left"/>
        <w:rPr/>
      </w:pPr>
      <w:r>
        <w:rPr>
          <w:rStyle w:val="Strong"/>
        </w:rPr>
        <w:t>AI as Reskilling Imperative.</w:t>
      </w:r>
      <w:r>
        <w:rPr/>
        <w:t xml:space="preserve"> </w:t>
      </w:r>
      <w:r>
        <w:rPr>
          <w:rStyle w:val="Emphasis"/>
        </w:rPr>
        <w:t>Keep human capability ahead of automation, continuously.</w:t>
      </w:r>
      <w:r>
        <w:rPr/>
        <w:t xml:space="preserve"> Anchor: learning</w:t>
        <w:br/>
        <w:t>&amp; development frameworks.</w:t>
      </w:r>
    </w:p>
    <w:p>
      <w:pPr>
        <w:pStyle w:val="BodyText"/>
        <w:bidi w:val="0"/>
        <w:jc w:val="left"/>
        <w:rPr/>
      </w:pPr>
      <w:r>
        <w:rPr>
          <w:rStyle w:val="Strong"/>
        </w:rPr>
        <w:t>AI as Culture and Trust.</w:t>
      </w:r>
      <w:r>
        <w:rPr/>
        <w:t xml:space="preserve"> </w:t>
      </w:r>
      <w:r>
        <w:rPr>
          <w:rStyle w:val="Emphasis"/>
        </w:rPr>
        <w:t>Sustain trust and accountability in a part-agent workforce.</w:t>
      </w:r>
      <w:r>
        <w:rPr/>
        <w:t xml:space="preserve"> Anchor:</w:t>
        <w:br/>
        <w:t>change-management / organisational-trust practice.</w:t>
      </w:r>
    </w:p>
    <w:p>
      <w:pPr>
        <w:pStyle w:val="Heading2"/>
        <w:bidi w:val="0"/>
        <w:jc w:val="left"/>
        <w:rPr/>
      </w:pPr>
      <w:r>
        <w:rPr/>
        <w:t>4. The four threat surfaces as workforce exposures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Mimicry</w:t>
      </w:r>
      <w:r>
        <w:rPr/>
        <w:t xml:space="preserve"> (Layer 9) — agents impersonating people (and vice versa) undermines trust and accountability in</w:t>
        <w:br/>
        <w:t xml:space="preserve">mixed teams.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Agent-in-the-middle</w:t>
      </w:r>
      <w:r>
        <w:rPr/>
        <w:t xml:space="preserve"> (Layer 7) — an ungoverned agent-tool boundary is the workforce equivalent of an</w:t>
        <w:br/>
        <w:t xml:space="preserve">unsupervised employee with unchecked access.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Agent spoofing</w:t>
      </w:r>
      <w:r>
        <w:rPr/>
        <w:t xml:space="preserve"> (Identity span) — an agent inheriting authority it was never granted is a segregation-of-</w:t>
        <w:br/>
        <w:t xml:space="preserve">duties failure.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Model compromise</w:t>
      </w:r>
      <w:r>
        <w:rPr/>
        <w:t xml:space="preserve"> (Layer 5) — a workforce of agents on a silently changed model is a workforce whose</w:t>
        <w:br/>
        <w:t xml:space="preserve">behaviour drifted without a performance review. </w:t>
      </w:r>
    </w:p>
    <w:p>
      <w:pPr>
        <w:pStyle w:val="Heading2"/>
        <w:bidi w:val="0"/>
        <w:jc w:val="left"/>
        <w:rPr/>
      </w:pPr>
      <w:r>
        <w:rPr/>
        <w:t>5. The layers and spans through the CHRO Lens</w:t>
      </w:r>
    </w:p>
    <w:p>
      <w:pPr>
        <w:pStyle w:val="BodyText"/>
        <w:bidi w:val="0"/>
        <w:jc w:val="left"/>
        <w:rPr/>
      </w:pPr>
      <w:r>
        <w:rPr/>
        <w:t>Workforce policy for agents concentrates at a few points in the architecture.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9 · Human and Browser Interface</w:t>
      </w:r>
      <w:r>
        <w:rPr/>
        <w:t xml:space="preserve"> — where humans and agents meet; the surface for trust, disclosure,</w:t>
        <w:br/>
        <w:t xml:space="preserve">and human-agent teaming.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Layer 7 · Orchestration and Workflow</w:t>
      </w:r>
      <w:r>
        <w:rPr/>
        <w:t xml:space="preserve"> — where agents </w:t>
      </w:r>
      <w:r>
        <w:rPr>
          <w:rStyle w:val="Emphasis"/>
        </w:rPr>
        <w:t>act</w:t>
      </w:r>
      <w:r>
        <w:rPr/>
        <w:t>; the locus of agent role, scope, and</w:t>
        <w:br/>
        <w:t xml:space="preserve">supervision.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Identity span</w:t>
      </w:r>
      <w:r>
        <w:rPr/>
        <w:t xml:space="preserve"> — the three actors (humans, agents, foundation models); the mechanism for onboarding,</w:t>
        <w:br/>
        <w:t xml:space="preserve">scoping, baselining, and offboarding an agent workforce.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Auditability span</w:t>
      </w:r>
      <w:r>
        <w:rPr/>
        <w:t xml:space="preserve"> — the evidence of who (or what) did what, essential to performance management and</w:t>
        <w:br/>
        <w:t xml:space="preserve">accountability in mixed teams.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Elsewhere (Layers 0–6, Layer 8) the CHRO’s interest is indirect, mediated through the technology and</w:t>
        <w:br/>
        <w:t xml:space="preserve">security organisations. </w:t>
      </w:r>
    </w:p>
    <w:p>
      <w:pPr>
        <w:pStyle w:val="Heading2"/>
        <w:bidi w:val="0"/>
        <w:jc w:val="left"/>
        <w:rPr/>
      </w:pPr>
      <w:r>
        <w:rPr/>
        <w:t>6. Adopting the lens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As a workforce-governance lens</w:t>
      </w:r>
      <w:r>
        <w:rPr/>
        <w:t xml:space="preserve"> — extend the employee lifecycle to agents using the Identity span and</w:t>
        <w:br/>
        <w:t xml:space="preserve">Layers 7 and 9 as the architectural anchor.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As a role-design vocabulary</w:t>
      </w:r>
      <w:r>
        <w:rPr/>
        <w:t xml:space="preserve"> — reason about augmentation versus displacement against a structural map.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As a cross-functional bridge</w:t>
      </w:r>
      <w:r>
        <w:rPr/>
        <w:t xml:space="preserve"> — align HR, security (“every agent is an employee with elevated</w:t>
        <w:br/>
        <w:t xml:space="preserve">privileges”), and technology on the same architecture. </w:t>
      </w:r>
    </w:p>
    <w:p>
      <w:pPr>
        <w:pStyle w:val="BodyText"/>
        <w:bidi w:val="0"/>
        <w:jc w:val="left"/>
        <w:rPr/>
      </w:pPr>
      <w:r>
        <w:rPr/>
        <w:t>The Foundation invites the people-leadership community to engage with the lens, push back on what does not</w:t>
        <w:br/>
        <w:t>fit, and contribute to its refinement.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spacing w:before="0" w:after="160"/>
        <w:jc w:val="left"/>
        <w:rPr/>
      </w:pPr>
      <w:r>
        <w:rPr>
          <w:rStyle w:val="Emphasis"/>
        </w:rPr>
        <w:t>AGENTICS FOUNDATION · OIA LENS SYSTEM · THE CHRO LENS · DRAFT v0.1 · 2026</w:t>
      </w:r>
    </w:p>
    <w:sectPr>
      <w:type w:val="nextPage"/>
      <w:pgSz w:w="11906" w:h="16838"/>
      <w:pgMar w:left="1361" w:right="1361" w:gutter="0" w:header="0" w:top="1247" w:footer="0" w:bottom="1247"/>
      <w:pgNumType w:fmt="decimal"/>
      <w:formProt w:val="false"/>
      <w:textDirection w:val="lrTb"/>
      <w:docGrid w:type="default" w:linePitch="600" w:charSpace="3481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0"/>
    </w:pPr>
    <w:rPr>
      <w:rFonts w:ascii="Liberation Serif;Georgia;serif" w:hAnsi="Liberation Serif;Georgia;serif" w:eastAsia="Liberation Serif;Georgia;serif" w:cs="Liberation Serif;Georgia;serif"/>
      <w:color w:val="1A1A1A"/>
      <w:sz w:val="23"/>
      <w:szCs w:val="23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40"/>
    </w:pPr>
    <w:rPr>
      <w:rFonts w:ascii="Liberation Sans;Helvetica;sans-serif" w:hAnsi="Liberation Sans;Helvetica;sans-serif" w:eastAsia="Liberation Sans;Helvetica;sans-serif" w:cs="Liberation Sans;Helvetica;sans-serif"/>
      <w:b/>
      <w:bCs/>
      <w:color w:val="14213D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C9CED6"/>
      </w:pBdr>
      <w:spacing w:before="400" w:after="120"/>
      <w:ind w:left="400" w:right="400"/>
      <w:outlineLvl w:val="1"/>
    </w:pPr>
    <w:rPr>
      <w:rFonts w:ascii="Liberation Sans;Helvetica;sans-serif" w:hAnsi="Liberation Sans;Helvetica;sans-serif" w:eastAsia="Liberation Sans;Helvetica;sans-serif" w:cs="Liberation Sans;Helvetica;sans-serif"/>
      <w:b/>
      <w:bCs/>
      <w:color w:val="14213D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80" w:after="80"/>
      <w:ind w:left="280" w:right="280"/>
      <w:outlineLvl w:val="2"/>
    </w:pPr>
    <w:rPr>
      <w:rFonts w:ascii="Liberation Sans;Helvetica;sans-serif" w:hAnsi="Liberation Sans;Helvetica;sans-serif" w:eastAsia="Liberation Sans;Helvetica;sans-serif" w:cs="Liberation Sans;Helvetica;sans-serif"/>
      <w:b/>
      <w:bCs/>
      <w:color w:val="33415C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14213D"/>
      <w:u w:val="none"/>
      <w:effect w:val="none"/>
    </w:rPr>
  </w:style>
  <w:style w:type="character" w:styleId="Strong">
    <w:name w:val="Strong"/>
    <w:qFormat/>
    <w:rPr>
      <w:b/>
      <w:bCs/>
      <w:color w:val="14213D"/>
    </w:rPr>
  </w:style>
  <w:style w:type="character" w:styleId="Emphasis">
    <w:name w:val="Emphasis"/>
    <w:qFormat/>
    <w:rPr>
      <w:i/>
      <w:iCs/>
      <w:color w:val="33415C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20"/>
      <w:szCs w:val="20"/>
      <w:shd w:fill="EEF1F5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strike w:val="false"/>
      <w:dstrike w:val="false"/>
      <w:color w:val="14213D"/>
      <w:u w:val="none"/>
      <w:effect w:val="non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16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18" w:space="12" w:color="14213D"/>
      </w:pBdr>
      <w:shd w:fill="F4F6F9" w:val="clear"/>
      <w:spacing w:before="200" w:after="200"/>
      <w:ind w:hanging="0" w:left="200" w:right="200"/>
    </w:pPr>
    <w:rPr>
      <w:color w:val="33415C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