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The General Counsel and Compliance Lens</w:t>
      </w:r>
    </w:p>
    <w:p>
      <w:pPr>
        <w:pStyle w:val="BodyText"/>
        <w:bidi w:val="0"/>
        <w:jc w:val="left"/>
        <w:rPr/>
      </w:pPr>
      <w:r>
        <w:rPr>
          <w:rStyle w:val="Emphasis"/>
        </w:rPr>
        <w:t>An audience-specific reading of the OIA Reference Model for general counsel, chief compliance officers, and the legal and regulatory functions they lead.</w:t>
      </w:r>
    </w:p>
    <w:p>
      <w:pPr>
        <w:pStyle w:val="BodyText"/>
        <w:bidi w:val="0"/>
        <w:jc w:val="left"/>
        <w:rPr/>
      </w:pPr>
      <w:r>
        <w:rPr>
          <w:rStyle w:val="Strong"/>
        </w:rPr>
        <w:t>By Mark Templeton · Part of the OIA Lens System · Draft v0.1 · 2026 · Published by the Agentics Foundation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Anticipated lens — draft for author review.</w:t>
      </w:r>
      <w:r>
        <w:rPr/>
        <w:t xml:space="preserve"> The Lens System v0.3 names the General Counsel and</w:t>
        <w:br/>
        <w:t>Compliance Lens as a future lens to be published “as practitioner engagement and demand support.” This</w:t>
        <w:br/>
        <w:t>draft is authored to the Lens System methodology (5–7 interpretive lenses across 2–3 orthogonal axes)</w:t>
        <w:br/>
        <w:t>ahead of formal publication; it should be reviewed before it is treated as canonical.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What this document is</w:t>
      </w:r>
    </w:p>
    <w:p>
      <w:pPr>
        <w:pStyle w:val="BodyText"/>
        <w:bidi w:val="0"/>
        <w:jc w:val="left"/>
        <w:rPr/>
      </w:pPr>
      <w:r>
        <w:rPr/>
        <w:t>The OIA Reference Model describes the structural shape of enterprise intelligent systems — ten layers, seven</w:t>
        <w:br/>
        <w:t>cross-layer spans, three defining properties, four named threat surfaces — vendor-neutral and</w:t>
        <w:br/>
        <w:t>audience-neutral. Legal and compliance leaders do not work from structural specifications; they work from</w:t>
        <w:br/>
        <w:t>liability, regulatory exposure, and contractual surface, with the regimes evolving in real time. Without</w:t>
        <w:br/>
        <w:t>translation, the OIA never reaches the accountability conversation it should inform.</w:t>
      </w:r>
    </w:p>
    <w:p>
      <w:pPr>
        <w:pStyle w:val="BodyText"/>
        <w:bidi w:val="0"/>
        <w:jc w:val="left"/>
        <w:rPr/>
      </w:pPr>
      <w:r>
        <w:rPr/>
        <w:t>This is the translation. The General Counsel and Compliance Lens reads the same OIA architecture through the</w:t>
        <w:br/>
        <w:t>questions a legal leader is actually asking — where liability attaches, where regulatory duties bind, and</w:t>
        <w:br/>
        <w:t>where the evidence to defend them physically lives. The architecture is invariant; the lens changes the</w:t>
        <w:br/>
        <w:t>language. The OIA’s cross-layer spans — auditability, provenance, sovereignty, identity — are precisely the</w:t>
        <w:br/>
        <w:t>artefacts that legal accountability and regulatory compliance reduce to.</w:t>
      </w:r>
    </w:p>
    <w:p>
      <w:pPr>
        <w:pStyle w:val="Heading2"/>
        <w:bidi w:val="0"/>
        <w:jc w:val="left"/>
        <w:rPr/>
      </w:pPr>
      <w:r>
        <w:rPr/>
        <w:t>2. What is in the legal/compliance planning conversation in 2026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Accountability for agent action is unsettled</w:t>
      </w:r>
      <w:r>
        <w:rPr/>
        <w:t xml:space="preserve"> — system owner, model provider, vendor, or the enterprise?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The regulatory map is moving under the deployment.</w:t>
      </w:r>
      <w:r>
        <w:rPr/>
        <w:t xml:space="preserve"> EU AI Act, US state-level AI law, and sectoral rules</w:t>
        <w:br/>
        <w:t xml:space="preserve">apply with extraterritorial reach and shifting classifications.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Training-data IP and output responsibility are open exposures</w:t>
      </w:r>
      <w:r>
        <w:rPr/>
        <w:t xml:space="preserve"> — provenance of what went in, ownership</w:t>
        <w:br/>
        <w:t xml:space="preserve">of what comes out.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Vendor contracts were written for software, not for actors.</w:t>
      </w:r>
      <w:r>
        <w:rPr/>
        <w:t xml:space="preserve"> Indemnities, warranties, and liability caps</w:t>
        <w:br/>
        <w:t xml:space="preserve">do not map to autonomous behaviour.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Data residency and sovereignty are compliance obligations,</w:t>
      </w:r>
      <w:r>
        <w:rPr/>
        <w:t xml:space="preserve"> not just architecture.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Disclosure and record-keeping duties assume reconstructability</w:t>
      </w:r>
      <w:r>
        <w:rPr/>
        <w:t xml:space="preserve"> the systems may not provide.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Regulators are asking for human oversight</w:t>
      </w:r>
      <w:r>
        <w:rPr/>
        <w:t xml:space="preserve"> the enterprise must be able to locate and evidence. </w:t>
      </w:r>
    </w:p>
    <w:p>
      <w:pPr>
        <w:pStyle w:val="Heading2"/>
        <w:bidi w:val="0"/>
        <w:jc w:val="left"/>
        <w:rPr/>
      </w:pPr>
      <w:r>
        <w:rPr/>
        <w:t>3. The six interpretive lenses on three axes</w:t>
      </w:r>
    </w:p>
    <w:p>
      <w:pPr>
        <w:pStyle w:val="Heading3"/>
        <w:bidi w:val="0"/>
        <w:jc w:val="left"/>
        <w:rPr/>
      </w:pPr>
      <w:r>
        <w:rPr/>
        <w:t>Liability axis · Who is answerable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Liable Actor.</w:t>
      </w:r>
      <w:r>
        <w:rPr/>
        <w:t xml:space="preserve"> </w:t>
      </w:r>
      <w:r>
        <w:rPr>
          <w:rStyle w:val="Emphasis"/>
        </w:rPr>
        <w:t>Locate where responsibility for an agent’s action attaches.</w:t>
      </w:r>
      <w:r>
        <w:rPr/>
        <w:t xml:space="preserve"> Autonomy at Layer 7</w:t>
        <w:br/>
        <w:t>concentrates the question of accountability. Anchor: tort / agency doctrine.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Output Owner.</w:t>
      </w:r>
      <w:r>
        <w:rPr/>
        <w:t xml:space="preserve"> </w:t>
      </w:r>
      <w:r>
        <w:rPr>
          <w:rStyle w:val="Emphasis"/>
        </w:rPr>
        <w:t>Establish responsibility for model output and its IP.</w:t>
      </w:r>
      <w:r>
        <w:rPr/>
        <w:t xml:space="preserve"> Provenance from Layer 3 to</w:t>
        <w:br/>
        <w:t>Layer 9 governs both. Anchor: IP and product-liability frameworks.</w:t>
      </w:r>
    </w:p>
    <w:p>
      <w:pPr>
        <w:pStyle w:val="Heading3"/>
        <w:bidi w:val="0"/>
        <w:jc w:val="left"/>
        <w:rPr/>
      </w:pPr>
      <w:r>
        <w:rPr/>
        <w:t>Regulatory axis · What binds the enterprise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Regulated System.</w:t>
      </w:r>
      <w:r>
        <w:rPr/>
        <w:t xml:space="preserve"> </w:t>
      </w:r>
      <w:r>
        <w:rPr>
          <w:rStyle w:val="Emphasis"/>
        </w:rPr>
        <w:t>Classify high-risk systems and locate human oversight.</w:t>
      </w:r>
      <w:r>
        <w:rPr/>
        <w:t xml:space="preserve"> Anchor: </w:t>
      </w:r>
      <w:r>
        <w:rPr>
          <w:rStyle w:val="Strong"/>
        </w:rPr>
        <w:t>EU AI Act</w:t>
      </w:r>
      <w:r>
        <w:rPr/>
        <w:br/>
        <w:t>(and US state-level AI law).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Managed Compliance.</w:t>
      </w:r>
      <w:r>
        <w:rPr/>
        <w:t xml:space="preserve"> </w:t>
      </w:r>
      <w:r>
        <w:rPr>
          <w:rStyle w:val="Emphasis"/>
        </w:rPr>
        <w:t>Attest against an AI management system.</w:t>
      </w:r>
      <w:r>
        <w:rPr/>
        <w:t xml:space="preserve"> Anchor: </w:t>
      </w:r>
      <w:r>
        <w:rPr>
          <w:rStyle w:val="Strong"/>
        </w:rPr>
        <w:t>ISO/IEC 42001</w:t>
      </w:r>
      <w:r>
        <w:rPr/>
        <w:t>, NIST AI RMF.</w:t>
      </w:r>
    </w:p>
    <w:p>
      <w:pPr>
        <w:pStyle w:val="Heading3"/>
        <w:bidi w:val="0"/>
        <w:jc w:val="left"/>
        <w:rPr/>
      </w:pPr>
      <w:r>
        <w:rPr/>
        <w:t>Evidence axis · What can be proven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Provable Record.</w:t>
      </w:r>
      <w:r>
        <w:rPr/>
        <w:t xml:space="preserve"> </w:t>
      </w:r>
      <w:r>
        <w:rPr>
          <w:rStyle w:val="Emphasis"/>
        </w:rPr>
        <w:t>Ensure the record needed to defend a claim exists by design.</w:t>
      </w:r>
      <w:r>
        <w:rPr/>
        <w:t xml:space="preserve"> Auditability cannot</w:t>
        <w:br/>
        <w:t>be retrofitted; it originates at Layer 3. Anchor: e-discovery / records-management duties.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Sovereign Obligation.</w:t>
      </w:r>
      <w:r>
        <w:rPr/>
        <w:t xml:space="preserve"> </w:t>
      </w:r>
      <w:r>
        <w:rPr>
          <w:rStyle w:val="Emphasis"/>
        </w:rPr>
        <w:t>Meet data-residency and jurisdictional duties as compliance, not preference.</w:t>
      </w:r>
      <w:r>
        <w:rPr/>
        <w:br/>
        <w:t>Established at Layer 2, threading upward. Anchor: data-protection and sectoral regimes.</w:t>
      </w:r>
    </w:p>
    <w:p>
      <w:pPr>
        <w:pStyle w:val="Heading2"/>
        <w:bidi w:val="0"/>
        <w:jc w:val="left"/>
        <w:rPr/>
      </w:pPr>
      <w:r>
        <w:rPr/>
        <w:t>4. The four threat surfaces as legal exposures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Mimicry</w:t>
      </w:r>
      <w:r>
        <w:rPr/>
        <w:t xml:space="preserve"> (Layer 9) — impersonation and synthetic-content fraud; disclosure and consumer-protection exposure.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Agent-in-the-middle</w:t>
      </w:r>
      <w:r>
        <w:rPr/>
        <w:t xml:space="preserve"> (Layer 7) — an un-auditable intermediary undermines the evidentiary record.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Agent spoofing</w:t>
      </w:r>
      <w:r>
        <w:rPr/>
        <w:t xml:space="preserve"> (Identity span) — inherited authority creates unbounded and unattributable liability.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Model compromise</w:t>
      </w:r>
      <w:r>
        <w:rPr/>
        <w:t xml:space="preserve"> (Layer 5) — reliance on a silently mutable model is a warranty, disclosure, and</w:t>
        <w:br/>
        <w:t xml:space="preserve">contractual-risk exposure. </w:t>
      </w:r>
    </w:p>
    <w:p>
      <w:pPr>
        <w:pStyle w:val="Heading2"/>
        <w:bidi w:val="0"/>
        <w:jc w:val="left"/>
        <w:rPr/>
      </w:pPr>
      <w:r>
        <w:rPr/>
        <w:t>5. The ten layers through the General Counsel Lens</w:t>
      </w:r>
    </w:p>
    <w:p>
      <w:pPr>
        <w:pStyle w:val="BodyText"/>
        <w:bidi w:val="0"/>
        <w:jc w:val="left"/>
        <w:rPr/>
      </w:pPr>
      <w:r>
        <w:rPr/>
        <w:t>For each layer: where liability, regulatory duty, and evidentiary obligation physically live.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9 · Human and Browser Interface</w:t>
      </w:r>
      <w:r>
        <w:rPr/>
        <w:t xml:space="preserve"> — consumer protection, disclosure, impersonation liability.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8 · Continuity Fabric</w:t>
      </w:r>
      <w:r>
        <w:rPr/>
        <w:t xml:space="preserve"> — records integrity, spoliation risk, post-incident reconstructability.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7 · Orchestration and Workflow</w:t>
      </w:r>
      <w:r>
        <w:rPr/>
        <w:t xml:space="preserve"> — agent-action liability; the locus of the accountability question.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6 · Context and Knowledge</w:t>
      </w:r>
      <w:r>
        <w:rPr/>
        <w:t xml:space="preserve"> — IP in retrieved corpora; confidentiality and privilege exposure.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5 · Inference and Retrieval</w:t>
      </w:r>
      <w:r>
        <w:rPr/>
        <w:t xml:space="preserve"> — model-output responsibility; vendor warranty and CVE disclosure.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4 · Model Training and Adaptation</w:t>
      </w:r>
      <w:r>
        <w:rPr/>
        <w:t xml:space="preserve"> — training-data IP, licensing, and provenance obligations.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3 · Agent Data Substrate</w:t>
      </w:r>
      <w:r>
        <w:rPr/>
        <w:t xml:space="preserve"> — privacy, data-subject rights, and the origination of auditability.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2 · Sovereign Infrastructure</w:t>
      </w:r>
      <w:r>
        <w:rPr/>
        <w:t xml:space="preserve"> — data residency, jurisdiction, and cross-border transfer duties.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1 · Silicon Abstraction</w:t>
      </w:r>
      <w:r>
        <w:rPr/>
        <w:t xml:space="preserve"> — attested-execution as evidence of controls (Verifiability span).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Layer 0 · Physical Compute</w:t>
      </w:r>
      <w:r>
        <w:rPr/>
        <w:t xml:space="preserve"> — supply-chain and export-control exposure. </w:t>
      </w:r>
    </w:p>
    <w:p>
      <w:pPr>
        <w:pStyle w:val="Heading2"/>
        <w:bidi w:val="0"/>
        <w:jc w:val="left"/>
        <w:rPr/>
      </w:pPr>
      <w:r>
        <w:rPr/>
        <w:t>6. Adopting the lens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As a compliance-mapping lens</w:t>
      </w:r>
      <w:r>
        <w:rPr/>
        <w:t xml:space="preserve"> — locate, layer by layer and span by span, where regulatory and</w:t>
        <w:br/>
        <w:t xml:space="preserve">contractual exposure physically lives.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As a contracting vocabulary</w:t>
      </w:r>
      <w:r>
        <w:rPr/>
        <w:t xml:space="preserve"> — negotiate indemnities, warranties, and liability caps against the</w:t>
        <w:br/>
        <w:t xml:space="preserve">architecture rather than the feature list.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As a disclosure and evidence anchor</w:t>
      </w:r>
      <w:r>
        <w:rPr/>
        <w:t xml:space="preserve"> — ensure the auditability and provenance needed to defend a claim</w:t>
        <w:br/>
        <w:t xml:space="preserve">are designed in, not promised later. </w:t>
      </w:r>
    </w:p>
    <w:p>
      <w:pPr>
        <w:pStyle w:val="BodyText"/>
        <w:bidi w:val="0"/>
        <w:jc w:val="left"/>
        <w:rPr/>
      </w:pPr>
      <w:r>
        <w:rPr/>
        <w:t>The Foundation invites the legal and compliance community to engage with the lens, push back on what does not</w:t>
        <w:br/>
        <w:t>fit, and contribute to its refinement.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0" w:after="160"/>
        <w:jc w:val="left"/>
        <w:rPr/>
      </w:pPr>
      <w:r>
        <w:rPr>
          <w:rStyle w:val="Emphasis"/>
        </w:rPr>
        <w:t>AGENTICS FOUNDATION · OIA LENS SYSTEM · THE GENERAL COUNSEL AND COMPLIANCE LENS · DRAFT v0.1 · 2026</w:t>
      </w:r>
    </w:p>
    <w:sectPr>
      <w:type w:val="nextPage"/>
      <w:pgSz w:w="11906" w:h="16838"/>
      <w:pgMar w:left="1361" w:right="1361" w:gutter="0" w:header="0" w:top="1247" w:footer="0" w:bottom="1247"/>
      <w:pgNumType w:fmt="decimal"/>
      <w:formProt w:val="false"/>
      <w:textDirection w:val="lrTb"/>
      <w:docGrid w:type="default" w:linePitch="600" w:charSpace="348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0"/>
    </w:pPr>
    <w:rPr>
      <w:rFonts w:ascii="Liberation Serif;Georgia;serif" w:hAnsi="Liberation Serif;Georgia;serif" w:eastAsia="Liberation Serif;Georgia;serif" w:cs="Liberation Serif;Georgia;serif"/>
      <w:color w:val="1A1A1A"/>
      <w:sz w:val="23"/>
      <w:szCs w:val="23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</w:pPr>
    <w:rPr>
      <w:rFonts w:ascii="Liberation Sans;Helvetica;sans-serif" w:hAnsi="Liberation Sans;Helvetica;sans-serif" w:eastAsia="Liberation Sans;Helvetica;sans-serif" w:cs="Liberation Sans;Helvetica;sans-serif"/>
      <w:b/>
      <w:bCs/>
      <w:color w:val="14213D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C9CED6"/>
      </w:pBdr>
      <w:spacing w:before="400" w:after="120"/>
      <w:ind w:left="400" w:right="400"/>
      <w:outlineLvl w:val="1"/>
    </w:pPr>
    <w:rPr>
      <w:rFonts w:ascii="Liberation Sans;Helvetica;sans-serif" w:hAnsi="Liberation Sans;Helvetica;sans-serif" w:eastAsia="Liberation Sans;Helvetica;sans-serif" w:cs="Liberation Sans;Helvetica;sans-serif"/>
      <w:b/>
      <w:bCs/>
      <w:color w:val="14213D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80" w:after="80"/>
      <w:ind w:left="280" w:right="280"/>
      <w:outlineLvl w:val="2"/>
    </w:pPr>
    <w:rPr>
      <w:rFonts w:ascii="Liberation Sans;Helvetica;sans-serif" w:hAnsi="Liberation Sans;Helvetica;sans-serif" w:eastAsia="Liberation Sans;Helvetica;sans-serif" w:cs="Liberation Sans;Helvetica;sans-serif"/>
      <w:b/>
      <w:bCs/>
      <w:color w:val="33415C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14213D"/>
      <w:u w:val="none"/>
      <w:effect w:val="none"/>
    </w:rPr>
  </w:style>
  <w:style w:type="character" w:styleId="Strong">
    <w:name w:val="Strong"/>
    <w:qFormat/>
    <w:rPr>
      <w:b/>
      <w:bCs/>
      <w:color w:val="14213D"/>
    </w:rPr>
  </w:style>
  <w:style w:type="character" w:styleId="Emphasis">
    <w:name w:val="Emphasis"/>
    <w:qFormat/>
    <w:rPr>
      <w:i/>
      <w:iCs/>
      <w:color w:val="33415C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20"/>
      <w:szCs w:val="20"/>
      <w:shd w:fill="EEF1F5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14213D"/>
      <w:u w:val="none"/>
      <w:effect w:val="non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16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18" w:space="12" w:color="14213D"/>
      </w:pBdr>
      <w:shd w:fill="F4F6F9" w:val="clear"/>
      <w:spacing w:before="200" w:after="200"/>
      <w:ind w:hanging="0" w:left="200" w:right="200"/>
    </w:pPr>
    <w:rPr>
      <w:color w:val="33415C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