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left"/>
      </w:pPr>
      <w:r>
        <w:rPr>
          <w:rFonts w:ascii="Arial" w:cs="Arial" w:eastAsia="Arial" w:hAnsi="Arial"/>
          <w:color w:val="8B7340"/>
          <w:spacing w:val="30"/>
          <w:sz w:val="16"/>
          <w:szCs w:val="16"/>
        </w:rPr>
        <w:t xml:space="preserve">PUBLISHED BY THE AGENTICS FOUNDATION</w:t>
      </w:r>
    </w:p>
    <w:p>
      <w:pPr>
        <w:spacing w:after="160" w:before="0"/>
      </w:pPr>
      <w:r>
        <w:t xml:space="preserve"/>
      </w:r>
    </w:p>
    <w:p>
      <w:pPr>
        <w:spacing w:after="240" w:before="0" w:line="360"/>
        <w:jc w:val="left"/>
      </w:pPr>
      <w:r>
        <w:rPr>
          <w:rFonts w:ascii="Arial" w:cs="Arial" w:eastAsia="Arial" w:hAnsi="Arial"/>
          <w:b w:val="false"/>
          <w:bCs w:val="false"/>
          <w:color w:val="0F1A24"/>
          <w:sz w:val="56"/>
          <w:szCs w:val="56"/>
        </w:rPr>
        <w:t xml:space="preserve">The OIA Body of Work</w:t>
      </w:r>
    </w:p>
    <w:p>
      <w:pPr>
        <w:spacing w:after="200" w:before="0" w:line="320"/>
        <w:jc w:val="left"/>
      </w:pPr>
      <w:r>
        <w:rPr>
          <w:rFonts w:ascii="Arial" w:cs="Arial" w:eastAsia="Arial" w:hAnsi="Arial"/>
          <w:i/>
          <w:iCs/>
          <w:color w:val="4A5562"/>
          <w:sz w:val="26"/>
          <w:szCs w:val="26"/>
        </w:rPr>
        <w:t xml:space="preserve">A reading guide and framing note for the OIA Reference Model, the Lens System, and their companion artifacts. Version 0.5.</w:t>
      </w:r>
    </w:p>
    <w:p>
      <w:pPr>
        <w:spacing w:after="280" w:before="0"/>
      </w:pPr>
      <w:r>
        <w:t xml:space="preserve"/>
      </w:r>
    </w:p>
    <w:p>
      <w:pPr>
        <w:pBdr>
          <w:bottom w:val="single" w:color="E5DFD0" w:sz="4" w:space="1"/>
        </w:pBdr>
        <w:spacing w:after="200" w:before="200"/>
      </w:pPr>
      <w:r>
        <w:t xml:space="preserve"/>
      </w:r>
    </w:p>
    <w:p>
      <w:pPr>
        <w:spacing w:after="120" w:before="0"/>
      </w:pPr>
      <w:r>
        <w:t xml:space="preserve"/>
      </w:r>
    </w:p>
    <w:p>
      <w:pPr>
        <w:spacing w:after="160" w:before="0" w:line="320"/>
        <w:jc w:val="left"/>
      </w:pPr>
      <w:r>
        <w:rPr>
          <w:rFonts w:ascii="Arial" w:cs="Arial" w:eastAsia="Arial" w:hAnsi="Arial"/>
          <w:b w:val="false"/>
          <w:bCs w:val="false"/>
          <w:i w:val="false"/>
          <w:iCs w:val="false"/>
          <w:color w:val="0F1A24"/>
          <w:sz w:val="22"/>
          <w:szCs w:val="22"/>
        </w:rPr>
        <w:t xml:space="preserve">By Mark Templeton</w:t>
      </w:r>
    </w:p>
    <w:p>
      <w:pPr>
        <w:spacing w:after="160" w:before="0" w:line="320"/>
        <w:jc w:val="left"/>
      </w:pPr>
      <w:r>
        <w:rPr>
          <w:rFonts w:ascii="Arial" w:cs="Arial" w:eastAsia="Arial" w:hAnsi="Arial"/>
          <w:b w:val="false"/>
          <w:bCs w:val="false"/>
          <w:i/>
          <w:iCs/>
          <w:color w:val="0F1A24"/>
          <w:sz w:val="22"/>
          <w:szCs w:val="22"/>
        </w:rPr>
        <w:t xml:space="preserve">Version 0.5 · 2026</w:t>
      </w:r>
    </w:p>
    <w:p>
      <w:pPr>
        <w:pageBreakBefore/>
      </w:pPr>
      <w:r>
        <w:br/>
      </w:r>
    </w:p>
    <w:p>
      <w:pPr>
        <w:pStyle w:val="Heading1"/>
      </w:pPr>
      <w:r>
        <w:rPr>
          <w:rFonts w:ascii="Arial" w:cs="Arial" w:eastAsia="Arial" w:hAnsi="Arial"/>
          <w:color w:val="0F1A24"/>
          <w:sz w:val="32"/>
          <w:szCs w:val="32"/>
        </w:rPr>
        <w:t xml:space="preserve">1. What This Document Is</w:t>
      </w:r>
    </w:p>
    <w:p>
      <w:pPr>
        <w:spacing w:after="160" w:before="0" w:line="320"/>
        <w:jc w:val="left"/>
      </w:pPr>
      <w:r>
        <w:rPr>
          <w:rFonts w:ascii="Arial" w:cs="Arial" w:eastAsia="Arial" w:hAnsi="Arial"/>
          <w:b w:val="false"/>
          <w:bCs w:val="false"/>
          <w:i w:val="false"/>
          <w:iCs w:val="false"/>
          <w:color w:val="0F1A24"/>
          <w:sz w:val="22"/>
          <w:szCs w:val="22"/>
        </w:rPr>
        <w:t xml:space="preserve">The OIA Reference Model is published as a body of work, not a single document. The architecture itself, the audience-specific Lens Maps, the visual reference for the diagrams, and the thought leadership materials are all part of one coherent release. They reinforce each other, and each one is incomplete without the others.</w:t>
      </w:r>
    </w:p>
    <w:p>
      <w:pPr>
        <w:spacing w:after="160" w:before="0" w:line="320"/>
        <w:jc w:val="left"/>
      </w:pPr>
      <w:r>
        <w:rPr>
          <w:rFonts w:ascii="Arial" w:cs="Arial" w:eastAsia="Arial" w:hAnsi="Arial"/>
          <w:b w:val="false"/>
          <w:bCs w:val="false"/>
          <w:i w:val="false"/>
          <w:iCs w:val="false"/>
          <w:color w:val="0F1A24"/>
          <w:sz w:val="22"/>
          <w:szCs w:val="22"/>
        </w:rPr>
        <w:t xml:space="preserve">This document is the framing note. It introduces the body of work, names the artifacts that constitute it, explains how they relate, and recommends a reading sequence calibrated to the role of the reader. It is intentionally short. The substance is in the artifacts; this document is the door.</w:t>
      </w:r>
    </w:p>
    <w:p>
      <w:pPr>
        <w:spacing w:after="160" w:before="0" w:line="320"/>
        <w:jc w:val="left"/>
      </w:pPr>
      <w:r>
        <w:rPr>
          <w:rFonts w:ascii="Arial" w:cs="Arial" w:eastAsia="Arial" w:hAnsi="Arial"/>
          <w:b w:val="false"/>
          <w:bCs w:val="false"/>
          <w:i w:val="false"/>
          <w:iCs w:val="false"/>
          <w:color w:val="0F1A24"/>
          <w:sz w:val="22"/>
          <w:szCs w:val="22"/>
        </w:rPr>
        <w:t xml:space="preserve">If you have only a few minutes, read Section 2 below — it names the artifacts. If you have an hour, follow the reading guide in Section 3 for your role. If you have a day, read the Reference Paper end to end and the Lens that fits your role. Each of these is a defensible investment of attention; they are not redundant, and the body of work is designed to reward whichever depth of engagement is appropriate to the moment.</w:t>
      </w:r>
    </w:p>
    <w:p>
      <w:pPr>
        <w:pageBreakBefore/>
      </w:pPr>
      <w:r>
        <w:br/>
      </w:r>
    </w:p>
    <w:p>
      <w:pPr>
        <w:pStyle w:val="Heading1"/>
      </w:pPr>
      <w:r>
        <w:rPr>
          <w:rFonts w:ascii="Arial" w:cs="Arial" w:eastAsia="Arial" w:hAnsi="Arial"/>
          <w:color w:val="0F1A24"/>
          <w:sz w:val="32"/>
          <w:szCs w:val="32"/>
        </w:rPr>
        <w:t xml:space="preserve">2. The Artifacts</w:t>
      </w:r>
    </w:p>
    <w:p>
      <w:pPr>
        <w:spacing w:after="160" w:before="0" w:line="320"/>
        <w:jc w:val="left"/>
      </w:pPr>
      <w:r>
        <w:rPr>
          <w:rFonts w:ascii="Arial" w:cs="Arial" w:eastAsia="Arial" w:hAnsi="Arial"/>
          <w:b w:val="false"/>
          <w:bCs w:val="false"/>
          <w:i w:val="false"/>
          <w:iCs w:val="false"/>
          <w:color w:val="0F1A24"/>
          <w:sz w:val="22"/>
          <w:szCs w:val="22"/>
        </w:rPr>
        <w:t xml:space="preserve">Five artifacts constitute the OIA body of work at v0.5.</w:t>
      </w:r>
    </w:p>
    <w:p>
      <w:pPr>
        <w:pStyle w:val="Heading2"/>
      </w:pPr>
      <w:r>
        <w:rPr>
          <w:rFonts w:ascii="Arial" w:cs="Arial" w:eastAsia="Arial" w:hAnsi="Arial"/>
          <w:b/>
          <w:bCs/>
          <w:color w:val="0F1A24"/>
          <w:sz w:val="26"/>
          <w:szCs w:val="26"/>
        </w:rPr>
        <w:t xml:space="preserve">2.1  The OIA Reference Paper</w:t>
      </w:r>
    </w:p>
    <w:p>
      <w:pPr>
        <w:spacing w:after="160" w:before="0" w:line="320"/>
        <w:jc w:val="left"/>
      </w:pPr>
      <w:r>
        <w:rPr>
          <w:rFonts w:ascii="Arial" w:cs="Arial" w:eastAsia="Arial" w:hAnsi="Arial"/>
          <w:b w:val="false"/>
          <w:bCs w:val="false"/>
          <w:i w:val="false"/>
          <w:iCs w:val="false"/>
          <w:color w:val="0F1A24"/>
          <w:sz w:val="22"/>
          <w:szCs w:val="22"/>
        </w:rPr>
        <w:t xml:space="preserve">The architectural specification in full. Ten layers, seven cross-layer spans, the three defining properties of intelligent systems on which the architecture rests, the four named threat surfaces of the agentic era, and the open questions the model deliberately does not yet close. Approximately forty pages. The authoritative reference for everything that follows. If a question about the architecture cannot be resolved from the other artifacts, the Reference Paper is where the answer lives.</w:t>
      </w:r>
    </w:p>
    <w:p>
      <w:pPr>
        <w:pStyle w:val="Heading2"/>
      </w:pPr>
      <w:r>
        <w:rPr>
          <w:rFonts w:ascii="Arial" w:cs="Arial" w:eastAsia="Arial" w:hAnsi="Arial"/>
          <w:b/>
          <w:bCs/>
          <w:color w:val="0F1A24"/>
          <w:sz w:val="26"/>
          <w:szCs w:val="26"/>
        </w:rPr>
        <w:t xml:space="preserve">2.2  The OIA Lens System</w:t>
      </w:r>
    </w:p>
    <w:p>
      <w:pPr>
        <w:spacing w:after="160" w:before="0" w:line="320"/>
        <w:jc w:val="left"/>
      </w:pPr>
      <w:r>
        <w:rPr>
          <w:rFonts w:ascii="Arial" w:cs="Arial" w:eastAsia="Arial" w:hAnsi="Arial"/>
          <w:b w:val="false"/>
          <w:bCs w:val="false"/>
          <w:i w:val="false"/>
          <w:iCs w:val="false"/>
          <w:color w:val="0F1A24"/>
          <w:sz w:val="22"/>
          <w:szCs w:val="22"/>
        </w:rPr>
        <w:t xml:space="preserve">Three audience-specific Lens Maps that translate the architecture into the language of the executives accountable for AI inside the enterprise. The CISO Lens for the security organisation. The CIO/CTO Lens for the technology organisation. The Board and Risk Lens for directors, audit and risk committees, and chief risk officers. Each lens reads the same architecture through a different vocabulary, framework set, and interpretive frame. Three further lenses — CFO, General Counsel, CHRO — are anticipated in subsequent releases.</w:t>
      </w:r>
    </w:p>
    <w:p>
      <w:pPr>
        <w:pStyle w:val="Heading2"/>
      </w:pPr>
      <w:r>
        <w:rPr>
          <w:rFonts w:ascii="Arial" w:cs="Arial" w:eastAsia="Arial" w:hAnsi="Arial"/>
          <w:b/>
          <w:bCs/>
          <w:color w:val="0F1A24"/>
          <w:sz w:val="26"/>
          <w:szCs w:val="26"/>
        </w:rPr>
        <w:t xml:space="preserve">2.3  The OIA Visual Reference</w:t>
      </w:r>
    </w:p>
    <w:p>
      <w:pPr>
        <w:spacing w:after="160" w:before="0" w:line="320"/>
        <w:jc w:val="left"/>
      </w:pPr>
      <w:r>
        <w:rPr>
          <w:rFonts w:ascii="Arial" w:cs="Arial" w:eastAsia="Arial" w:hAnsi="Arial"/>
          <w:b w:val="false"/>
          <w:bCs w:val="false"/>
          <w:i w:val="false"/>
          <w:iCs w:val="false"/>
          <w:color w:val="0F1A24"/>
          <w:sz w:val="22"/>
          <w:szCs w:val="22"/>
        </w:rPr>
        <w:t xml:space="preserve">Three diagrams that render the architecture and its applications visually: the OIA Stack (the architecture itself), the Lens Overlay (how an audience-specific lens reads against the stack), and the Four Named Threat Surfaces (the failure paths of the agentic era overlaid on the stack as origin, propagation, and landing markers). The diagrams are published as standalone SVG files for reuse and as a wrapped companion document with explanatory captions.</w:t>
      </w:r>
    </w:p>
    <w:p>
      <w:pPr>
        <w:pStyle w:val="Heading2"/>
      </w:pPr>
      <w:r>
        <w:rPr>
          <w:rFonts w:ascii="Arial" w:cs="Arial" w:eastAsia="Arial" w:hAnsi="Arial"/>
          <w:b/>
          <w:bCs/>
          <w:color w:val="0F1A24"/>
          <w:sz w:val="26"/>
          <w:szCs w:val="26"/>
        </w:rPr>
        <w:t xml:space="preserve">2.4  The OIA Thought Leadership Deck</w:t>
      </w:r>
    </w:p>
    <w:p>
      <w:pPr>
        <w:spacing w:after="160" w:before="0" w:line="320"/>
        <w:jc w:val="left"/>
      </w:pPr>
      <w:r>
        <w:rPr>
          <w:rFonts w:ascii="Arial" w:cs="Arial" w:eastAsia="Arial" w:hAnsi="Arial"/>
          <w:b w:val="false"/>
          <w:bCs w:val="false"/>
          <w:i w:val="false"/>
          <w:iCs w:val="false"/>
          <w:color w:val="0F1A24"/>
          <w:sz w:val="22"/>
          <w:szCs w:val="22"/>
        </w:rPr>
        <w:t xml:space="preserve">A presentation deck calibrated to board and executive audiences, designed to support a thirty- to forty-five-minute session. The deck condenses the architecture and its applications into a presentable form for use by supporting organisations and Foundation contributors. Co-brandable so any supporter can present the body of work to their own audiences without altering the substance.</w:t>
      </w:r>
    </w:p>
    <w:p>
      <w:pPr>
        <w:pStyle w:val="Heading2"/>
      </w:pPr>
      <w:r>
        <w:rPr>
          <w:rFonts w:ascii="Arial" w:cs="Arial" w:eastAsia="Arial" w:hAnsi="Arial"/>
          <w:b/>
          <w:bCs/>
          <w:color w:val="0F1A24"/>
          <w:sz w:val="26"/>
          <w:szCs w:val="26"/>
        </w:rPr>
        <w:t xml:space="preserve">2.5  The OIA v0.5 Architecture Lock</w:t>
      </w:r>
    </w:p>
    <w:p>
      <w:pPr>
        <w:spacing w:after="160" w:before="0" w:line="320"/>
        <w:jc w:val="left"/>
      </w:pPr>
      <w:r>
        <w:rPr>
          <w:rFonts w:ascii="Arial" w:cs="Arial" w:eastAsia="Arial" w:hAnsi="Arial"/>
          <w:b w:val="false"/>
          <w:bCs w:val="false"/>
          <w:i w:val="false"/>
          <w:iCs w:val="false"/>
          <w:color w:val="0F1A24"/>
          <w:sz w:val="22"/>
          <w:szCs w:val="22"/>
        </w:rPr>
        <w:t xml:space="preserve">The internal working specification of the v0.5 architectural changes — the seven refinements absorbed from the Proofpoint pressure test, the ten-layer renumbering, the canonical vocabulary, and what is preserved unchanged from v0.1. Not intended for external distribution; published here as a reference for Foundation contributors and reviewers who want to see the discipline behind the upgrade cycle.</w:t>
      </w:r>
    </w:p>
    <w:p>
      <w:pPr>
        <w:pageBreakBefore/>
      </w:pPr>
      <w:r>
        <w:br/>
      </w:r>
    </w:p>
    <w:p>
      <w:pPr>
        <w:pStyle w:val="Heading1"/>
      </w:pPr>
      <w:r>
        <w:rPr>
          <w:rFonts w:ascii="Arial" w:cs="Arial" w:eastAsia="Arial" w:hAnsi="Arial"/>
          <w:color w:val="0F1A24"/>
          <w:sz w:val="32"/>
          <w:szCs w:val="32"/>
        </w:rPr>
        <w:t xml:space="preserve">3. A Reading Guide by Role</w:t>
      </w:r>
    </w:p>
    <w:p>
      <w:pPr>
        <w:spacing w:after="160" w:before="0" w:line="320"/>
        <w:jc w:val="left"/>
      </w:pPr>
      <w:r>
        <w:rPr>
          <w:rFonts w:ascii="Arial" w:cs="Arial" w:eastAsia="Arial" w:hAnsi="Arial"/>
          <w:b w:val="false"/>
          <w:bCs w:val="false"/>
          <w:i w:val="false"/>
          <w:iCs w:val="false"/>
          <w:color w:val="0F1A24"/>
          <w:sz w:val="22"/>
          <w:szCs w:val="22"/>
        </w:rPr>
        <w:t xml:space="preserve">The body of work is designed so that any reader can find a short and a long path through it depending on their role. The recommendations below are the Foundation's view on where to start; readers should feel free to deviate.</w:t>
      </w:r>
    </w:p>
    <w:p>
      <w:pPr>
        <w:pStyle w:val="Heading2"/>
      </w:pPr>
      <w:r>
        <w:rPr>
          <w:rFonts w:ascii="Arial" w:cs="Arial" w:eastAsia="Arial" w:hAnsi="Arial"/>
          <w:b/>
          <w:bCs/>
          <w:color w:val="0F1A24"/>
          <w:sz w:val="26"/>
          <w:szCs w:val="26"/>
        </w:rPr>
        <w:t xml:space="preserve">3.1  For chief information security officers</w:t>
      </w:r>
    </w:p>
    <w:p>
      <w:pPr>
        <w:spacing w:after="160" w:before="0" w:line="320"/>
        <w:jc w:val="left"/>
      </w:pPr>
      <w:r>
        <w:rPr>
          <w:rFonts w:ascii="Arial" w:cs="Arial" w:eastAsia="Arial" w:hAnsi="Arial"/>
          <w:b w:val="false"/>
          <w:bCs w:val="false"/>
          <w:i w:val="false"/>
          <w:iCs w:val="false"/>
          <w:color w:val="0F1A24"/>
          <w:sz w:val="22"/>
          <w:szCs w:val="22"/>
        </w:rPr>
        <w:t xml:space="preserve">Read the CISO Lens first. It is calibrated to your audience and uses the framework vocabulary already in your program plans. After the CISO Lens, read Section 15 of the Reference Paper (the four named threat surfaces) and Section 14 (the seven cross-layer spans). The full Reference Paper rewards a longer read but the architecture is most legible from the CISO Lens entry point for this audience.</w:t>
      </w:r>
    </w:p>
    <w:p>
      <w:pPr>
        <w:pStyle w:val="Heading2"/>
      </w:pPr>
      <w:r>
        <w:rPr>
          <w:rFonts w:ascii="Arial" w:cs="Arial" w:eastAsia="Arial" w:hAnsi="Arial"/>
          <w:b/>
          <w:bCs/>
          <w:color w:val="0F1A24"/>
          <w:sz w:val="26"/>
          <w:szCs w:val="26"/>
        </w:rPr>
        <w:t xml:space="preserve">3.2  For chief information and technology officers</w:t>
      </w:r>
    </w:p>
    <w:p>
      <w:pPr>
        <w:spacing w:after="160" w:before="0" w:line="320"/>
        <w:jc w:val="left"/>
      </w:pPr>
      <w:r>
        <w:rPr>
          <w:rFonts w:ascii="Arial" w:cs="Arial" w:eastAsia="Arial" w:hAnsi="Arial"/>
          <w:b w:val="false"/>
          <w:bCs w:val="false"/>
          <w:i w:val="false"/>
          <w:iCs w:val="false"/>
          <w:color w:val="0F1A24"/>
          <w:sz w:val="22"/>
          <w:szCs w:val="22"/>
        </w:rPr>
        <w:t xml:space="preserve">Read the CIO/CTO Lens first. It is calibrated to capital allocation, vendor concentration, sovereignty, and the operational frameworks your organisation already uses. After the lens, read the Reference Paper sections on the layers most acute to your current planning — typically Layer 0 through Layer 2 (infrastructure and sovereignty), Layer 7 (orchestration and agent frameworks), and Layer 8 (Continuity Fabric, the architectural gap most consistently identified across the technology audience).</w:t>
      </w:r>
    </w:p>
    <w:p>
      <w:pPr>
        <w:pStyle w:val="Heading2"/>
      </w:pPr>
      <w:r>
        <w:rPr>
          <w:rFonts w:ascii="Arial" w:cs="Arial" w:eastAsia="Arial" w:hAnsi="Arial"/>
          <w:b/>
          <w:bCs/>
          <w:color w:val="0F1A24"/>
          <w:sz w:val="26"/>
          <w:szCs w:val="26"/>
        </w:rPr>
        <w:t xml:space="preserve">3.3  For directors, audit and risk committees, and chief risk officers</w:t>
      </w:r>
    </w:p>
    <w:p>
      <w:pPr>
        <w:spacing w:after="160" w:before="0" w:line="320"/>
        <w:jc w:val="left"/>
      </w:pPr>
      <w:r>
        <w:rPr>
          <w:rFonts w:ascii="Arial" w:cs="Arial" w:eastAsia="Arial" w:hAnsi="Arial"/>
          <w:b w:val="false"/>
          <w:bCs w:val="false"/>
          <w:i w:val="false"/>
          <w:iCs w:val="false"/>
          <w:color w:val="0F1A24"/>
          <w:sz w:val="22"/>
          <w:szCs w:val="22"/>
        </w:rPr>
        <w:t xml:space="preserve">Read the Board and Risk Lens first. After the lens, read the Reference Paper's Section 14 (cross-layer spans, with attention to Auditability, Sovereignty, Verifiability, and Identity) and Section 17 (open questions). The full Reference Paper is more depth than is necessary for board-level engagement; the Lens and the spans are the primary architectural artefacts directors need to be conversant with.</w:t>
      </w:r>
    </w:p>
    <w:p>
      <w:pPr>
        <w:pStyle w:val="Heading2"/>
      </w:pPr>
      <w:r>
        <w:rPr>
          <w:rFonts w:ascii="Arial" w:cs="Arial" w:eastAsia="Arial" w:hAnsi="Arial"/>
          <w:b/>
          <w:bCs/>
          <w:color w:val="0F1A24"/>
          <w:sz w:val="26"/>
          <w:szCs w:val="26"/>
        </w:rPr>
        <w:t xml:space="preserve">3.4  For chief executives and operating executives</w:t>
      </w:r>
    </w:p>
    <w:p>
      <w:pPr>
        <w:spacing w:after="160" w:before="0" w:line="320"/>
        <w:jc w:val="left"/>
      </w:pPr>
      <w:r>
        <w:rPr>
          <w:rFonts w:ascii="Arial" w:cs="Arial" w:eastAsia="Arial" w:hAnsi="Arial"/>
          <w:b w:val="false"/>
          <w:bCs w:val="false"/>
          <w:i w:val="false"/>
          <w:iCs w:val="false"/>
          <w:color w:val="0F1A24"/>
          <w:sz w:val="22"/>
          <w:szCs w:val="22"/>
        </w:rPr>
        <w:t xml:space="preserve">Read this framing note. Read the Reference Paper's Foreword, Introduction (Section 1), Architecture overview (Section 3), and Closing (Section 18). Read the appropriate Lens for the decision in front of you — most often, the Board and Risk Lens for accountability questions or the CIO/CTO Lens for capital allocation and architectural questions. The thought leadership deck is designed for the audiences you may be presenting to.</w:t>
      </w:r>
    </w:p>
    <w:p>
      <w:pPr>
        <w:pStyle w:val="Heading2"/>
      </w:pPr>
      <w:r>
        <w:rPr>
          <w:rFonts w:ascii="Arial" w:cs="Arial" w:eastAsia="Arial" w:hAnsi="Arial"/>
          <w:b/>
          <w:bCs/>
          <w:color w:val="0F1A24"/>
          <w:sz w:val="26"/>
          <w:szCs w:val="26"/>
        </w:rPr>
        <w:t xml:space="preserve">3.5  For practitioners and Foundation contributors</w:t>
      </w:r>
    </w:p>
    <w:p>
      <w:pPr>
        <w:spacing w:after="160" w:before="0" w:line="320"/>
        <w:jc w:val="left"/>
      </w:pPr>
      <w:r>
        <w:rPr>
          <w:rFonts w:ascii="Arial" w:cs="Arial" w:eastAsia="Arial" w:hAnsi="Arial"/>
          <w:b w:val="false"/>
          <w:bCs w:val="false"/>
          <w:i w:val="false"/>
          <w:iCs w:val="false"/>
          <w:color w:val="0F1A24"/>
          <w:sz w:val="22"/>
          <w:szCs w:val="22"/>
        </w:rPr>
        <w:t xml:space="preserve">Read everything. The Reference Paper is the architectural specification you will be working against. The Lens System is the worked example of how the architecture lands across audiences. The Architecture Lock document specifies what changed at v0.5 and why. Contributions to the model and to new lenses are welcome through the open development process.</w:t>
      </w:r>
    </w:p>
    <w:p>
      <w:pPr>
        <w:pageBreakBefore/>
      </w:pPr>
      <w:r>
        <w:br/>
      </w:r>
    </w:p>
    <w:p>
      <w:pPr>
        <w:pStyle w:val="Heading1"/>
      </w:pPr>
      <w:r>
        <w:rPr>
          <w:rFonts w:ascii="Arial" w:cs="Arial" w:eastAsia="Arial" w:hAnsi="Arial"/>
          <w:color w:val="0F1A24"/>
          <w:sz w:val="32"/>
          <w:szCs w:val="32"/>
        </w:rPr>
        <w:t xml:space="preserve">4. How the Artifacts Relate</w:t>
      </w:r>
    </w:p>
    <w:p>
      <w:pPr>
        <w:spacing w:after="160" w:before="0" w:line="320"/>
        <w:jc w:val="left"/>
      </w:pPr>
      <w:r>
        <w:rPr>
          <w:rFonts w:ascii="Arial" w:cs="Arial" w:eastAsia="Arial" w:hAnsi="Arial"/>
          <w:b w:val="false"/>
          <w:bCs w:val="false"/>
          <w:i w:val="false"/>
          <w:iCs w:val="false"/>
          <w:color w:val="0F1A24"/>
          <w:sz w:val="22"/>
          <w:szCs w:val="22"/>
        </w:rPr>
        <w:t xml:space="preserve">The architecture is the spine. The Lens System is how the spine reaches the audiences that must apply it. The Visual Reference is how the architecture is held in mind. The thought leadership deck is how the body of work is presented to audiences for whom long-form documents are not the right entry point. Each artifact is calibrated to a different mode of engagement; together they form a complete reference.</w:t>
      </w:r>
    </w:p>
    <w:p>
      <w:pPr>
        <w:spacing w:after="200" w:before="200" w:line="340"/>
        <w:ind w:left="540" w:right="540"/>
      </w:pPr>
      <w:r>
        <w:rPr>
          <w:rFonts w:ascii="Arial" w:cs="Arial" w:eastAsia="Arial" w:hAnsi="Arial"/>
          <w:i/>
          <w:iCs/>
          <w:color w:val="4A5562"/>
          <w:sz w:val="22"/>
          <w:szCs w:val="22"/>
        </w:rPr>
        <w:t xml:space="preserve">The architecture is the spine. The Lens System is how the spine reaches the audiences. The Visual Reference is how it is held in mind.</w:t>
      </w:r>
    </w:p>
    <w:p>
      <w:pPr>
        <w:spacing w:after="160" w:before="0" w:line="320"/>
        <w:jc w:val="left"/>
      </w:pPr>
      <w:r>
        <w:rPr>
          <w:rFonts w:ascii="Arial" w:cs="Arial" w:eastAsia="Arial" w:hAnsi="Arial"/>
          <w:b w:val="false"/>
          <w:bCs w:val="false"/>
          <w:i w:val="false"/>
          <w:iCs w:val="false"/>
          <w:color w:val="0F1A24"/>
          <w:sz w:val="22"/>
          <w:szCs w:val="22"/>
        </w:rPr>
        <w:t xml:space="preserve">The artifacts are designed to be internally consistent. The architecture in the Reference Paper is the same architecture rendered in the Visual Reference, surfaced in the Lens Maps, and presented in the deck. Cross-references between artifacts are made explicit. When a reader moves from the CISO Lens to the Reference Paper to follow up on a layer, they should find the Reference Paper's treatment of that layer recognisable as the same content the Lens drew from. The body of work is a unified release, not a collection of related documents.</w:t>
      </w:r>
    </w:p>
    <w:p>
      <w:pPr>
        <w:spacing w:after="160" w:before="0" w:line="320"/>
        <w:jc w:val="left"/>
      </w:pPr>
      <w:r>
        <w:rPr>
          <w:rFonts w:ascii="Arial" w:cs="Arial" w:eastAsia="Arial" w:hAnsi="Arial"/>
          <w:b w:val="false"/>
          <w:bCs w:val="false"/>
          <w:i w:val="false"/>
          <w:iCs w:val="false"/>
          <w:color w:val="0F1A24"/>
          <w:sz w:val="22"/>
          <w:szCs w:val="22"/>
        </w:rPr>
        <w:t xml:space="preserve">The Foundation will continue to develop the body of work in release cycles. v0.5 is the current cycle and incorporates the architectural refinements that emerged from the Proofpoint pressure test, the ten-layer renumbering, and the introduction of the Lens System as an integral part of the model. Subsequent versions will absorb resolutions to the open questions named in Section 17 of the Reference Paper, additions to the Lens roster, and any further architectural refinements that emerge from continued practitioner engagement.</w:t>
      </w:r>
    </w:p>
    <w:p>
      <w:pPr>
        <w:spacing w:after="400" w:before="0"/>
      </w:pPr>
      <w:r>
        <w:t xml:space="preserve"/>
      </w:r>
    </w:p>
    <w:p>
      <w:pPr>
        <w:pBdr>
          <w:bottom w:val="single" w:color="E5DFD0" w:sz="4" w:space="1"/>
        </w:pBdr>
        <w:spacing w:after="200" w:before="200"/>
      </w:pPr>
      <w:r>
        <w:t xml:space="preserve"/>
      </w:r>
    </w:p>
    <w:p>
      <w:pPr>
        <w:spacing w:after="200" w:before="0"/>
      </w:pPr>
      <w:r>
        <w:t xml:space="preserve"/>
      </w:r>
    </w:p>
    <w:p>
      <w:pPr>
        <w:spacing w:after="80" w:before="0"/>
        <w:jc w:val="left"/>
      </w:pPr>
      <w:r>
        <w:rPr>
          <w:rFonts w:ascii="Arial" w:cs="Arial" w:eastAsia="Arial" w:hAnsi="Arial"/>
          <w:color w:val="8B7340"/>
          <w:spacing w:val="30"/>
          <w:sz w:val="16"/>
          <w:szCs w:val="16"/>
        </w:rPr>
        <w:t xml:space="preserve">AGENTICS FOUNDATION · THE OIA BODY OF WORK · FRAMING NOTE · V0.5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F1A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20"/>
      <w:outlineLvl w:val="0"/>
    </w:pPr>
    <w:rPr>
      <w:rFonts w:ascii="Arial" w:cs="Arial" w:eastAsia="Arial" w:hAnsi="Arial"/>
      <w:b w:val="false"/>
      <w:bCs w:val="false"/>
      <w:color w:val="0F1A24"/>
      <w:sz w:val="32"/>
      <w:szCs w:val="32"/>
    </w:rPr>
  </w:style>
  <w:style w:type="paragraph" w:styleId="Heading2">
    <w:name w:val="Heading 2"/>
    <w:basedOn w:val="Normal"/>
    <w:next w:val="Normal"/>
    <w:qFormat/>
    <w:pPr>
      <w:spacing w:after="140" w:before="280" w:line="300"/>
      <w:outlineLvl w:val="1"/>
    </w:pPr>
    <w:rPr>
      <w:rFonts w:ascii="Arial" w:cs="Arial" w:eastAsia="Arial" w:hAnsi="Arial"/>
      <w:b/>
      <w:bCs/>
      <w:color w:val="0F1A24"/>
      <w:sz w:val="26"/>
      <w:szCs w:val="26"/>
    </w:rPr>
  </w:style>
  <w:style w:type="paragraph" w:styleId="Body">
    <w:name w:val="Body"/>
    <w:basedOn w:val="Normal"/>
    <w:pPr>
      <w:spacing w:after="160" w:line="320"/>
    </w:pPr>
    <w:rPr>
      <w:rFonts w:ascii="Arial" w:cs="Arial" w:eastAsia="Arial" w:hAnsi="Arial"/>
      <w:color w:val="0F1A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OIA Body of Work — Framing Note</dc:title>
  <dc:creator>Mark Templeton</dc:creator>
  <dc:description>Reading guide and framing note for the OIA v0.5 body of work.</dc:description>
  <cp:lastModifiedBy>Un-named</cp:lastModifiedBy>
  <cp:revision>1</cp:revision>
  <dcterms:created xsi:type="dcterms:W3CDTF">2026-05-09T20:08:45.074Z</dcterms:created>
  <dcterms:modified xsi:type="dcterms:W3CDTF">2026-05-09T20:08:45.074Z</dcterms:modified>
</cp:coreProperties>
</file>

<file path=docProps/custom.xml><?xml version="1.0" encoding="utf-8"?>
<Properties xmlns="http://schemas.openxmlformats.org/officeDocument/2006/custom-properties" xmlns:vt="http://schemas.openxmlformats.org/officeDocument/2006/docPropsVTypes"/>
</file>