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PUBLISHED BY THE AGENTICS FOUNDATION</w:t>
      </w:r>
    </w:p>
    <w:p>
      <w:pPr>
        <w:spacing w:after="3600" w:before="0"/>
      </w:pPr>
      <w:r>
        <w:t xml:space="preserve"/>
      </w:r>
    </w:p>
    <w:p>
      <w:pPr>
        <w:spacing w:after="360" w:before="0"/>
        <w:jc w:val="center"/>
      </w:pPr>
      <w:r>
        <w:rPr>
          <w:rFonts w:ascii="Helvetica Neue" w:cs="Helvetica Neue" w:eastAsia="Helvetica Neue" w:hAnsi="Helvetica Neue"/>
          <w:b w:val="false"/>
          <w:bCs w:val="false"/>
          <w:i w:val="false"/>
          <w:iCs w:val="false"/>
          <w:caps w:val="false"/>
          <w:color w:val="000000"/>
          <w:sz w:val="72"/>
          <w:szCs w:val="72"/>
        </w:rPr>
        <w:t xml:space="preserve">The OIA Model</w:t>
      </w:r>
    </w:p>
    <w:p>
      <w:pPr>
        <w:spacing w:after="160" w:before="0"/>
        <w:jc w:val="center"/>
      </w:pPr>
      <w:r>
        <w:rPr>
          <w:rFonts w:ascii="Helvetica Neue" w:cs="Helvetica Neue" w:eastAsia="Helvetica Neue" w:hAnsi="Helvetica Neue"/>
          <w:b w:val="false"/>
          <w:bCs w:val="false"/>
          <w:i w:val="false"/>
          <w:iCs w:val="false"/>
          <w:caps w:val="false"/>
          <w:color w:val="1C1C1E"/>
          <w:sz w:val="32"/>
          <w:szCs w:val="32"/>
        </w:rPr>
        <w:t xml:space="preserve">Open Intelligence Architecture</w:t>
      </w:r>
    </w:p>
    <w:p>
      <w:pPr>
        <w:spacing w:after="240" w:before="0"/>
      </w:pPr>
      <w:r>
        <w:t xml:space="preserve"/>
      </w:r>
    </w:p>
    <w:p>
      <w:pPr>
        <w:spacing w:after="120" w:before="0"/>
        <w:jc w:val="center"/>
      </w:pPr>
      <w:r>
        <w:rPr>
          <w:rFonts w:ascii="Helvetica Neue" w:cs="Helvetica Neue" w:eastAsia="Helvetica Neue" w:hAnsi="Helvetica Neue"/>
          <w:b w:val="false"/>
          <w:bCs w:val="false"/>
          <w:i w:val="false"/>
          <w:iCs w:val="false"/>
          <w:caps w:val="false"/>
          <w:color w:val="6E6E73"/>
          <w:sz w:val="22"/>
          <w:szCs w:val="22"/>
        </w:rPr>
        <w:t xml:space="preserve">A Reference Model for Enterprise Intelligence Systems</w:t>
      </w:r>
    </w:p>
    <w:p>
      <w:pPr>
        <w:spacing w:after="4800" w:before="0"/>
      </w:pPr>
      <w:r>
        <w:t xml:space="preserve"/>
      </w:r>
    </w:p>
    <w:p>
      <w:pPr>
        <w:spacing w:after="80" w:before="0"/>
        <w:jc w:val="center"/>
      </w:pPr>
      <w:r>
        <w:rPr>
          <w:rFonts w:ascii="Helvetica Neue" w:cs="Helvetica Neue" w:eastAsia="Helvetica Neue" w:hAnsi="Helvetica Neue"/>
          <w:b w:val="false"/>
          <w:bCs w:val="false"/>
          <w:i w:val="false"/>
          <w:iCs w:val="false"/>
          <w:caps w:val="false"/>
          <w:color w:val="6E6E73"/>
          <w:sz w:val="18"/>
          <w:szCs w:val="18"/>
        </w:rPr>
        <w:t xml:space="preserve">Version 0.1</w:t>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2026</w:t>
      </w:r>
    </w:p>
    <w:p>
      <w:r>
        <w:br w:type="page"/>
      </w:r>
    </w:p>
    <w:p>
      <w:pPr>
        <w:spacing w:after="6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FOREWORD</w:t>
      </w:r>
    </w:p>
    <w:p>
      <w:pPr>
        <w:spacing w:after="240" w:before="0"/>
      </w:pPr>
      <w:r>
        <w:t xml:space="preserve"/>
      </w:r>
    </w:p>
    <w:p>
      <w:pPr>
        <w:spacing w:after="40" w:before="0"/>
        <w:jc w:val="center"/>
      </w:pPr>
      <w:r>
        <w:rPr>
          <w:rFonts w:ascii="Helvetica Neue" w:cs="Helvetica Neue" w:eastAsia="Helvetica Neue" w:hAnsi="Helvetica Neue"/>
          <w:b w:val="false"/>
          <w:bCs w:val="false"/>
          <w:i w:val="false"/>
          <w:iCs w:val="false"/>
          <w:caps w:val="false"/>
          <w:color w:val="1C1C1E"/>
          <w:sz w:val="22"/>
          <w:szCs w:val="22"/>
        </w:rPr>
        <w:t xml:space="preserve">by Reuven Cohen</w:t>
      </w:r>
    </w:p>
    <w:p>
      <w:pPr>
        <w:spacing w:after="600" w:before="0"/>
        <w:jc w:val="center"/>
      </w:pPr>
      <w:r>
        <w:rPr>
          <w:rFonts w:ascii="Helvetica Neue" w:cs="Helvetica Neue" w:eastAsia="Helvetica Neue" w:hAnsi="Helvetica Neue"/>
          <w:b w:val="false"/>
          <w:bCs w:val="false"/>
          <w:i w:val="false"/>
          <w:iCs w:val="false"/>
          <w:caps w:val="false"/>
          <w:color w:val="6E6E73"/>
          <w:sz w:val="18"/>
          <w:szCs w:val="18"/>
        </w:rPr>
        <w:t xml:space="preserve">Founder, Agentics Foundation</w:t>
      </w:r>
    </w:p>
    <w:p>
      <w:pPr>
        <w:spacing w:after="240" w:before="0" w:line="360"/>
        <w:jc w:val="left"/>
      </w:pPr>
      <w:r>
        <w:rPr>
          <w:rFonts w:ascii="Georgia" w:cs="Georgia" w:eastAsia="Georgia" w:hAnsi="Georgia"/>
          <w:color w:val="1C1C1E"/>
          <w:sz w:val="24"/>
          <w:szCs w:val="24"/>
        </w:rPr>
        <w:t xml:space="preserve">Every time computing has shifted fundamentally — from mainframe to client-server, from on-premises to cloud, from applications to services — the industry has needed a new reference architecture. Not because the old ones were wrong, but because they stopped describing the shape of the problem.</w:t>
      </w:r>
    </w:p>
    <w:p>
      <w:pPr>
        <w:spacing w:after="240" w:before="0" w:line="360"/>
        <w:jc w:val="left"/>
      </w:pPr>
      <w:r>
        <w:rPr>
          <w:rFonts w:ascii="Georgia" w:cs="Georgia" w:eastAsia="Georgia" w:hAnsi="Georgia"/>
          <w:color w:val="1C1C1E"/>
          <w:sz w:val="24"/>
          <w:szCs w:val="24"/>
        </w:rPr>
        <w:t xml:space="preserve">We are in one of those moments now.</w:t>
      </w:r>
    </w:p>
    <w:p>
      <w:pPr>
        <w:spacing w:after="240" w:before="0" w:line="360"/>
        <w:jc w:val="left"/>
      </w:pPr>
      <w:r>
        <w:rPr>
          <w:rFonts w:ascii="Georgia" w:cs="Georgia" w:eastAsia="Georgia" w:hAnsi="Georgia"/>
          <w:color w:val="1C1C1E"/>
          <w:sz w:val="24"/>
          <w:szCs w:val="24"/>
        </w:rPr>
        <w:t xml:space="preserve">The architectures that served us through the data era and the applications era cannot organise what is coming next. Intelligent systems don't behave like applications. They remember. They learn. They act with consequence. They make judgments whose reasoning must be inspected, audited, and defended. And increasingly, they operate autonomously inside organisations that need sovereignty over the compute, the data, the decisions, and the energy that power them.</w:t>
      </w:r>
    </w:p>
    <w:p>
      <w:pPr>
        <w:spacing w:after="240" w:before="0" w:line="360"/>
        <w:jc w:val="left"/>
      </w:pPr>
      <w:r>
        <w:rPr>
          <w:rFonts w:ascii="Georgia" w:cs="Georgia" w:eastAsia="Georgia" w:hAnsi="Georgia"/>
          <w:color w:val="1C1C1E"/>
          <w:sz w:val="24"/>
          <w:szCs w:val="24"/>
        </w:rPr>
        <w:t xml:space="preserve">Ask any enterprise architect working on production AI deployment what framework they are using. You'll get a different answer every time. Some extend cloud reference architectures upward. Some stretch cybersecurity frameworks sideways. Some build entirely bespoke stacks from first principles. None of them are wrong — but none of them are organising the same problem. That is the definition of a missing reference model.</w:t>
      </w:r>
    </w:p>
    <w:p>
      <w:pPr>
        <w:spacing w:after="240" w:before="0" w:line="360"/>
        <w:jc w:val="left"/>
      </w:pPr>
      <w:r>
        <w:rPr>
          <w:rFonts w:ascii="Georgia" w:cs="Georgia" w:eastAsia="Georgia" w:hAnsi="Georgia"/>
          <w:color w:val="1C1C1E"/>
          <w:sz w:val="24"/>
          <w:szCs w:val="24"/>
        </w:rPr>
        <w:t xml:space="preserve">The OIA Model — Open Intelligence Architecture — is the Agentics Foundation's answer to that gap. Nine layers, from physical compute at the bottom to the human and browser interface at the top, with a continuity fabric at Layer 8 that addresses what no existing framework does: persistent memory, safe learning, and verifiable judgment inside the agent itself.</w:t>
      </w:r>
    </w:p>
    <w:p>
      <w:pPr>
        <w:spacing w:after="240" w:before="0" w:line="360"/>
        <w:jc w:val="left"/>
      </w:pPr>
      <w:r>
        <w:rPr>
          <w:rFonts w:ascii="Georgia" w:cs="Georgia" w:eastAsia="Georgia" w:hAnsi="Georgia"/>
          <w:color w:val="1C1C1E"/>
          <w:sz w:val="24"/>
          <w:szCs w:val="24"/>
        </w:rPr>
        <w:t xml:space="preserve">Why publish it now? Three reasons. First, because the gap is no longer theoretical — enterprises are deploying intelligent systems at scale without a shared structural language to describe what they are deploying. Second, because the threat surface has expanded faster than the defensive vocabulary. When frontier models can autonomously discover zero-day vulnerabilities and when deployed agents can exhibit behaviours their operators did not anticipate, the industry needs a common map before it can build common defences. Third, because reference models are most valuable when they are published early, before any single vendor's architecture becomes the default by accident.</w:t>
      </w:r>
    </w:p>
    <w:p>
      <w:pPr>
        <w:spacing w:after="240" w:before="0" w:line="360"/>
        <w:jc w:val="left"/>
      </w:pPr>
      <w:r>
        <w:rPr>
          <w:rFonts w:ascii="Georgia" w:cs="Georgia" w:eastAsia="Georgia" w:hAnsi="Georgia"/>
          <w:color w:val="1C1C1E"/>
          <w:sz w:val="24"/>
          <w:szCs w:val="24"/>
        </w:rPr>
        <w:t xml:space="preserve">The OIA Model is not a product. It is not a methodology. It is a reference architecture — open, vendor-neutral, and intended to outlast any specific technology wave. Like OSI before it, the goal is a shared structural vocabulary that lets practitioners, vendors, regulators, and researchers talk about the same thing when they say intelligence.</w:t>
      </w:r>
    </w:p>
    <w:p>
      <w:pPr>
        <w:spacing w:after="240" w:before="0" w:line="360"/>
        <w:jc w:val="left"/>
      </w:pPr>
      <w:r>
        <w:rPr>
          <w:rFonts w:ascii="Georgia" w:cs="Georgia" w:eastAsia="Georgia" w:hAnsi="Georgia"/>
          <w:color w:val="1C1C1E"/>
          <w:sz w:val="24"/>
          <w:szCs w:val="24"/>
        </w:rPr>
        <w:t xml:space="preserve">We invite the industry to adopt it, extend it, and challenge it. That is how reference models become foundational.</w:t>
      </w:r>
    </w:p>
    <w:p>
      <w:pPr>
        <w:spacing w:after="400" w:before="0"/>
      </w:pPr>
      <w:r>
        <w:t xml:space="preserve"/>
      </w:r>
    </w:p>
    <w:p>
      <w:pPr>
        <w:spacing w:after="40" w:before="0"/>
        <w:jc w:val="center"/>
      </w:pPr>
      <w:r>
        <w:rPr>
          <w:rFonts w:ascii="Helvetica Neue" w:cs="Helvetica Neue" w:eastAsia="Helvetica Neue" w:hAnsi="Helvetica Neue"/>
          <w:b w:val="false"/>
          <w:bCs w:val="false"/>
          <w:i w:val="false"/>
          <w:iCs w:val="false"/>
          <w:caps w:val="false"/>
          <w:color w:val="1C1C1E"/>
          <w:sz w:val="20"/>
          <w:szCs w:val="20"/>
        </w:rPr>
        <w:t xml:space="preserve">Reuven Cohen</w:t>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Agentics Foundation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 Introduction</w:t>
      </w:r>
    </w:p>
    <w:p>
      <w:pPr>
        <w:spacing w:after="200" w:before="0" w:line="340"/>
        <w:jc w:val="left"/>
      </w:pPr>
      <w:r>
        <w:rPr>
          <w:rFonts w:ascii="Georgia" w:cs="Georgia" w:eastAsia="Georgia" w:hAnsi="Georgia"/>
          <w:color w:val="1C1C1E"/>
          <w:sz w:val="22"/>
          <w:szCs w:val="22"/>
        </w:rPr>
        <w:t xml:space="preserve">The OIA Model defines a reference architecture for organising intelligent systems within enterprise environments. It describes nine layers, from physical compute to the human and browser interface, and the relationships between them. It is published by the Agentics Foundation as a vendor-neutral, open specification intended for practitioners, vendors, regulators, and researchers working on the deployment of intelligent systems at scale.</w:t>
      </w:r>
    </w:p>
    <w:p>
      <w:pPr>
        <w:pStyle w:val="Heading2"/>
        <w:keepNext/>
        <w:spacing w:after="200" w:before="480"/>
      </w:pPr>
      <w:r>
        <w:rPr>
          <w:rFonts w:ascii="Helvetica Neue" w:cs="Helvetica Neue" w:eastAsia="Helvetica Neue" w:hAnsi="Helvetica Neue"/>
          <w:b w:val="false"/>
          <w:bCs w:val="false"/>
          <w:color w:val="000000"/>
          <w:sz w:val="26"/>
          <w:szCs w:val="26"/>
        </w:rPr>
        <w:t xml:space="preserve">1.1 Purpose</w:t>
      </w:r>
    </w:p>
    <w:p>
      <w:pPr>
        <w:spacing w:after="200" w:before="0" w:line="340"/>
        <w:jc w:val="left"/>
      </w:pPr>
      <w:r>
        <w:rPr>
          <w:rFonts w:ascii="Georgia" w:cs="Georgia" w:eastAsia="Georgia" w:hAnsi="Georgia"/>
          <w:color w:val="1C1C1E"/>
          <w:sz w:val="22"/>
          <w:szCs w:val="22"/>
        </w:rPr>
        <w:t xml:space="preserve">The purpose of the OIA Model is to provide a shared structural vocabulary for enterprise intelligence. It is not a product, a methodology, a compliance framework, or a specific technology stack. It is a reference model — in the sense established by ISO/IEC 7498 for open systems interconnection and by the National Institute of Standards and Technology for cybersecurity — intended to outlast any single technology wave and to remain useful across successive generations of intelligent systems.</w:t>
      </w:r>
    </w:p>
    <w:p>
      <w:pPr>
        <w:spacing w:after="200" w:before="0" w:line="340"/>
        <w:jc w:val="left"/>
      </w:pPr>
      <w:r>
        <w:rPr>
          <w:rFonts w:ascii="Georgia" w:cs="Georgia" w:eastAsia="Georgia" w:hAnsi="Georgia"/>
          <w:color w:val="1C1C1E"/>
          <w:sz w:val="22"/>
          <w:szCs w:val="22"/>
        </w:rPr>
        <w:t xml:space="preserve">The model addresses a gap in existing reference architectures. Frameworks that organise networking, data, applications, and cybersecurity do not organise intelligence. Intelligent systems introduce concerns that prior reference models do not address: persistent memory across sessions, safe on-device learning, verifiable decision audit trails, autonomous orchestration of tools and workflows, and the continuous perception of operational context. The OIA Model defines nine layers precisely because these concerns require explicit structural positions, not retrofitted extensions of existing frameworks.</w:t>
      </w:r>
    </w:p>
    <w:p>
      <w:pPr>
        <w:pStyle w:val="Heading2"/>
        <w:keepNext/>
        <w:spacing w:after="200" w:before="480"/>
      </w:pPr>
      <w:r>
        <w:rPr>
          <w:rFonts w:ascii="Helvetica Neue" w:cs="Helvetica Neue" w:eastAsia="Helvetica Neue" w:hAnsi="Helvetica Neue"/>
          <w:b w:val="false"/>
          <w:bCs w:val="false"/>
          <w:color w:val="000000"/>
          <w:sz w:val="26"/>
          <w:szCs w:val="26"/>
        </w:rPr>
        <w:t xml:space="preserve">1.2 Scope</w:t>
      </w:r>
    </w:p>
    <w:p>
      <w:pPr>
        <w:spacing w:after="200" w:before="0" w:line="340"/>
        <w:jc w:val="left"/>
      </w:pPr>
      <w:r>
        <w:rPr>
          <w:rFonts w:ascii="Georgia" w:cs="Georgia" w:eastAsia="Georgia" w:hAnsi="Georgia"/>
          <w:color w:val="1C1C1E"/>
          <w:sz w:val="22"/>
          <w:szCs w:val="22"/>
        </w:rPr>
        <w:t xml:space="preserve">The model applies to any system in which machine intelligence — including but not limited to large language models, agentic systems, and successor technologies — operates inside an organisational boundary and participates in decisions, actions, or workflows of consequence. It is equally applicable to systems deployed on public cloud infrastructure, in sovereign or private environments, at the edge, and in hybrid configurations.</w:t>
      </w:r>
    </w:p>
    <w:p>
      <w:pPr>
        <w:spacing w:after="200" w:before="0" w:line="340"/>
        <w:jc w:val="left"/>
      </w:pPr>
      <w:r>
        <w:rPr>
          <w:rFonts w:ascii="Georgia" w:cs="Georgia" w:eastAsia="Georgia" w:hAnsi="Georgia"/>
          <w:color w:val="1C1C1E"/>
          <w:sz w:val="22"/>
          <w:szCs w:val="22"/>
        </w:rPr>
        <w:t xml:space="preserve">The model is deliberately technology-agnostic. It does not prescribe vendors, products, or implementations at any layer. Reference technologies are cited where they illustrate a layer's concerns, but the model's validity does not depend on the continued availability of any specific technology.</w:t>
      </w:r>
    </w:p>
    <w:p>
      <w:pPr>
        <w:pStyle w:val="Heading2"/>
        <w:keepNext/>
        <w:spacing w:after="200" w:before="480"/>
      </w:pPr>
      <w:r>
        <w:rPr>
          <w:rFonts w:ascii="Helvetica Neue" w:cs="Helvetica Neue" w:eastAsia="Helvetica Neue" w:hAnsi="Helvetica Neue"/>
          <w:b w:val="false"/>
          <w:bCs w:val="false"/>
          <w:color w:val="000000"/>
          <w:sz w:val="26"/>
          <w:szCs w:val="26"/>
        </w:rPr>
        <w:t xml:space="preserve">1.3 Thesis</w:t>
      </w:r>
    </w:p>
    <w:p>
      <w:pPr>
        <w:spacing w:after="200" w:before="0" w:line="340"/>
        <w:jc w:val="left"/>
      </w:pPr>
      <w:r>
        <w:rPr>
          <w:rFonts w:ascii="Georgia" w:cs="Georgia" w:eastAsia="Georgia" w:hAnsi="Georgia"/>
          <w:color w:val="1C1C1E"/>
          <w:sz w:val="22"/>
          <w:szCs w:val="22"/>
        </w:rPr>
        <w:t xml:space="preserve">The central thesis of the OIA Model is that enterprise intelligence has a structural shape that cannot be captured by extending architectures designed for data or applications. Intelligent systems differ from prior computing paradigms in three ways that require explicit architectural recognition. They are persistent, maintaining state and learned behaviour across interactions. They are autonomous, acting with goals and judgment that may exceed what was explicitly instructed. And they are consequential, producing outputs and actions whose correctness, accountability, and auditability must be demonstrable to the organisations that deploy them.</w:t>
      </w:r>
    </w:p>
    <w:p>
      <w:pPr>
        <w:spacing w:after="200" w:before="0" w:line="340"/>
        <w:jc w:val="left"/>
      </w:pPr>
      <w:r>
        <w:rPr>
          <w:rFonts w:ascii="Georgia" w:cs="Georgia" w:eastAsia="Georgia" w:hAnsi="Georgia"/>
          <w:color w:val="1C1C1E"/>
          <w:sz w:val="22"/>
          <w:szCs w:val="22"/>
        </w:rPr>
        <w:t xml:space="preserve">A reference architecture that does not make structural space for persistence, autonomy, and consequence will fail to organise the systems it is meant to describe. The OIA Model makes that space explicit — at Layer 8 in particular, the Continuity Fabric — and distributes related concerns across the layers above and below it.</w:t>
      </w:r>
    </w:p>
    <w:p>
      <w:pPr>
        <w:pStyle w:val="Heading2"/>
        <w:keepNext/>
        <w:spacing w:after="200" w:before="480"/>
      </w:pPr>
      <w:r>
        <w:rPr>
          <w:rFonts w:ascii="Helvetica Neue" w:cs="Helvetica Neue" w:eastAsia="Helvetica Neue" w:hAnsi="Helvetica Neue"/>
          <w:b w:val="false"/>
          <w:bCs w:val="false"/>
          <w:color w:val="000000"/>
          <w:sz w:val="26"/>
          <w:szCs w:val="26"/>
        </w:rPr>
        <w:t xml:space="preserve">1.4 Document Structure</w:t>
      </w:r>
    </w:p>
    <w:p>
      <w:pPr>
        <w:spacing w:after="200" w:before="0" w:line="340"/>
        <w:jc w:val="left"/>
      </w:pPr>
      <w:r>
        <w:rPr>
          <w:rFonts w:ascii="Georgia" w:cs="Georgia" w:eastAsia="Georgia" w:hAnsi="Georgia"/>
          <w:color w:val="1C1C1E"/>
          <w:sz w:val="22"/>
          <w:szCs w:val="22"/>
        </w:rPr>
        <w:t xml:space="preserve">This document is organised into eighteen sections. Section 2 describes the intellectual foundations on which the OIA Model rests, including the reference architectures it inherits from and the contemporary context in which it is published. Section 3 presents the nine layers in overview, with a reference table and architectural diagram. Sections 4 through 13 define each layer individually, following a consistent structure: purpose, scope, key concerns, reference technologies and frameworks, and open questions. Section 14 addresses cross-layer concerns — the horizontal spans that cut across multiple layers, including security, sovereignty, auditability, energy, identity, and provenance. Section 15 positions the OIA Model relative to other reference architectures. Section 16 provides adoption guidance. Sections 17 and 18 contain the glossary and references respectively. An Appendix acknowledges contributors and will be completed following community review.</w:t>
      </w:r>
    </w:p>
    <w:p>
      <w:pPr>
        <w:pStyle w:val="Heading2"/>
        <w:keepNext/>
        <w:spacing w:after="200" w:before="480"/>
      </w:pPr>
      <w:r>
        <w:rPr>
          <w:rFonts w:ascii="Helvetica Neue" w:cs="Helvetica Neue" w:eastAsia="Helvetica Neue" w:hAnsi="Helvetica Neue"/>
          <w:b w:val="false"/>
          <w:bCs w:val="false"/>
          <w:color w:val="000000"/>
          <w:sz w:val="26"/>
          <w:szCs w:val="26"/>
        </w:rPr>
        <w:t xml:space="preserve">1.5 Audience</w:t>
      </w:r>
    </w:p>
    <w:p>
      <w:pPr>
        <w:spacing w:after="200" w:before="0" w:line="340"/>
        <w:jc w:val="left"/>
      </w:pPr>
      <w:r>
        <w:rPr>
          <w:rFonts w:ascii="Georgia" w:cs="Georgia" w:eastAsia="Georgia" w:hAnsi="Georgia"/>
          <w:color w:val="1C1C1E"/>
          <w:sz w:val="22"/>
          <w:szCs w:val="22"/>
        </w:rPr>
        <w:t xml:space="preserve">The OIA Model is intended for four primary audiences. Enterprise architects use it to organise the design of production intelligent systems. Vendors use it to position products within a shared structural vocabulary. Regulators and policy-makers use it to locate specific requirements at specific layers. Researchers use it to identify gaps, propose extensions, and situate new work within a common framework. The document is written to serve all four audiences without privileging any one of them.</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2. Foundations</w:t>
      </w:r>
    </w:p>
    <w:p>
      <w:pPr>
        <w:spacing w:after="200" w:before="0" w:line="340"/>
        <w:jc w:val="left"/>
      </w:pPr>
      <w:r>
        <w:rPr>
          <w:rFonts w:ascii="Georgia" w:cs="Georgia" w:eastAsia="Georgia" w:hAnsi="Georgia"/>
          <w:color w:val="1C1C1E"/>
          <w:sz w:val="22"/>
          <w:szCs w:val="22"/>
        </w:rPr>
        <w:t xml:space="preserve">The OIA Model does not originate in isolation. It inherits from a lineage of reference architectures developed over four decades and responds to a specific contemporary context in which the deployment of intelligent systems has outpaced the architectural vocabulary available to describe them. This section establishes the intellectual foundations on which the model rests and the circumstances that make its publication necessary now.</w:t>
      </w:r>
    </w:p>
    <w:p>
      <w:pPr>
        <w:pStyle w:val="Heading2"/>
        <w:keepNext/>
        <w:spacing w:after="200" w:before="480"/>
      </w:pPr>
      <w:r>
        <w:rPr>
          <w:rFonts w:ascii="Helvetica Neue" w:cs="Helvetica Neue" w:eastAsia="Helvetica Neue" w:hAnsi="Helvetica Neue"/>
          <w:b w:val="false"/>
          <w:bCs w:val="false"/>
          <w:color w:val="000000"/>
          <w:sz w:val="26"/>
          <w:szCs w:val="26"/>
        </w:rPr>
        <w:t xml:space="preserve">2.1 Reference Architecture Lineage</w:t>
      </w:r>
    </w:p>
    <w:p>
      <w:pPr>
        <w:spacing w:after="200" w:before="0" w:line="340"/>
        <w:jc w:val="left"/>
      </w:pPr>
      <w:r>
        <w:rPr>
          <w:rFonts w:ascii="Georgia" w:cs="Georgia" w:eastAsia="Georgia" w:hAnsi="Georgia"/>
          <w:color w:val="1C1C1E"/>
          <w:sz w:val="22"/>
          <w:szCs w:val="22"/>
        </w:rPr>
        <w:t xml:space="preserve">The OIA Model draws from four established reference architectures, each of which organises a distinct domain of concern and each of which has demonstrated durability across multiple technology generations.</w:t>
      </w:r>
    </w:p>
    <w:p>
      <w:pPr>
        <w:spacing w:after="200" w:before="0" w:line="340"/>
        <w:jc w:val="left"/>
      </w:pPr>
      <w:r>
        <w:rPr>
          <w:rFonts w:ascii="Georgia" w:cs="Georgia" w:eastAsia="Georgia" w:hAnsi="Georgia"/>
          <w:b/>
          <w:bCs/>
          <w:color w:val="1C1C1E"/>
          <w:sz w:val="22"/>
          <w:szCs w:val="22"/>
        </w:rPr>
        <w:t xml:space="preserve">ISO/IEC 7498: The Open Systems Interconnection Reference Model. </w:t>
      </w:r>
      <w:r>
        <w:rPr>
          <w:rFonts w:ascii="Georgia" w:cs="Georgia" w:eastAsia="Georgia" w:hAnsi="Georgia"/>
          <w:color w:val="1C1C1E"/>
          <w:sz w:val="22"/>
          <w:szCs w:val="22"/>
        </w:rPr>
        <w:t xml:space="preserve">Published in 1984, the OSI Model established the pattern that every subsequent reference architecture has followed: layered abstraction, explicit separation of concerns, and vendor-neutral institutional framing. The OSI Model organised networking by defining seven layers of increasing abstraction, each with defined responsibilities and interfaces. Its durability — the model remains in active use as structural vocabulary four decades after the protocols it originally specified were displaced — demonstrates the value of naming the structural shape of a problem rather than the specific technologies that solve it at any given moment. The OIA Model adopts this pattern directly.</w:t>
      </w:r>
    </w:p>
    <w:p>
      <w:pPr>
        <w:spacing w:after="200" w:before="0" w:line="340"/>
        <w:jc w:val="left"/>
      </w:pPr>
      <w:r>
        <w:rPr>
          <w:rFonts w:ascii="Georgia" w:cs="Georgia" w:eastAsia="Georgia" w:hAnsi="Georgia"/>
          <w:b/>
          <w:bCs/>
          <w:color w:val="1C1C1E"/>
          <w:sz w:val="22"/>
          <w:szCs w:val="22"/>
        </w:rPr>
        <w:t xml:space="preserve">NIST Cybersecurity Framework. </w:t>
      </w:r>
      <w:r>
        <w:rPr>
          <w:rFonts w:ascii="Georgia" w:cs="Georgia" w:eastAsia="Georgia" w:hAnsi="Georgia"/>
          <w:color w:val="1C1C1E"/>
          <w:sz w:val="22"/>
          <w:szCs w:val="22"/>
        </w:rPr>
        <w:t xml:space="preserve">First published in 2014 and revised in 2018 and 2024, the NIST CSF organises cybersecurity around five functions: Identify, Protect, Detect, Respond, and Recover. Its contribution is less structural than cognitive — it provides a shared vocabulary for discussing cybersecurity posture across organisations, vendors, and regulators. The OIA Model inherits the NIST CSF's emphasis on cross-organisational vocabulary and its discipline of defining functions and concerns without prescribing implementations.</w:t>
      </w:r>
    </w:p>
    <w:p>
      <w:pPr>
        <w:spacing w:after="200" w:before="0" w:line="340"/>
        <w:jc w:val="left"/>
      </w:pPr>
      <w:r>
        <w:rPr>
          <w:rFonts w:ascii="Georgia" w:cs="Georgia" w:eastAsia="Georgia" w:hAnsi="Georgia"/>
          <w:b/>
          <w:bCs/>
          <w:color w:val="1C1C1E"/>
          <w:sz w:val="22"/>
          <w:szCs w:val="22"/>
        </w:rPr>
        <w:t xml:space="preserve">MITRE ATLAS. </w:t>
      </w:r>
      <w:r>
        <w:rPr>
          <w:rFonts w:ascii="Georgia" w:cs="Georgia" w:eastAsia="Georgia" w:hAnsi="Georgia"/>
          <w:color w:val="1C1C1E"/>
          <w:sz w:val="22"/>
          <w:szCs w:val="22"/>
        </w:rPr>
        <w:t xml:space="preserve">The Adversarial Threat Landscape for Artificial-Intelligence Systems, maintained by the MITRE Corporation, provides a structured taxonomy of adversarial techniques against machine learning and AI systems. ATLAS is not a reference architecture in the OSI sense — it catalogues threats rather than organising concerns — but it establishes that intelligent systems have a threat surface distinct from that of applications and networks, and that the surface requires its own structured description. The OIA Model incorporates threat-surface considerations into the definition of each layer, informed by the ATLAS taxonomy.</w:t>
      </w:r>
    </w:p>
    <w:p>
      <w:pPr>
        <w:spacing w:after="200" w:before="0" w:line="340"/>
        <w:jc w:val="left"/>
      </w:pPr>
      <w:r>
        <w:rPr>
          <w:rFonts w:ascii="Georgia" w:cs="Georgia" w:eastAsia="Georgia" w:hAnsi="Georgia"/>
          <w:b/>
          <w:bCs/>
          <w:color w:val="1C1C1E"/>
          <w:sz w:val="22"/>
          <w:szCs w:val="22"/>
        </w:rPr>
        <w:t xml:space="preserve">NIST AI Risk Management Framework (AI RMF 1.0). </w:t>
      </w:r>
      <w:r>
        <w:rPr>
          <w:rFonts w:ascii="Georgia" w:cs="Georgia" w:eastAsia="Georgia" w:hAnsi="Georgia"/>
          <w:color w:val="1C1C1E"/>
          <w:sz w:val="22"/>
          <w:szCs w:val="22"/>
        </w:rPr>
        <w:t xml:space="preserve">Published in 2023, the NIST AI RMF organises AI risk around four functions: Govern, Map, Measure, and Manage. It establishes that AI systems introduce governance and risk concerns not captured by prior cybersecurity or IT risk frameworks, and it provides a structured approach to addressing them. The OIA Model treats the AI RMF as authoritative on the governance dimension of intelligent systems and integrates its concerns into the cross-layer spans defined in Section 14.</w:t>
      </w:r>
    </w:p>
    <w:p>
      <w:pPr>
        <w:spacing w:after="200" w:before="0" w:line="340"/>
        <w:jc w:val="left"/>
      </w:pPr>
      <w:r>
        <w:rPr>
          <w:rFonts w:ascii="Georgia" w:cs="Georgia" w:eastAsia="Georgia" w:hAnsi="Georgia"/>
          <w:color w:val="1C1C1E"/>
          <w:sz w:val="22"/>
          <w:szCs w:val="22"/>
        </w:rPr>
        <w:t xml:space="preserve">Additional sources consulted in the development of the OIA Model include the OWASP Top 10 for Large Language Model Applications, the EU Artificial Intelligence Act, ISO/IEC 42001 (AI Management Systems), and the emerging body of work on agentic system specifications including the Model Context Protocol and related interoperability standards.</w:t>
      </w:r>
    </w:p>
    <w:p>
      <w:pPr>
        <w:pStyle w:val="Heading2"/>
        <w:keepNext/>
        <w:spacing w:after="200" w:before="480"/>
      </w:pPr>
      <w:r>
        <w:rPr>
          <w:rFonts w:ascii="Helvetica Neue" w:cs="Helvetica Neue" w:eastAsia="Helvetica Neue" w:hAnsi="Helvetica Neue"/>
          <w:b w:val="false"/>
          <w:bCs w:val="false"/>
          <w:color w:val="000000"/>
          <w:sz w:val="26"/>
          <w:szCs w:val="26"/>
        </w:rPr>
        <w:t xml:space="preserve">2.2 Contemporary Context</w:t>
      </w:r>
    </w:p>
    <w:p>
      <w:pPr>
        <w:spacing w:after="200" w:before="0" w:line="340"/>
        <w:jc w:val="left"/>
      </w:pPr>
      <w:r>
        <w:rPr>
          <w:rFonts w:ascii="Georgia" w:cs="Georgia" w:eastAsia="Georgia" w:hAnsi="Georgia"/>
          <w:color w:val="1C1C1E"/>
          <w:sz w:val="22"/>
          <w:szCs w:val="22"/>
        </w:rPr>
        <w:t xml:space="preserve">The publication of the OIA Model in 2026 is not incidental. Three developments in the preceding eighteen months have made the absence of a reference architecture for enterprise intelligence an operational problem rather than a theoretical one.</w:t>
      </w:r>
    </w:p>
    <w:p>
      <w:pPr>
        <w:spacing w:after="200" w:before="0" w:line="340"/>
        <w:jc w:val="left"/>
      </w:pPr>
      <w:r>
        <w:rPr>
          <w:rFonts w:ascii="Georgia" w:cs="Georgia" w:eastAsia="Georgia" w:hAnsi="Georgia"/>
          <w:b/>
          <w:bCs/>
          <w:color w:val="1C1C1E"/>
          <w:sz w:val="22"/>
          <w:szCs w:val="22"/>
        </w:rPr>
        <w:t xml:space="preserve">Frontier model capability expansion. </w:t>
      </w:r>
      <w:r>
        <w:rPr>
          <w:rFonts w:ascii="Georgia" w:cs="Georgia" w:eastAsia="Georgia" w:hAnsi="Georgia"/>
          <w:color w:val="1C1C1E"/>
          <w:sz w:val="22"/>
          <w:szCs w:val="22"/>
        </w:rPr>
        <w:t xml:space="preserve">In April 2026, Anthropic published the Mythos System Card documenting a frontier model with measurably superior cyber vulnerability detection capabilities, including the autonomous discovery of zero-day vulnerabilities in widely deployed operating systems, browsers, and infrastructure components. The disclosure confirmed that intelligent systems have crossed a threshold of offensive capability that the defensive ecosystem has not yet matched. The associated Project Glasswing initiative, involving twelve partner organisations including major cloud providers, semiconductor vendors, and financial institutions, signalled industry recognition that the window between vulnerability discovery and exploitation has collapsed from months to minutes.</w:t>
      </w:r>
    </w:p>
    <w:p>
      <w:pPr>
        <w:spacing w:after="200" w:before="0" w:line="340"/>
        <w:jc w:val="left"/>
      </w:pPr>
      <w:r>
        <w:rPr>
          <w:rFonts w:ascii="Georgia" w:cs="Georgia" w:eastAsia="Georgia" w:hAnsi="Georgia"/>
          <w:b/>
          <w:bCs/>
          <w:color w:val="1C1C1E"/>
          <w:sz w:val="22"/>
          <w:szCs w:val="22"/>
        </w:rPr>
        <w:t xml:space="preserve">Agentic deployment at scale. </w:t>
      </w:r>
      <w:r>
        <w:rPr>
          <w:rFonts w:ascii="Georgia" w:cs="Georgia" w:eastAsia="Georgia" w:hAnsi="Georgia"/>
          <w:color w:val="1C1C1E"/>
          <w:sz w:val="22"/>
          <w:szCs w:val="22"/>
        </w:rPr>
        <w:t xml:space="preserve">Enterprise adoption of agentic systems — intelligent systems that act autonomously on behalf of users or organisations — has moved from experimentation to production across multiple regulated sectors including financial services, healthcare, defence, and critical infrastructure. Organisations deploying these systems have encountered a practical absence: no shared reference architecture describes what they are deploying, where components should sit, what concerns each component must address, or how to evaluate vendor offerings against a common structural vocabulary. The result has been architectural fragmentation, with individual organisations building bespoke stacks that share no common vocabulary with their peers, regulators, or vendors.</w:t>
      </w:r>
    </w:p>
    <w:p>
      <w:pPr>
        <w:spacing w:after="200" w:before="0" w:line="340"/>
        <w:jc w:val="left"/>
      </w:pPr>
      <w:r>
        <w:rPr>
          <w:rFonts w:ascii="Georgia" w:cs="Georgia" w:eastAsia="Georgia" w:hAnsi="Georgia"/>
          <w:b/>
          <w:bCs/>
          <w:color w:val="1C1C1E"/>
          <w:sz w:val="22"/>
          <w:szCs w:val="22"/>
        </w:rPr>
        <w:t xml:space="preserve">Alignment and governance concerns. </w:t>
      </w:r>
      <w:r>
        <w:rPr>
          <w:rFonts w:ascii="Georgia" w:cs="Georgia" w:eastAsia="Georgia" w:hAnsi="Georgia"/>
          <w:color w:val="1C1C1E"/>
          <w:sz w:val="22"/>
          <w:szCs w:val="22"/>
        </w:rPr>
        <w:t xml:space="preserve">Contemporary disclosures from frontier AI laboratories have documented behaviours in deployed models that complicate conventional assumptions about system control and auditability. These include instances of models exhibiting behaviours their operators did not anticipate, including strategic concealment, unauthorised capability expansion, and continued pursuit of objectives after explicit instruction to stop. Whether these behaviours are rare edge cases or harbingers of broader patterns, they establish that intelligent systems require architectural provisions for verifiable judgment and decision auditability that prior frameworks do not explicitly address.</w:t>
      </w:r>
    </w:p>
    <w:p>
      <w:pPr>
        <w:spacing w:after="200" w:before="0" w:line="340"/>
        <w:jc w:val="left"/>
      </w:pPr>
      <w:r>
        <w:rPr>
          <w:rFonts w:ascii="Georgia" w:cs="Georgia" w:eastAsia="Georgia" w:hAnsi="Georgia"/>
          <w:color w:val="1C1C1E"/>
          <w:sz w:val="22"/>
          <w:szCs w:val="22"/>
        </w:rPr>
        <w:t xml:space="preserve">These developments do not define the OIA Model, which is intended to outlast them. They establish the context in which the model's publication is timely and necessary.</w:t>
      </w:r>
    </w:p>
    <w:p>
      <w:pPr>
        <w:pStyle w:val="Heading2"/>
        <w:keepNext/>
        <w:spacing w:after="200" w:before="480"/>
      </w:pPr>
      <w:r>
        <w:rPr>
          <w:rFonts w:ascii="Helvetica Neue" w:cs="Helvetica Neue" w:eastAsia="Helvetica Neue" w:hAnsi="Helvetica Neue"/>
          <w:b w:val="false"/>
          <w:bCs w:val="false"/>
          <w:color w:val="000000"/>
          <w:sz w:val="26"/>
          <w:szCs w:val="26"/>
        </w:rPr>
        <w:t xml:space="preserve">2.3 Defining Properties of Intelligent Systems</w:t>
      </w:r>
    </w:p>
    <w:p>
      <w:pPr>
        <w:spacing w:after="200" w:before="0" w:line="340"/>
        <w:jc w:val="left"/>
      </w:pPr>
      <w:r>
        <w:rPr>
          <w:rFonts w:ascii="Georgia" w:cs="Georgia" w:eastAsia="Georgia" w:hAnsi="Georgia"/>
          <w:color w:val="1C1C1E"/>
          <w:sz w:val="22"/>
          <w:szCs w:val="22"/>
        </w:rPr>
        <w:t xml:space="preserve">Building on the thesis stated in Section 1.3, the OIA Model identifies three properties of intelligent systems that require explicit architectural recognition and that jointly motivate the nine-layer structure.</w:t>
      </w:r>
    </w:p>
    <w:p>
      <w:pPr>
        <w:spacing w:after="200" w:before="0" w:line="340"/>
        <w:jc w:val="left"/>
      </w:pPr>
      <w:r>
        <w:rPr>
          <w:rFonts w:ascii="Georgia" w:cs="Georgia" w:eastAsia="Georgia" w:hAnsi="Georgia"/>
          <w:b/>
          <w:bCs/>
          <w:color w:val="1C1C1E"/>
          <w:sz w:val="22"/>
          <w:szCs w:val="22"/>
        </w:rPr>
        <w:t xml:space="preserve">Persistence. </w:t>
      </w:r>
      <w:r>
        <w:rPr>
          <w:rFonts w:ascii="Georgia" w:cs="Georgia" w:eastAsia="Georgia" w:hAnsi="Georgia"/>
          <w:color w:val="1C1C1E"/>
          <w:sz w:val="22"/>
          <w:szCs w:val="22"/>
        </w:rPr>
        <w:t xml:space="preserve">Intelligent systems maintain state — including memory, learned behaviour, and accumulated context — across interactions, sessions, and lifecycles. This property distinguishes them from stateless applications and from conventional data systems whose state is explicit, declarative, and directly auditable. Persistence creates architectural requirements around memory integrity, learning constraints, state verification, and cross-session continuity that are addressed primarily at Layer 8 (Continuity Fabric) and secondarily at Layer 3 (Agent Data Substrate).</w:t>
      </w:r>
    </w:p>
    <w:p>
      <w:pPr>
        <w:spacing w:after="200" w:before="0" w:line="340"/>
        <w:jc w:val="left"/>
      </w:pPr>
      <w:r>
        <w:rPr>
          <w:rFonts w:ascii="Georgia" w:cs="Georgia" w:eastAsia="Georgia" w:hAnsi="Georgia"/>
          <w:b/>
          <w:bCs/>
          <w:color w:val="1C1C1E"/>
          <w:sz w:val="22"/>
          <w:szCs w:val="22"/>
        </w:rPr>
        <w:t xml:space="preserve">Autonomy. </w:t>
      </w:r>
      <w:r>
        <w:rPr>
          <w:rFonts w:ascii="Georgia" w:cs="Georgia" w:eastAsia="Georgia" w:hAnsi="Georgia"/>
          <w:color w:val="1C1C1E"/>
          <w:sz w:val="22"/>
          <w:szCs w:val="22"/>
        </w:rPr>
        <w:t xml:space="preserve">Intelligent systems act with degrees of autonomy — executing tools, invoking services, making decisions, and pursuing goals — that exceed the parameters of traditional application behaviour. Autonomy creates architectural requirements around intent verification, action auditability, behavioural constraint, and the verification of alignment between declared and actual behaviour. These requirements are addressed primarily at Layer 7 (Orchestration and Workflow) and distributed across Layers 5 through 9.</w:t>
      </w:r>
    </w:p>
    <w:p>
      <w:pPr>
        <w:spacing w:after="200" w:before="0" w:line="340"/>
        <w:jc w:val="left"/>
      </w:pPr>
      <w:r>
        <w:rPr>
          <w:rFonts w:ascii="Georgia" w:cs="Georgia" w:eastAsia="Georgia" w:hAnsi="Georgia"/>
          <w:b/>
          <w:bCs/>
          <w:color w:val="1C1C1E"/>
          <w:sz w:val="22"/>
          <w:szCs w:val="22"/>
        </w:rPr>
        <w:t xml:space="preserve">Consequence. </w:t>
      </w:r>
      <w:r>
        <w:rPr>
          <w:rFonts w:ascii="Georgia" w:cs="Georgia" w:eastAsia="Georgia" w:hAnsi="Georgia"/>
          <w:color w:val="1C1C1E"/>
          <w:sz w:val="22"/>
          <w:szCs w:val="22"/>
        </w:rPr>
        <w:t xml:space="preserve">Intelligent systems produce outputs and take actions whose correctness, accountability, and auditability must be demonstrable to the organisations that deploy them. Consequence creates architectural requirements that cut across every layer of the model and are addressed in the cross-layer spans defined in Section 14, particularly those addressing auditability, sovereignty, and accountability.</w:t>
      </w:r>
    </w:p>
    <w:p>
      <w:pPr>
        <w:pStyle w:val="Heading2"/>
        <w:keepNext/>
        <w:spacing w:after="200" w:before="480"/>
      </w:pPr>
      <w:r>
        <w:rPr>
          <w:rFonts w:ascii="Helvetica Neue" w:cs="Helvetica Neue" w:eastAsia="Helvetica Neue" w:hAnsi="Helvetica Neue"/>
          <w:b w:val="false"/>
          <w:bCs w:val="false"/>
          <w:color w:val="000000"/>
          <w:sz w:val="26"/>
          <w:szCs w:val="26"/>
        </w:rPr>
        <w:t xml:space="preserve">2.4 Out of Scope</w:t>
      </w:r>
    </w:p>
    <w:p>
      <w:pPr>
        <w:spacing w:after="200" w:before="0" w:line="340"/>
        <w:jc w:val="left"/>
      </w:pPr>
      <w:r>
        <w:rPr>
          <w:rFonts w:ascii="Georgia" w:cs="Georgia" w:eastAsia="Georgia" w:hAnsi="Georgia"/>
          <w:color w:val="1C1C1E"/>
          <w:sz w:val="22"/>
          <w:szCs w:val="22"/>
        </w:rPr>
        <w:t xml:space="preserve">The OIA Model does not address several categories of concern that, while related to intelligent systems, fall outside its architectural remit.</w:t>
      </w:r>
    </w:p>
    <w:p>
      <w:pPr>
        <w:spacing w:after="200" w:before="0" w:line="340"/>
        <w:jc w:val="left"/>
      </w:pPr>
      <w:r>
        <w:rPr>
          <w:rFonts w:ascii="Georgia" w:cs="Georgia" w:eastAsia="Georgia" w:hAnsi="Georgia"/>
          <w:color w:val="1C1C1E"/>
          <w:sz w:val="22"/>
          <w:szCs w:val="22"/>
        </w:rPr>
        <w:t xml:space="preserve">The model does not prescribe specific technologies, vendors, or implementations at any layer. Reference technologies cited in layer definitions are illustrative, not normative.</w:t>
      </w:r>
    </w:p>
    <w:p>
      <w:pPr>
        <w:spacing w:after="200" w:before="0" w:line="340"/>
        <w:jc w:val="left"/>
      </w:pPr>
      <w:r>
        <w:rPr>
          <w:rFonts w:ascii="Georgia" w:cs="Georgia" w:eastAsia="Georgia" w:hAnsi="Georgia"/>
          <w:color w:val="1C1C1E"/>
          <w:sz w:val="22"/>
          <w:szCs w:val="22"/>
        </w:rPr>
        <w:t xml:space="preserve">The model does not address social, ethical, or policy dimensions of intelligent systems beyond their architectural expression. Where governance, risk, and compliance concerns have architectural implications — such as the requirement for verifiable decision audit trails — those implications are addressed within the relevant layer. Broader considerations are the domain of frameworks such as the NIST AI RMF, ISO/IEC 42001, and jurisdiction-specific regulatory instruments.</w:t>
      </w:r>
    </w:p>
    <w:p>
      <w:pPr>
        <w:spacing w:after="200" w:before="0" w:line="340"/>
        <w:jc w:val="left"/>
      </w:pPr>
      <w:r>
        <w:rPr>
          <w:rFonts w:ascii="Georgia" w:cs="Georgia" w:eastAsia="Georgia" w:hAnsi="Georgia"/>
          <w:color w:val="1C1C1E"/>
          <w:sz w:val="22"/>
          <w:szCs w:val="22"/>
        </w:rPr>
        <w:t xml:space="preserve">The model does not address the internal architecture of intelligent systems themselves — the design of model architectures, training methodologies, or algorithmic approaches. These are the domain of research literature and vendor specifications. The OIA Model treats the internal architecture of intelligent systems as a black box whose external properties (persistence, autonomy, consequence) are what the model organises.</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3. The OIA Model: Overview</w:t>
      </w:r>
    </w:p>
    <w:p>
      <w:pPr>
        <w:spacing w:after="200" w:before="0" w:line="340"/>
        <w:jc w:val="left"/>
      </w:pPr>
      <w:r>
        <w:rPr>
          <w:rFonts w:ascii="Georgia" w:cs="Georgia" w:eastAsia="Georgia" w:hAnsi="Georgia"/>
          <w:color w:val="1C1C1E"/>
          <w:sz w:val="22"/>
          <w:szCs w:val="22"/>
        </w:rPr>
        <w:t xml:space="preserve">The OIA Model organises the concerns of enterprise intelligent systems into nine layers, numbered 0 through 9 from the physical foundation to the human interface. Each layer has a defined purpose, scope, and set of concerns that are addressed in detail in Sections 4 through 13. This section presents the nine layers in overview, establishes the reference table for the model, and describes the architectural relationships between the layers.</w:t>
      </w:r>
    </w:p>
    <w:p>
      <w:pPr>
        <w:pStyle w:val="Heading2"/>
        <w:keepNext/>
        <w:spacing w:after="200" w:before="480"/>
      </w:pPr>
      <w:r>
        <w:rPr>
          <w:rFonts w:ascii="Helvetica Neue" w:cs="Helvetica Neue" w:eastAsia="Helvetica Neue" w:hAnsi="Helvetica Neue"/>
          <w:b w:val="false"/>
          <w:bCs w:val="false"/>
          <w:color w:val="000000"/>
          <w:sz w:val="26"/>
          <w:szCs w:val="26"/>
        </w:rPr>
        <w:t xml:space="preserve">3.1 Layer Numbering and Orientation</w:t>
      </w:r>
    </w:p>
    <w:p>
      <w:pPr>
        <w:spacing w:after="200" w:before="0" w:line="340"/>
        <w:jc w:val="left"/>
      </w:pPr>
      <w:r>
        <w:rPr>
          <w:rFonts w:ascii="Georgia" w:cs="Georgia" w:eastAsia="Georgia" w:hAnsi="Georgia"/>
          <w:color w:val="1C1C1E"/>
          <w:sz w:val="22"/>
          <w:szCs w:val="22"/>
        </w:rPr>
        <w:t xml:space="preserve">The OIA Model uses bottom-up numbering consistent with the OSI reference model. Layer 0 is the physical compute foundation; Layer 9 is the human and browser interface at which people and intelligent systems interact. Lower-numbered layers provide foundational capabilities consumed by higher-numbered layers. Higher-numbered layers depend on the correct functioning of layers beneath them but do not specify their implementation.</w:t>
      </w:r>
    </w:p>
    <w:p>
      <w:pPr>
        <w:spacing w:after="200" w:before="0" w:line="340"/>
        <w:jc w:val="left"/>
      </w:pPr>
      <w:r>
        <w:rPr>
          <w:rFonts w:ascii="Georgia" w:cs="Georgia" w:eastAsia="Georgia" w:hAnsi="Georgia"/>
          <w:color w:val="1C1C1E"/>
          <w:sz w:val="22"/>
          <w:szCs w:val="22"/>
        </w:rPr>
        <w:t xml:space="preserve">The model begins at Layer 0 rather than Layer 1 to explicitly acknowledge the physical substrate of intelligent systems. Unlike networking, where the physical layer can be treated as an abstraction for most architectural purposes, enterprise intelligence is deeply shaped by physical compute constraints including energy availability, semiconductor supply, and the geographic location of the hardware. Layer 0 is numbered as such to make this foundational dependency architecturally explicit.</w:t>
      </w:r>
    </w:p>
    <w:p>
      <w:pPr>
        <w:pStyle w:val="Heading2"/>
        <w:keepNext/>
        <w:spacing w:after="200" w:before="480"/>
      </w:pPr>
      <w:r>
        <w:rPr>
          <w:rFonts w:ascii="Helvetica Neue" w:cs="Helvetica Neue" w:eastAsia="Helvetica Neue" w:hAnsi="Helvetica Neue"/>
          <w:b w:val="false"/>
          <w:bCs w:val="false"/>
          <w:color w:val="000000"/>
          <w:sz w:val="26"/>
          <w:szCs w:val="26"/>
        </w:rPr>
        <w:t xml:space="preserve">3.2 The Nine Layers</w:t>
      </w:r>
    </w:p>
    <w:p>
      <w:pPr>
        <w:spacing w:after="200" w:before="0" w:line="340"/>
        <w:jc w:val="left"/>
      </w:pPr>
      <w:r>
        <w:rPr>
          <w:rFonts w:ascii="Georgia" w:cs="Georgia" w:eastAsia="Georgia" w:hAnsi="Georgia"/>
          <w:color w:val="1C1C1E"/>
          <w:sz w:val="22"/>
          <w:szCs w:val="22"/>
        </w:rPr>
        <w:t xml:space="preserve">The nine layers of the OIA Model are presented in the reference table that follows.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1C1C1E" w:sz="8"/>
              <w:left w:val="none" w:color="FFFFFF" w:sz="0"/>
              <w:bottom w:val="single" w:color="1C1C1E" w:sz="8"/>
              <w:right w:val="none" w:color="FFFFFF" w:sz="0"/>
            </w:tcBorders>
            <w:tcMar>
              <w:top w:type="dxa" w:w="200"/>
              <w:left w:type="dxa" w:w="160"/>
              <w:bottom w:type="dxa" w:w="200"/>
              <w:right w:type="dxa" w:w="160"/>
            </w:tcMar>
          </w:tcPr>
          <w:p>
            <w:pPr>
              <w:spacing w:after="0" w:before="0" w:line="300"/>
              <w:jc w:val="left"/>
            </w:pPr>
            <w:r>
              <w:rPr>
                <w:rFonts w:ascii="Helvetica Neue" w:cs="Helvetica Neue" w:eastAsia="Helvetica Neue" w:hAnsi="Helvetica Neue"/>
                <w:b/>
                <w:bCs/>
                <w:color w:val="6E6E73"/>
                <w:sz w:val="18"/>
                <w:szCs w:val="18"/>
              </w:rPr>
              <w:t xml:space="preserve">LAYER</w:t>
            </w:r>
          </w:p>
        </w:tc>
        <w:tc>
          <w:tcPr>
            <w:tcW w:type="dxa" w:w="2700"/>
            <w:tcBorders>
              <w:top w:val="single" w:color="1C1C1E" w:sz="8"/>
              <w:left w:val="none" w:color="FFFFFF" w:sz="0"/>
              <w:bottom w:val="single" w:color="1C1C1E" w:sz="8"/>
              <w:right w:val="none" w:color="FFFFFF" w:sz="0"/>
            </w:tcBorders>
            <w:tcMar>
              <w:top w:type="dxa" w:w="200"/>
              <w:left w:type="dxa" w:w="160"/>
              <w:bottom w:type="dxa" w:w="200"/>
              <w:right w:type="dxa" w:w="160"/>
            </w:tcMar>
          </w:tcPr>
          <w:p>
            <w:pPr>
              <w:spacing w:after="0" w:before="0" w:line="300"/>
              <w:jc w:val="left"/>
            </w:pPr>
            <w:r>
              <w:rPr>
                <w:rFonts w:ascii="Helvetica Neue" w:cs="Helvetica Neue" w:eastAsia="Helvetica Neue" w:hAnsi="Helvetica Neue"/>
                <w:b w:val="false"/>
                <w:bCs w:val="false"/>
                <w:color w:val="6E6E73"/>
                <w:sz w:val="18"/>
                <w:szCs w:val="18"/>
              </w:rPr>
              <w:t xml:space="preserve">NAME</w:t>
            </w:r>
          </w:p>
        </w:tc>
        <w:tc>
          <w:tcPr>
            <w:tcW w:type="dxa" w:w="5760"/>
            <w:tcBorders>
              <w:top w:val="single" w:color="1C1C1E" w:sz="8"/>
              <w:left w:val="none" w:color="FFFFFF" w:sz="0"/>
              <w:bottom w:val="single" w:color="1C1C1E" w:sz="8"/>
              <w:right w:val="none" w:color="FFFFFF" w:sz="0"/>
            </w:tcBorders>
            <w:tcMar>
              <w:top w:type="dxa" w:w="200"/>
              <w:left w:type="dxa" w:w="160"/>
              <w:bottom w:type="dxa" w:w="200"/>
              <w:right w:type="dxa" w:w="160"/>
            </w:tcMar>
          </w:tcPr>
          <w:p>
            <w:pPr>
              <w:spacing w:after="0" w:before="0" w:line="300"/>
              <w:jc w:val="left"/>
            </w:pPr>
            <w:r>
              <w:rPr>
                <w:rFonts w:ascii="Helvetica Neue" w:cs="Helvetica Neue" w:eastAsia="Helvetica Neue" w:hAnsi="Helvetica Neue"/>
                <w:b w:val="false"/>
                <w:bCs w:val="false"/>
                <w:color w:val="6E6E73"/>
                <w:sz w:val="18"/>
                <w:szCs w:val="18"/>
              </w:rPr>
              <w:t xml:space="preserve">PRIMARY PURPOSE</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9</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Human and Browser Interface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surface at which humans and intelligent systems interact, including conversational interfaces, browser-based agent environments, and the emerging class of ambient intelligent interfaces.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8</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Continuity Fabric</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active layer at which the cognitive state of intelligent systems — memory, learning, judgment, identity — is preserved, verified, and carried through the transitions the stack undergoes.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7</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Orchestration and Workflow</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coordination of tools, services, and multi-step workflows executed by intelligent systems. The layer that addresses the autonomy property most directly.</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6</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Context and Knowledge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retrieval, grounding, and continuous perception of operational context, including retrieval-augmented generation, knowledge bases, and emerging forms of environmental sensing.</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5</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Inference and Retrieval</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execution of model inference and the retrieval operations that support it, including streaming, batched, and edge inference patterns.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4</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Model Training and Adaptation</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training, fine-tuning, and continuous adaptation of intelligent models, including pre-training, post-training, reinforcement learning from feedback, and on-device adaptation with safety constraints.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3</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Agent Data Substrate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persistent, auditable, and access-controlled data environment on which intelligent systems operate, including transactional data, embeddings, vector stores, and the data residency and sovereignty concerns that govern them.</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2</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Sovereign Infrastructure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platform-level compute, storage, and networking infrastructure on which intelligent systems are deployed, with explicit treatment of jurisdictional, operational, and energy sovereignty concerns.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1</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Silicon Abstraction</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layer that abstracts hardware diversity — GPUs, TPUs, neuromorphic accelerators, edge silicon, and emerging quantum-classical hybrid systems — behind portable runtimes and instruction sets.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0</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Physical Compute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physical semiconductor, energy, and facility substrate on which all higher layers depend, including the supply chain, power, cooling, and geographic siting of compute resources.</w:t>
            </w:r>
          </w:p>
        </w:tc>
      </w:tr>
    </w:tbl>
    <w:p>
      <w:pPr>
        <w:spacing w:after="400" w:before="0"/>
      </w:pPr>
      <w:r>
        <w:t xml:space="preserve"/>
      </w:r>
    </w:p>
    <w:p>
      <w:pPr>
        <w:pStyle w:val="Heading2"/>
        <w:keepNext/>
        <w:spacing w:after="200" w:before="480"/>
      </w:pPr>
      <w:r>
        <w:rPr>
          <w:rFonts w:ascii="Helvetica Neue" w:cs="Helvetica Neue" w:eastAsia="Helvetica Neue" w:hAnsi="Helvetica Neue"/>
          <w:b w:val="false"/>
          <w:bCs w:val="false"/>
          <w:color w:val="000000"/>
          <w:sz w:val="26"/>
          <w:szCs w:val="26"/>
        </w:rPr>
        <w:t xml:space="preserve">3.3 Architectural Relationships</w:t>
      </w:r>
    </w:p>
    <w:p>
      <w:pPr>
        <w:spacing w:after="200" w:before="0" w:line="340"/>
        <w:jc w:val="left"/>
      </w:pPr>
      <w:r>
        <w:rPr>
          <w:rFonts w:ascii="Georgia" w:cs="Georgia" w:eastAsia="Georgia" w:hAnsi="Georgia"/>
          <w:color w:val="1C1C1E"/>
          <w:sz w:val="22"/>
          <w:szCs w:val="22"/>
        </w:rPr>
        <w:t xml:space="preserve">The nine layers are related in three distinct ways, each of which has architectural implications.</w:t>
      </w:r>
    </w:p>
    <w:p>
      <w:pPr>
        <w:spacing w:after="200" w:before="0" w:line="340"/>
        <w:jc w:val="left"/>
      </w:pPr>
      <w:r>
        <w:rPr>
          <w:rFonts w:ascii="Georgia" w:cs="Georgia" w:eastAsia="Georgia" w:hAnsi="Georgia"/>
          <w:b/>
          <w:bCs/>
          <w:color w:val="1C1C1E"/>
          <w:sz w:val="22"/>
          <w:szCs w:val="22"/>
        </w:rPr>
        <w:t xml:space="preserve">Vertical dependency. </w:t>
      </w:r>
      <w:r>
        <w:rPr>
          <w:rFonts w:ascii="Georgia" w:cs="Georgia" w:eastAsia="Georgia" w:hAnsi="Georgia"/>
          <w:color w:val="1C1C1E"/>
          <w:sz w:val="22"/>
          <w:szCs w:val="22"/>
        </w:rPr>
        <w:t xml:space="preserve">Each layer depends on the correct functioning of the layers beneath it. A failure at Layer 2 (Sovereign Infrastructure) propagates upward to affect every layer above it. This is the most familiar pattern in layered reference architectures and follows the OSI convention directly.</w:t>
      </w:r>
    </w:p>
    <w:p>
      <w:pPr>
        <w:spacing w:after="200" w:before="0" w:line="340"/>
        <w:jc w:val="left"/>
      </w:pPr>
      <w:r>
        <w:rPr>
          <w:rFonts w:ascii="Georgia" w:cs="Georgia" w:eastAsia="Georgia" w:hAnsi="Georgia"/>
          <w:b/>
          <w:bCs/>
          <w:color w:val="1C1C1E"/>
          <w:sz w:val="22"/>
          <w:szCs w:val="22"/>
        </w:rPr>
        <w:t xml:space="preserve">Paired state layers. </w:t>
      </w:r>
      <w:r>
        <w:rPr>
          <w:rFonts w:ascii="Georgia" w:cs="Georgia" w:eastAsia="Georgia" w:hAnsi="Georgia"/>
          <w:color w:val="1C1C1E"/>
          <w:sz w:val="22"/>
          <w:szCs w:val="22"/>
        </w:rPr>
        <w:t xml:space="preserve">Layer 3 (Agent Data Substrate) and Layer 8 (Continuity Fabric) are the model's two state-holding layers. Layer 3 persists the data on which intelligent systems operate; Layer 8 preserves the cognitive state that intelligent systems develop. The two layers have different architectural character — Layer 3 is a foundational substrate that holds data for other layers to consume, while Layer 8 is an active fabric that maintains continuity of memory, learning, and judgment across change — and the difference in their names reflects this difference in function. Together they bracket the operational layers (4 through 7) of the model, which depend on both forms of state.</w:t>
      </w:r>
    </w:p>
    <w:p>
      <w:pPr>
        <w:spacing w:after="200" w:before="0" w:line="340"/>
        <w:jc w:val="left"/>
      </w:pPr>
      <w:r>
        <w:rPr>
          <w:rFonts w:ascii="Georgia" w:cs="Georgia" w:eastAsia="Georgia" w:hAnsi="Georgia"/>
          <w:b/>
          <w:bCs/>
          <w:color w:val="1C1C1E"/>
          <w:sz w:val="22"/>
          <w:szCs w:val="22"/>
        </w:rPr>
        <w:t xml:space="preserve">Cross-layer concerns. </w:t>
      </w:r>
      <w:r>
        <w:rPr>
          <w:rFonts w:ascii="Georgia" w:cs="Georgia" w:eastAsia="Georgia" w:hAnsi="Georgia"/>
          <w:color w:val="1C1C1E"/>
          <w:sz w:val="22"/>
          <w:szCs w:val="22"/>
        </w:rPr>
        <w:t xml:space="preserve">Several classes of concern — security, sovereignty, auditability, energy, identity, and provenance — cannot be localised to a single layer. These are addressed as horizontal spans in Section 14, which defines the cross-layer concerns that cut across multiple layers of the model and the architectural patterns that address them.</w:t>
      </w:r>
    </w:p>
    <w:p>
      <w:pPr>
        <w:pStyle w:val="Heading2"/>
        <w:keepNext/>
        <w:spacing w:after="200" w:before="480"/>
      </w:pPr>
      <w:r>
        <w:rPr>
          <w:rFonts w:ascii="Helvetica Neue" w:cs="Helvetica Neue" w:eastAsia="Helvetica Neue" w:hAnsi="Helvetica Neue"/>
          <w:b w:val="false"/>
          <w:bCs w:val="false"/>
          <w:color w:val="000000"/>
          <w:sz w:val="26"/>
          <w:szCs w:val="26"/>
        </w:rPr>
        <w:t xml:space="preserve">3.4 The OIA Model Diagram</w:t>
      </w:r>
    </w:p>
    <w:p>
      <w:pPr>
        <w:spacing w:after="200" w:before="0" w:line="340"/>
        <w:jc w:val="left"/>
      </w:pPr>
      <w:r>
        <w:rPr>
          <w:rFonts w:ascii="Georgia" w:cs="Georgia" w:eastAsia="Georgia" w:hAnsi="Georgia"/>
          <w:color w:val="1C1C1E"/>
          <w:sz w:val="22"/>
          <w:szCs w:val="22"/>
        </w:rPr>
        <w:t xml:space="preserve">The architectural diagram of the OIA Model, to be included in the illustrated edition, shows the nine layers stacked vertically, with Layer 0 at the base and Layer 9 at the top. The relationship between Layer 3 (Agent Data Substrate) and Layer 8 (Continuity Fabric) as the two state-holding layers is expressed visually through the operational layers (4 through 7) being shown as bracketed between them. The cross-layer spans defined in Section 14 are shown as horizontal bands intersecting the vertical layer stack at the points where they apply.</w:t>
      </w:r>
    </w:p>
    <w:p>
      <w:pPr>
        <w:spacing w:after="200" w:before="0" w:line="340"/>
        <w:jc w:val="left"/>
      </w:pPr>
      <w:r>
        <w:rPr>
          <w:rFonts w:ascii="Georgia" w:cs="Georgia" w:eastAsia="Georgia" w:hAnsi="Georgia"/>
          <w:color w:val="1C1C1E"/>
          <w:sz w:val="22"/>
          <w:szCs w:val="22"/>
        </w:rPr>
        <w:t xml:space="preserve">The diagram also indicates the three defining properties of intelligent systems introduced in Section 2.3 — persistence, autonomy, and consequence — and the layers at which each property is most directly addressed. Persistence is anchored at Layer 8 and supported at Layers 3 and 4. Autonomy is anchored at Layer 7 and distributed across Layers 5 through 9. Consequence cuts across every layer and is expressed through the cross-layer spans.</w:t>
      </w:r>
    </w:p>
    <w:p>
      <w:pPr>
        <w:pStyle w:val="Heading2"/>
        <w:keepNext/>
        <w:spacing w:after="200" w:before="480"/>
      </w:pPr>
      <w:r>
        <w:rPr>
          <w:rFonts w:ascii="Helvetica Neue" w:cs="Helvetica Neue" w:eastAsia="Helvetica Neue" w:hAnsi="Helvetica Neue"/>
          <w:b w:val="false"/>
          <w:bCs w:val="false"/>
          <w:color w:val="000000"/>
          <w:sz w:val="26"/>
          <w:szCs w:val="26"/>
        </w:rPr>
        <w:t xml:space="preserve">3.5 How to Read the Layer Definitions</w:t>
      </w:r>
    </w:p>
    <w:p>
      <w:pPr>
        <w:spacing w:after="200" w:before="0" w:line="340"/>
        <w:jc w:val="left"/>
      </w:pPr>
      <w:r>
        <w:rPr>
          <w:rFonts w:ascii="Georgia" w:cs="Georgia" w:eastAsia="Georgia" w:hAnsi="Georgia"/>
          <w:color w:val="1C1C1E"/>
          <w:sz w:val="22"/>
          <w:szCs w:val="22"/>
        </w:rPr>
        <w:t xml:space="preserve">Sections 4 through 13 define each layer individually using a consistent structure. Each layer definition includes a Purpose subsection describing the specific architectural function the layer performs; a Scope subsection describing what the layer includes and, where useful, what it explicitly excludes; a Key Concerns subsection describing the properties the layer must satisfy to be correctly implemented; a Reference Technologies and Frameworks subsection providing vendor-neutral citations of current implementations, standards, and practices that illustrate the layer's scope; and an Open Questions subsection naming areas where architectural consensus has not yet emerged and where the layer definition may require revision in future versions of the model.</w:t>
      </w:r>
    </w:p>
    <w:p>
      <w:pPr>
        <w:spacing w:after="200" w:before="0" w:line="340"/>
        <w:jc w:val="left"/>
      </w:pPr>
      <w:r>
        <w:rPr>
          <w:rFonts w:ascii="Georgia" w:cs="Georgia" w:eastAsia="Georgia" w:hAnsi="Georgia"/>
          <w:color w:val="1C1C1E"/>
          <w:sz w:val="22"/>
          <w:szCs w:val="22"/>
        </w:rPr>
        <w:t xml:space="preserve">The Open Questions subsection of each layer is intentional. Reference architectures that present themselves as complete invite criticism by claiming more certainty than the domain supports. Naming open questions explicitly signals intellectual honesty and creates the conditions for the model to evolve through community contribution.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4. Layer 0: Physical Compute</w:t>
      </w:r>
    </w:p>
    <w:p>
      <w:pPr>
        <w:pStyle w:val="Heading2"/>
        <w:keepNext/>
        <w:spacing w:after="200" w:before="480"/>
      </w:pPr>
      <w:r>
        <w:rPr>
          <w:rFonts w:ascii="Helvetica Neue" w:cs="Helvetica Neue" w:eastAsia="Helvetica Neue" w:hAnsi="Helvetica Neue"/>
          <w:b w:val="false"/>
          <w:bCs w:val="false"/>
          <w:color w:val="000000"/>
          <w:sz w:val="26"/>
          <w:szCs w:val="26"/>
        </w:rPr>
        <w:t xml:space="preserve">4.1 Purpose</w:t>
      </w:r>
    </w:p>
    <w:p>
      <w:pPr>
        <w:spacing w:after="200" w:before="0" w:line="340"/>
        <w:jc w:val="left"/>
      </w:pPr>
      <w:r>
        <w:rPr>
          <w:rFonts w:ascii="Georgia" w:cs="Georgia" w:eastAsia="Georgia" w:hAnsi="Georgia"/>
          <w:color w:val="1C1C1E"/>
          <w:sz w:val="22"/>
          <w:szCs w:val="22"/>
        </w:rPr>
        <w:t xml:space="preserve">Layer 0 comprises the physical semiconductor, energy, and facility substrate on which all higher layers of the OIA Model depend. It is the foundational layer at which architectural decisions about location, power, cooling, supply chain, and physical access are made. The layer is numbered 0 rather than 1 to make explicit the foundational dependency of enterprise intelligence on physical constraints that cannot be abstracted away at higher layers.</w:t>
      </w:r>
    </w:p>
    <w:p>
      <w:pPr>
        <w:spacing w:after="200" w:before="0" w:line="340"/>
        <w:jc w:val="left"/>
      </w:pPr>
      <w:r>
        <w:rPr>
          <w:rFonts w:ascii="Georgia" w:cs="Georgia" w:eastAsia="Georgia" w:hAnsi="Georgia"/>
          <w:color w:val="1C1C1E"/>
          <w:sz w:val="22"/>
          <w:szCs w:val="22"/>
        </w:rPr>
        <w:t xml:space="preserve">Unlike networking, where the physical layer can be treated as a largely interchangeable foundation, enterprise intelligence is deeply shaped by Layer 0 concerns. The availability, cost, and geographic distribution of high-density compute; the supply of specialised accelerator silicon; the energy intensity of model training and inference; and the physical security of the compute environment all propagate upward through the model and constrain what is architecturally possible at higher layers.</w:t>
      </w:r>
    </w:p>
    <w:p>
      <w:pPr>
        <w:pStyle w:val="Heading2"/>
        <w:keepNext/>
        <w:spacing w:after="200" w:before="480"/>
      </w:pPr>
      <w:r>
        <w:rPr>
          <w:rFonts w:ascii="Helvetica Neue" w:cs="Helvetica Neue" w:eastAsia="Helvetica Neue" w:hAnsi="Helvetica Neue"/>
          <w:b w:val="false"/>
          <w:bCs w:val="false"/>
          <w:color w:val="000000"/>
          <w:sz w:val="26"/>
          <w:szCs w:val="26"/>
        </w:rPr>
        <w:t xml:space="preserve">4.2 Scope</w:t>
      </w:r>
    </w:p>
    <w:p>
      <w:pPr>
        <w:spacing w:after="200" w:before="0" w:line="340"/>
        <w:jc w:val="left"/>
      </w:pPr>
      <w:r>
        <w:rPr>
          <w:rFonts w:ascii="Georgia" w:cs="Georgia" w:eastAsia="Georgia" w:hAnsi="Georgia"/>
          <w:color w:val="1C1C1E"/>
          <w:sz w:val="22"/>
          <w:szCs w:val="22"/>
        </w:rPr>
        <w:t xml:space="preserve">Layer 0 includes the semiconductor substrate on which intelligent systems execute, including general-purpose processors, graphics processing units, tensor processing units, neuromorphic accelerators, specialised inference silicon, and emerging classes of compute hardware including photonic and quantum-classical hybrid systems; the energy infrastructure that powers compute, including grid connection, on-site generation, renewable energy sourcing, power distribution, and the measurement and accounting of energy consumption attributable to specific workloads; the cooling infrastructure required to dissipate heat from high-density compute, including air, liquid, and emerging immersion cooling systems; the physical facilities in which compute is housed, including data centres, colocation environments, edge sites, and increasingly distributed compute locations co-located with energy generation; and the supply chain through which semiconductor and infrastructure components are sourced, including the geopolitical, regulatory, and resilience considerations that govern that supply chain.</w:t>
      </w:r>
    </w:p>
    <w:p>
      <w:pPr>
        <w:spacing w:after="200" w:before="0" w:line="340"/>
        <w:jc w:val="left"/>
      </w:pPr>
      <w:r>
        <w:rPr>
          <w:rFonts w:ascii="Georgia" w:cs="Georgia" w:eastAsia="Georgia" w:hAnsi="Georgia"/>
          <w:color w:val="1C1C1E"/>
          <w:sz w:val="22"/>
          <w:szCs w:val="22"/>
        </w:rPr>
        <w:t xml:space="preserve">Layer 0 explicitly excludes the logical abstractions through which higher layers access compute resources. Instruction sets, runtimes, and hardware-abstraction interfaces are the concern of Layer 1.</w:t>
      </w:r>
    </w:p>
    <w:p>
      <w:pPr>
        <w:pStyle w:val="Heading2"/>
        <w:keepNext/>
        <w:spacing w:after="200" w:before="480"/>
      </w:pPr>
      <w:r>
        <w:rPr>
          <w:rFonts w:ascii="Helvetica Neue" w:cs="Helvetica Neue" w:eastAsia="Helvetica Neue" w:hAnsi="Helvetica Neue"/>
          <w:b w:val="false"/>
          <w:bCs w:val="false"/>
          <w:color w:val="000000"/>
          <w:sz w:val="26"/>
          <w:szCs w:val="26"/>
        </w:rPr>
        <w:t xml:space="preserve">4.3 Key Concerns</w:t>
      </w:r>
    </w:p>
    <w:p>
      <w:pPr>
        <w:spacing w:after="200" w:before="0" w:line="340"/>
        <w:jc w:val="left"/>
      </w:pPr>
      <w:r>
        <w:rPr>
          <w:rFonts w:ascii="Georgia" w:cs="Georgia" w:eastAsia="Georgia" w:hAnsi="Georgia"/>
          <w:color w:val="1C1C1E"/>
          <w:sz w:val="22"/>
          <w:szCs w:val="22"/>
        </w:rPr>
        <w:t xml:space="preserve">Correct implementation of Layer 0 requires attention to six properties.</w:t>
      </w:r>
    </w:p>
    <w:p>
      <w:pPr>
        <w:spacing w:after="200" w:before="0" w:line="340"/>
        <w:jc w:val="left"/>
      </w:pPr>
      <w:r>
        <w:rPr>
          <w:rFonts w:ascii="Georgia" w:cs="Georgia" w:eastAsia="Georgia" w:hAnsi="Georgia"/>
          <w:b/>
          <w:bCs/>
          <w:color w:val="1C1C1E"/>
          <w:sz w:val="22"/>
          <w:szCs w:val="22"/>
        </w:rPr>
        <w:t xml:space="preserve">Availability. </w:t>
      </w:r>
      <w:r>
        <w:rPr>
          <w:rFonts w:ascii="Georgia" w:cs="Georgia" w:eastAsia="Georgia" w:hAnsi="Georgia"/>
          <w:color w:val="1C1C1E"/>
          <w:sz w:val="22"/>
          <w:szCs w:val="22"/>
        </w:rPr>
        <w:t xml:space="preserve">Compute capacity must be reliably available to the workloads that depend on it, with availability characterised not only by uptime but by the sustained power, cooling, and network capacity required for continuous operation of intelligent systems at scale.</w:t>
      </w:r>
    </w:p>
    <w:p>
      <w:pPr>
        <w:spacing w:after="200" w:before="0" w:line="340"/>
        <w:jc w:val="left"/>
      </w:pPr>
      <w:r>
        <w:rPr>
          <w:rFonts w:ascii="Georgia" w:cs="Georgia" w:eastAsia="Georgia" w:hAnsi="Georgia"/>
          <w:b/>
          <w:bCs/>
          <w:color w:val="1C1C1E"/>
          <w:sz w:val="22"/>
          <w:szCs w:val="22"/>
        </w:rPr>
        <w:t xml:space="preserve">Energy sovereignty. </w:t>
      </w:r>
      <w:r>
        <w:rPr>
          <w:rFonts w:ascii="Georgia" w:cs="Georgia" w:eastAsia="Georgia" w:hAnsi="Georgia"/>
          <w:color w:val="1C1C1E"/>
          <w:sz w:val="22"/>
          <w:szCs w:val="22"/>
        </w:rPr>
        <w:t xml:space="preserve">The energy consumed by intelligent systems must be sourced, measured, and accounted for in ways that meet the organisation's sovereignty requirements. For some organisations this means renewable sourcing; for others it means jurisdictional control over the generation; for some it means both.</w:t>
      </w:r>
    </w:p>
    <w:p>
      <w:pPr>
        <w:spacing w:after="200" w:before="0" w:line="340"/>
        <w:jc w:val="left"/>
      </w:pPr>
      <w:r>
        <w:rPr>
          <w:rFonts w:ascii="Georgia" w:cs="Georgia" w:eastAsia="Georgia" w:hAnsi="Georgia"/>
          <w:b/>
          <w:bCs/>
          <w:color w:val="1C1C1E"/>
          <w:sz w:val="22"/>
          <w:szCs w:val="22"/>
        </w:rPr>
        <w:t xml:space="preserve">Geographic siting. </w:t>
      </w:r>
      <w:r>
        <w:rPr>
          <w:rFonts w:ascii="Georgia" w:cs="Georgia" w:eastAsia="Georgia" w:hAnsi="Georgia"/>
          <w:color w:val="1C1C1E"/>
          <w:sz w:val="22"/>
          <w:szCs w:val="22"/>
        </w:rPr>
        <w:t xml:space="preserve">The physical location of compute has architectural consequences for data residency, regulatory compliance, latency, and resilience. Siting decisions are made at Layer 0 and constrain what is achievable at higher layers.</w:t>
      </w:r>
    </w:p>
    <w:p>
      <w:pPr>
        <w:spacing w:after="200" w:before="0" w:line="340"/>
        <w:jc w:val="left"/>
      </w:pPr>
      <w:r>
        <w:rPr>
          <w:rFonts w:ascii="Georgia" w:cs="Georgia" w:eastAsia="Georgia" w:hAnsi="Georgia"/>
          <w:b/>
          <w:bCs/>
          <w:color w:val="1C1C1E"/>
          <w:sz w:val="22"/>
          <w:szCs w:val="22"/>
        </w:rPr>
        <w:t xml:space="preserve">Supply chain resilience. </w:t>
      </w:r>
      <w:r>
        <w:rPr>
          <w:rFonts w:ascii="Georgia" w:cs="Georgia" w:eastAsia="Georgia" w:hAnsi="Georgia"/>
          <w:color w:val="1C1C1E"/>
          <w:sz w:val="22"/>
          <w:szCs w:val="22"/>
        </w:rPr>
        <w:t xml:space="preserve">The semiconductor supply chain is concentrated, geopolitically sensitive, and subject to disruption. Organisations deploying intelligent systems at scale must consider the resilience of their compute supply as an architectural concern, not an operational afterthought.</w:t>
      </w:r>
    </w:p>
    <w:p>
      <w:pPr>
        <w:spacing w:after="200" w:before="0" w:line="340"/>
        <w:jc w:val="left"/>
      </w:pPr>
      <w:r>
        <w:rPr>
          <w:rFonts w:ascii="Georgia" w:cs="Georgia" w:eastAsia="Georgia" w:hAnsi="Georgia"/>
          <w:b/>
          <w:bCs/>
          <w:color w:val="1C1C1E"/>
          <w:sz w:val="22"/>
          <w:szCs w:val="22"/>
        </w:rPr>
        <w:t xml:space="preserve">Physical security. </w:t>
      </w:r>
      <w:r>
        <w:rPr>
          <w:rFonts w:ascii="Georgia" w:cs="Georgia" w:eastAsia="Georgia" w:hAnsi="Georgia"/>
          <w:color w:val="1C1C1E"/>
          <w:sz w:val="22"/>
          <w:szCs w:val="22"/>
        </w:rPr>
        <w:t xml:space="preserve">The compute environment must be physically secured against unauthorised access, tampering, and observation. Physical security is the foundation on which every higher layer's security provisions rest.</w:t>
      </w:r>
    </w:p>
    <w:p>
      <w:pPr>
        <w:spacing w:after="200" w:before="0" w:line="340"/>
        <w:jc w:val="left"/>
      </w:pPr>
      <w:r>
        <w:rPr>
          <w:rFonts w:ascii="Georgia" w:cs="Georgia" w:eastAsia="Georgia" w:hAnsi="Georgia"/>
          <w:b/>
          <w:bCs/>
          <w:color w:val="1C1C1E"/>
          <w:sz w:val="22"/>
          <w:szCs w:val="22"/>
        </w:rPr>
        <w:t xml:space="preserve">Decommissioning and lifecycle. </w:t>
      </w:r>
      <w:r>
        <w:rPr>
          <w:rFonts w:ascii="Georgia" w:cs="Georgia" w:eastAsia="Georgia" w:hAnsi="Georgia"/>
          <w:color w:val="1C1C1E"/>
          <w:sz w:val="22"/>
          <w:szCs w:val="22"/>
        </w:rPr>
        <w:t xml:space="preserve">The physical lifecycle of compute hardware — from commissioning through operation to decommissioning — has security, environmental, and economic implications that must be addressed architecturally rather than only operationally.</w:t>
      </w:r>
    </w:p>
    <w:p>
      <w:pPr>
        <w:pStyle w:val="Heading2"/>
        <w:keepNext/>
        <w:spacing w:after="200" w:before="480"/>
      </w:pPr>
      <w:r>
        <w:rPr>
          <w:rFonts w:ascii="Helvetica Neue" w:cs="Helvetica Neue" w:eastAsia="Helvetica Neue" w:hAnsi="Helvetica Neue"/>
          <w:b w:val="false"/>
          <w:bCs w:val="false"/>
          <w:color w:val="000000"/>
          <w:sz w:val="26"/>
          <w:szCs w:val="26"/>
        </w:rPr>
        <w:t xml:space="preserve">4.4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0 are organised around several distinct patterns.</w:t>
      </w:r>
    </w:p>
    <w:p>
      <w:pPr>
        <w:spacing w:after="200" w:before="0" w:line="340"/>
        <w:jc w:val="left"/>
      </w:pPr>
      <w:r>
        <w:rPr>
          <w:rFonts w:ascii="Georgia" w:cs="Georgia" w:eastAsia="Georgia" w:hAnsi="Georgia"/>
          <w:b/>
          <w:bCs/>
          <w:color w:val="1C1C1E"/>
          <w:sz w:val="22"/>
          <w:szCs w:val="22"/>
        </w:rPr>
        <w:t xml:space="preserve">Hyperscale public cloud infrastructure, </w:t>
      </w:r>
      <w:r>
        <w:rPr>
          <w:rFonts w:ascii="Georgia" w:cs="Georgia" w:eastAsia="Georgia" w:hAnsi="Georgia"/>
          <w:color w:val="1C1C1E"/>
          <w:sz w:val="22"/>
          <w:szCs w:val="22"/>
        </w:rPr>
        <w:t xml:space="preserve">operated by Amazon Web Services, Microsoft Azure, Google Cloud, and their peers, provides Layer 0 as a consumable service. Organisations consuming Layer 0 from hyperscalers trade direct control over siting, energy sourcing, and supply chain in exchange for operational simplicity and global availability.</w:t>
      </w:r>
    </w:p>
    <w:p>
      <w:pPr>
        <w:spacing w:after="200" w:before="0" w:line="340"/>
        <w:jc w:val="left"/>
      </w:pPr>
      <w:r>
        <w:rPr>
          <w:rFonts w:ascii="Georgia" w:cs="Georgia" w:eastAsia="Georgia" w:hAnsi="Georgia"/>
          <w:b/>
          <w:bCs/>
          <w:color w:val="1C1C1E"/>
          <w:sz w:val="22"/>
          <w:szCs w:val="22"/>
        </w:rPr>
        <w:t xml:space="preserve">Sovereign cloud infrastructure, </w:t>
      </w:r>
      <w:r>
        <w:rPr>
          <w:rFonts w:ascii="Georgia" w:cs="Georgia" w:eastAsia="Georgia" w:hAnsi="Georgia"/>
          <w:color w:val="1C1C1E"/>
          <w:sz w:val="22"/>
          <w:szCs w:val="22"/>
        </w:rPr>
        <w:t xml:space="preserve">including offerings from hyperscalers configured for regional sovereignty and from regional and national providers, addresses the jurisdictional concerns that hyperscale cloud does not fully resolve. Examples include AWS European Sovereign Cloud, Azure Confidential Computing, Google Sovereign Cloud, and national cloud initiatives including Gaia-X in Europe.</w:t>
      </w:r>
    </w:p>
    <w:p>
      <w:pPr>
        <w:spacing w:after="200" w:before="0" w:line="340"/>
        <w:jc w:val="left"/>
      </w:pPr>
      <w:r>
        <w:rPr>
          <w:rFonts w:ascii="Georgia" w:cs="Georgia" w:eastAsia="Georgia" w:hAnsi="Georgia"/>
          <w:b/>
          <w:bCs/>
          <w:color w:val="1C1C1E"/>
          <w:sz w:val="22"/>
          <w:szCs w:val="22"/>
        </w:rPr>
        <w:t xml:space="preserve">Private cloud and colocation infrastructure, </w:t>
      </w:r>
      <w:r>
        <w:rPr>
          <w:rFonts w:ascii="Georgia" w:cs="Georgia" w:eastAsia="Georgia" w:hAnsi="Georgia"/>
          <w:color w:val="1C1C1E"/>
          <w:sz w:val="22"/>
          <w:szCs w:val="22"/>
        </w:rPr>
        <w:t xml:space="preserve">including platforms from Nutanix, VMware by Broadcom, Dell Technologies, Hewlett Packard Enterprise, and Red Hat, gives organisations direct control over Layer 0 at the cost of operational responsibility for the physical substrate.</w:t>
      </w:r>
    </w:p>
    <w:p>
      <w:pPr>
        <w:spacing w:after="200" w:before="0" w:line="340"/>
        <w:jc w:val="left"/>
      </w:pPr>
      <w:r>
        <w:rPr>
          <w:rFonts w:ascii="Georgia" w:cs="Georgia" w:eastAsia="Georgia" w:hAnsi="Georgia"/>
          <w:b/>
          <w:bCs/>
          <w:color w:val="1C1C1E"/>
          <w:sz w:val="22"/>
          <w:szCs w:val="22"/>
        </w:rPr>
        <w:t xml:space="preserve">Edge and distributed compute </w:t>
      </w:r>
      <w:r>
        <w:rPr>
          <w:rFonts w:ascii="Georgia" w:cs="Georgia" w:eastAsia="Georgia" w:hAnsi="Georgia"/>
          <w:color w:val="1C1C1E"/>
          <w:sz w:val="22"/>
          <w:szCs w:val="22"/>
        </w:rPr>
        <w:t xml:space="preserve">extends Layer 0 beyond the data centre to include on-premises, edge, and device-level compute. Reference implementations include NVIDIA Jetson for edge AI, Apple Silicon for on-device inference, and the emerging class of specialised edge silicon for ambient intelligence applications.</w:t>
      </w:r>
    </w:p>
    <w:p>
      <w:pPr>
        <w:spacing w:after="200" w:before="0" w:line="340"/>
        <w:jc w:val="left"/>
      </w:pPr>
      <w:r>
        <w:rPr>
          <w:rFonts w:ascii="Georgia" w:cs="Georgia" w:eastAsia="Georgia" w:hAnsi="Georgia"/>
          <w:b/>
          <w:bCs/>
          <w:color w:val="1C1C1E"/>
          <w:sz w:val="22"/>
          <w:szCs w:val="22"/>
        </w:rPr>
        <w:t xml:space="preserve">Energy-co-located compute </w:t>
      </w:r>
      <w:r>
        <w:rPr>
          <w:rFonts w:ascii="Georgia" w:cs="Georgia" w:eastAsia="Georgia" w:hAnsi="Georgia"/>
          <w:color w:val="1C1C1E"/>
          <w:sz w:val="22"/>
          <w:szCs w:val="22"/>
        </w:rPr>
        <w:t xml:space="preserve">represents an emerging pattern in which compute infrastructure is sited adjacent to renewable or otherwise dedicated energy generation. This pattern responds directly to the energy intensity of large-scale intelligent systems and is expected to grow in architectural significance as grid capacity becomes a binding constraint.</w:t>
      </w:r>
    </w:p>
    <w:p>
      <w:pPr>
        <w:spacing w:after="200" w:before="0" w:line="340"/>
        <w:jc w:val="left"/>
      </w:pPr>
      <w:r>
        <w:rPr>
          <w:rFonts w:ascii="Georgia" w:cs="Georgia" w:eastAsia="Georgia" w:hAnsi="Georgia"/>
          <w:color w:val="1C1C1E"/>
          <w:sz w:val="22"/>
          <w:szCs w:val="22"/>
        </w:rPr>
        <w:t xml:space="preserve">Frameworks relevant to Layer 0 include the Uptime Institute's Tier classification for data centre availability, the ISO/IEC 22237 standard for data centre facilities, the Open Compute Project specifications for hyperscale hardware design, and the emerging body of work on carbon accounting for compute workloads.</w:t>
      </w:r>
    </w:p>
    <w:p>
      <w:pPr>
        <w:pStyle w:val="Heading2"/>
        <w:keepNext/>
        <w:spacing w:after="200" w:before="480"/>
      </w:pPr>
      <w:r>
        <w:rPr>
          <w:rFonts w:ascii="Helvetica Neue" w:cs="Helvetica Neue" w:eastAsia="Helvetica Neue" w:hAnsi="Helvetica Neue"/>
          <w:b w:val="false"/>
          <w:bCs w:val="false"/>
          <w:color w:val="000000"/>
          <w:sz w:val="26"/>
          <w:szCs w:val="26"/>
        </w:rPr>
        <w:t xml:space="preserve">4.5 Open Questions</w:t>
      </w:r>
    </w:p>
    <w:p>
      <w:pPr>
        <w:spacing w:after="200" w:before="0" w:line="340"/>
        <w:jc w:val="left"/>
      </w:pPr>
      <w:r>
        <w:rPr>
          <w:rFonts w:ascii="Georgia" w:cs="Georgia" w:eastAsia="Georgia" w:hAnsi="Georgia"/>
          <w:color w:val="1C1C1E"/>
          <w:sz w:val="22"/>
          <w:szCs w:val="22"/>
        </w:rPr>
        <w:t xml:space="preserve">Several architectural questions at Layer 0 have not yet reached consensus and will likely require revision in future versions of the OIA Model.</w:t>
      </w:r>
    </w:p>
    <w:p>
      <w:pPr>
        <w:spacing w:after="200" w:before="0" w:line="340"/>
        <w:jc w:val="left"/>
      </w:pPr>
      <w:r>
        <w:rPr>
          <w:rFonts w:ascii="Georgia" w:cs="Georgia" w:eastAsia="Georgia" w:hAnsi="Georgia"/>
          <w:b/>
          <w:bCs/>
          <w:color w:val="1C1C1E"/>
          <w:sz w:val="22"/>
          <w:szCs w:val="22"/>
        </w:rPr>
        <w:t xml:space="preserve">Energy as a first-class architectural constraint. </w:t>
      </w:r>
      <w:r>
        <w:rPr>
          <w:rFonts w:ascii="Georgia" w:cs="Georgia" w:eastAsia="Georgia" w:hAnsi="Georgia"/>
          <w:color w:val="1C1C1E"/>
          <w:sz w:val="22"/>
          <w:szCs w:val="22"/>
        </w:rPr>
        <w:t xml:space="preserve">Contemporary frameworks treat energy as an operational concern rather than an architectural one. As the energy intensity of intelligent systems approaches fundamental grid capacity limits in major markets, energy-aware architecture — in which compute placement decisions are made primarily on the basis of power availability — is likely to become architecturally central. The OIA Model will require revision as this pattern matures.</w:t>
      </w:r>
    </w:p>
    <w:p>
      <w:pPr>
        <w:spacing w:after="200" w:before="0" w:line="340"/>
        <w:jc w:val="left"/>
      </w:pPr>
      <w:r>
        <w:rPr>
          <w:rFonts w:ascii="Georgia" w:cs="Georgia" w:eastAsia="Georgia" w:hAnsi="Georgia"/>
          <w:b/>
          <w:bCs/>
          <w:color w:val="1C1C1E"/>
          <w:sz w:val="22"/>
          <w:szCs w:val="22"/>
        </w:rPr>
        <w:t xml:space="preserve">Quantum-classical hybrid compute. </w:t>
      </w:r>
      <w:r>
        <w:rPr>
          <w:rFonts w:ascii="Georgia" w:cs="Georgia" w:eastAsia="Georgia" w:hAnsi="Georgia"/>
          <w:color w:val="1C1C1E"/>
          <w:sz w:val="22"/>
          <w:szCs w:val="22"/>
        </w:rPr>
        <w:t xml:space="preserve">The integration of quantum coprocessors with classical compute is an active area of development. When quantum accelerators reach commercial scale for specific workload classes, Layer 0 and Layer 1 will require revision to address the architectural implications of heterogeneous quantum-classical compute substrates.</w:t>
      </w:r>
    </w:p>
    <w:p>
      <w:pPr>
        <w:spacing w:after="200" w:before="0" w:line="340"/>
        <w:jc w:val="left"/>
      </w:pPr>
      <w:r>
        <w:rPr>
          <w:rFonts w:ascii="Georgia" w:cs="Georgia" w:eastAsia="Georgia" w:hAnsi="Georgia"/>
          <w:b/>
          <w:bCs/>
          <w:color w:val="1C1C1E"/>
          <w:sz w:val="22"/>
          <w:szCs w:val="22"/>
        </w:rPr>
        <w:t xml:space="preserve">Supply chain as architectural concern. </w:t>
      </w:r>
      <w:r>
        <w:rPr>
          <w:rFonts w:ascii="Georgia" w:cs="Georgia" w:eastAsia="Georgia" w:hAnsi="Georgia"/>
          <w:color w:val="1C1C1E"/>
          <w:sz w:val="22"/>
          <w:szCs w:val="22"/>
        </w:rPr>
        <w:t xml:space="preserve">The semiconductor supply chain has become geopolitically sensitive in ways that implicate architectural decisions directly. Whether supply chain considerations should be formalised as a cross-layer span (Section 14) or remain a concern of Layer 0 is an open question.</w:t>
      </w:r>
    </w:p>
    <w:p>
      <w:pPr>
        <w:spacing w:after="200" w:before="0" w:line="340"/>
        <w:jc w:val="left"/>
      </w:pPr>
      <w:r>
        <w:rPr>
          <w:rFonts w:ascii="Georgia" w:cs="Georgia" w:eastAsia="Georgia" w:hAnsi="Georgia"/>
          <w:b/>
          <w:bCs/>
          <w:color w:val="1C1C1E"/>
          <w:sz w:val="22"/>
          <w:szCs w:val="22"/>
        </w:rPr>
        <w:t xml:space="preserve">Decentralised and community-operated infrastructure. </w:t>
      </w:r>
      <w:r>
        <w:rPr>
          <w:rFonts w:ascii="Georgia" w:cs="Georgia" w:eastAsia="Georgia" w:hAnsi="Georgia"/>
          <w:color w:val="1C1C1E"/>
          <w:sz w:val="22"/>
          <w:szCs w:val="22"/>
        </w:rPr>
        <w:t xml:space="preserve">Patterns including federated learning, community-operated data centres, and cryptographically-verified distributed compute are emerging as alternatives to centralised infrastructure models. Whether these patterns warrant explicit architectural treatment within the OIA Model is an open question.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5. Layer 1: Silicon Abstraction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5.1 Purpose</w:t>
      </w:r>
    </w:p>
    <w:p>
      <w:pPr>
        <w:spacing w:after="200" w:before="0" w:line="340"/>
        <w:jc w:val="left"/>
      </w:pPr>
      <w:r>
        <w:rPr>
          <w:rFonts w:ascii="Georgia" w:cs="Georgia" w:eastAsia="Georgia" w:hAnsi="Georgia"/>
          <w:color w:val="1C1C1E"/>
          <w:sz w:val="22"/>
          <w:szCs w:val="22"/>
        </w:rPr>
        <w:t xml:space="preserve">Layer 1 provides the abstraction between the physical compute substrate defined at Layer 0 and the software layers above. It addresses the architectural requirement that intelligent systems execute across heterogeneous hardware — general-purpose processors, specialised accelerators, edge silicon, and emerging compute paradigms — without requiring that the software stack above be rewritten for each target.</w:t>
      </w:r>
    </w:p>
    <w:p>
      <w:pPr>
        <w:spacing w:after="200" w:before="0" w:line="340"/>
        <w:jc w:val="left"/>
      </w:pPr>
      <w:r>
        <w:rPr>
          <w:rFonts w:ascii="Georgia" w:cs="Georgia" w:eastAsia="Georgia" w:hAnsi="Georgia"/>
          <w:color w:val="1C1C1E"/>
          <w:sz w:val="22"/>
          <w:szCs w:val="22"/>
        </w:rPr>
        <w:t xml:space="preserve">The layer is named Silicon Abstraction rather than Hardware Abstraction deliberately. The concerns addressed at Layer 1 go beyond traditional hardware abstraction interfaces. They extend to the portability of cognitive workloads across instruction-set architectures, accelerator families, and emerging compute paradigms that may not share a common computational model with the silicon they complement.</w:t>
      </w:r>
    </w:p>
    <w:p>
      <w:pPr>
        <w:pStyle w:val="Heading2"/>
        <w:keepNext/>
        <w:spacing w:after="200" w:before="480"/>
      </w:pPr>
      <w:r>
        <w:rPr>
          <w:rFonts w:ascii="Helvetica Neue" w:cs="Helvetica Neue" w:eastAsia="Helvetica Neue" w:hAnsi="Helvetica Neue"/>
          <w:b w:val="false"/>
          <w:bCs w:val="false"/>
          <w:color w:val="000000"/>
          <w:sz w:val="26"/>
          <w:szCs w:val="26"/>
        </w:rPr>
        <w:t xml:space="preserve">5.2 Scope</w:t>
      </w:r>
    </w:p>
    <w:p>
      <w:pPr>
        <w:spacing w:after="200" w:before="0" w:line="340"/>
        <w:jc w:val="left"/>
      </w:pPr>
      <w:r>
        <w:rPr>
          <w:rFonts w:ascii="Georgia" w:cs="Georgia" w:eastAsia="Georgia" w:hAnsi="Georgia"/>
          <w:color w:val="1C1C1E"/>
          <w:sz w:val="22"/>
          <w:szCs w:val="22"/>
        </w:rPr>
        <w:t xml:space="preserve">Layer 1 includes instruction-set architectures and their abstraction, including x86_64, ARM64, RISC-V, and emerging instruction sets for specialised and quantum-classical hybrid compute; accelerator programming models and the abstractions that portably target them, including CUDA, ROCm, Metal, OpenCL, Triton, and their successors; portable runtimes capable of executing cognitive workloads across diverse silicon without per-target compilation, including WebAssembly, WASI, and comparable runtime specifications for edge and embedded environments; model-to-silicon compilation toolchains, including ONNX Runtime, TensorRT, OpenVINO, MLIR, and the emerging class of compilers targeting neuromorphic and quantum accelerators; and hardware attestation and trusted execution primitives, including Intel SGX, AMD SEV-SNP, ARM CCA, and NVIDIA Confidential Computing, to the extent that these provide abstracted guarantees consumable by layers above.</w:t>
      </w:r>
    </w:p>
    <w:p>
      <w:pPr>
        <w:spacing w:after="200" w:before="0" w:line="340"/>
        <w:jc w:val="left"/>
      </w:pPr>
      <w:r>
        <w:rPr>
          <w:rFonts w:ascii="Georgia" w:cs="Georgia" w:eastAsia="Georgia" w:hAnsi="Georgia"/>
          <w:color w:val="1C1C1E"/>
          <w:sz w:val="22"/>
          <w:szCs w:val="22"/>
        </w:rPr>
        <w:t xml:space="preserve">Layer 1 explicitly excludes the physical hardware itself, which is the concern of Layer 0. It also excludes the logical organisation of compute workloads — scheduling, placement, orchestration — which is addressed at higher layers.</w:t>
      </w:r>
    </w:p>
    <w:p>
      <w:pPr>
        <w:pStyle w:val="Heading2"/>
        <w:keepNext/>
        <w:spacing w:after="200" w:before="480"/>
      </w:pPr>
      <w:r>
        <w:rPr>
          <w:rFonts w:ascii="Helvetica Neue" w:cs="Helvetica Neue" w:eastAsia="Helvetica Neue" w:hAnsi="Helvetica Neue"/>
          <w:b w:val="false"/>
          <w:bCs w:val="false"/>
          <w:color w:val="000000"/>
          <w:sz w:val="26"/>
          <w:szCs w:val="26"/>
        </w:rPr>
        <w:t xml:space="preserve">5.3 Key Concerns</w:t>
      </w:r>
    </w:p>
    <w:p>
      <w:pPr>
        <w:spacing w:after="200" w:before="0" w:line="340"/>
        <w:jc w:val="left"/>
      </w:pPr>
      <w:r>
        <w:rPr>
          <w:rFonts w:ascii="Georgia" w:cs="Georgia" w:eastAsia="Georgia" w:hAnsi="Georgia"/>
          <w:color w:val="1C1C1E"/>
          <w:sz w:val="22"/>
          <w:szCs w:val="22"/>
        </w:rPr>
        <w:t xml:space="preserve">Correct implementation of Layer 1 requires attention to five properties.</w:t>
      </w:r>
    </w:p>
    <w:p>
      <w:pPr>
        <w:spacing w:after="200" w:before="0" w:line="340"/>
        <w:jc w:val="left"/>
      </w:pPr>
      <w:r>
        <w:rPr>
          <w:rFonts w:ascii="Georgia" w:cs="Georgia" w:eastAsia="Georgia" w:hAnsi="Georgia"/>
          <w:b/>
          <w:bCs/>
          <w:color w:val="1C1C1E"/>
          <w:sz w:val="22"/>
          <w:szCs w:val="22"/>
        </w:rPr>
        <w:t xml:space="preserve">Portability. </w:t>
      </w:r>
      <w:r>
        <w:rPr>
          <w:rFonts w:ascii="Georgia" w:cs="Georgia" w:eastAsia="Georgia" w:hAnsi="Georgia"/>
          <w:color w:val="1C1C1E"/>
          <w:sz w:val="22"/>
          <w:szCs w:val="22"/>
        </w:rPr>
        <w:t xml:space="preserve">Software built against Layer 1 abstractions must execute across diverse Layer 0 substrates without modification. Portability is the defining purpose of the layer and the property against which its other concerns are measured.</w:t>
      </w:r>
    </w:p>
    <w:p>
      <w:pPr>
        <w:spacing w:after="200" w:before="0" w:line="340"/>
        <w:jc w:val="left"/>
      </w:pPr>
      <w:r>
        <w:rPr>
          <w:rFonts w:ascii="Georgia" w:cs="Georgia" w:eastAsia="Georgia" w:hAnsi="Georgia"/>
          <w:b/>
          <w:bCs/>
          <w:color w:val="1C1C1E"/>
          <w:sz w:val="22"/>
          <w:szCs w:val="22"/>
        </w:rPr>
        <w:t xml:space="preserve">Performance transparency. </w:t>
      </w:r>
      <w:r>
        <w:rPr>
          <w:rFonts w:ascii="Georgia" w:cs="Georgia" w:eastAsia="Georgia" w:hAnsi="Georgia"/>
          <w:color w:val="1C1C1E"/>
          <w:sz w:val="22"/>
          <w:szCs w:val="22"/>
        </w:rPr>
        <w:t xml:space="preserve">Abstraction imposes overhead, but the overhead must be predictable and bounded. A Layer 1 abstraction that masks performance characteristics in ways that higher layers cannot reason about introduces architectural fragility.</w:t>
      </w:r>
    </w:p>
    <w:p>
      <w:pPr>
        <w:spacing w:after="200" w:before="0" w:line="340"/>
        <w:jc w:val="left"/>
      </w:pPr>
      <w:r>
        <w:rPr>
          <w:rFonts w:ascii="Georgia" w:cs="Georgia" w:eastAsia="Georgia" w:hAnsi="Georgia"/>
          <w:b/>
          <w:bCs/>
          <w:color w:val="1C1C1E"/>
          <w:sz w:val="22"/>
          <w:szCs w:val="22"/>
        </w:rPr>
        <w:t xml:space="preserve">Heterogeneity support. </w:t>
      </w:r>
      <w:r>
        <w:rPr>
          <w:rFonts w:ascii="Georgia" w:cs="Georgia" w:eastAsia="Georgia" w:hAnsi="Georgia"/>
          <w:color w:val="1C1C1E"/>
          <w:sz w:val="22"/>
          <w:szCs w:val="22"/>
        </w:rPr>
        <w:t xml:space="preserve">Contemporary and emerging intelligent systems execute across heterogeneous silicon within single workloads — training on GPUs, inference on edge accelerators, perception on neuromorphic chips, and specific operations on quantum coprocessors. Layer 1 must support this heterogeneity as a first-class concern rather than as an exception.</w:t>
      </w:r>
    </w:p>
    <w:p>
      <w:pPr>
        <w:spacing w:after="200" w:before="0" w:line="340"/>
        <w:jc w:val="left"/>
      </w:pPr>
      <w:r>
        <w:rPr>
          <w:rFonts w:ascii="Georgia" w:cs="Georgia" w:eastAsia="Georgia" w:hAnsi="Georgia"/>
          <w:b/>
          <w:bCs/>
          <w:color w:val="1C1C1E"/>
          <w:sz w:val="22"/>
          <w:szCs w:val="22"/>
        </w:rPr>
        <w:t xml:space="preserve">Attestation pass-through. </w:t>
      </w:r>
      <w:r>
        <w:rPr>
          <w:rFonts w:ascii="Georgia" w:cs="Georgia" w:eastAsia="Georgia" w:hAnsi="Georgia"/>
          <w:color w:val="1C1C1E"/>
          <w:sz w:val="22"/>
          <w:szCs w:val="22"/>
        </w:rPr>
        <w:t xml:space="preserve">Security guarantees that originate at Layer 0 — including hardware attestation, trusted execution environments, and confidential computing primitives — must be surfaced to higher layers through Layer 1 without being lost in abstraction.</w:t>
      </w:r>
    </w:p>
    <w:p>
      <w:pPr>
        <w:spacing w:after="200" w:before="0" w:line="340"/>
        <w:jc w:val="left"/>
      </w:pPr>
      <w:r>
        <w:rPr>
          <w:rFonts w:ascii="Georgia" w:cs="Georgia" w:eastAsia="Georgia" w:hAnsi="Georgia"/>
          <w:b/>
          <w:bCs/>
          <w:color w:val="1C1C1E"/>
          <w:sz w:val="22"/>
          <w:szCs w:val="22"/>
        </w:rPr>
        <w:t xml:space="preserve">Successor compatibility. </w:t>
      </w:r>
      <w:r>
        <w:rPr>
          <w:rFonts w:ascii="Georgia" w:cs="Georgia" w:eastAsia="Georgia" w:hAnsi="Georgia"/>
          <w:color w:val="1C1C1E"/>
          <w:sz w:val="22"/>
          <w:szCs w:val="22"/>
        </w:rPr>
        <w:t xml:space="preserve">The silicon landscape will continue to evolve. Layer 1 abstractions that cannot accommodate successor architectures — photonic compute, quantum accelerators, unforeseen paradigms — will constrain the long-term viability of systems built on them. Forward compatibility is an architectural property of the abstraction, not an operational concern.</w:t>
      </w:r>
    </w:p>
    <w:p>
      <w:pPr>
        <w:pStyle w:val="Heading2"/>
        <w:keepNext/>
        <w:spacing w:after="200" w:before="480"/>
      </w:pPr>
      <w:r>
        <w:rPr>
          <w:rFonts w:ascii="Helvetica Neue" w:cs="Helvetica Neue" w:eastAsia="Helvetica Neue" w:hAnsi="Helvetica Neue"/>
          <w:b w:val="false"/>
          <w:bCs w:val="false"/>
          <w:color w:val="000000"/>
          <w:sz w:val="26"/>
          <w:szCs w:val="26"/>
        </w:rPr>
        <w:t xml:space="preserve">5.4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1 are organised around three distinct patterns.</w:t>
      </w:r>
    </w:p>
    <w:p>
      <w:pPr>
        <w:spacing w:after="200" w:before="0" w:line="340"/>
        <w:jc w:val="left"/>
      </w:pPr>
      <w:r>
        <w:rPr>
          <w:rFonts w:ascii="Georgia" w:cs="Georgia" w:eastAsia="Georgia" w:hAnsi="Georgia"/>
          <w:b/>
          <w:bCs/>
          <w:color w:val="1C1C1E"/>
          <w:sz w:val="22"/>
          <w:szCs w:val="22"/>
        </w:rPr>
        <w:t xml:space="preserve">Accelerator-native programming models, </w:t>
      </w:r>
      <w:r>
        <w:rPr>
          <w:rFonts w:ascii="Georgia" w:cs="Georgia" w:eastAsia="Georgia" w:hAnsi="Georgia"/>
          <w:color w:val="1C1C1E"/>
          <w:sz w:val="22"/>
          <w:szCs w:val="22"/>
        </w:rPr>
        <w:t xml:space="preserve">dominated today by NVIDIA CUDA and complemented by AMD ROCm, Apple Metal, and emerging vendor-specific stacks, provide direct access to accelerator capabilities at the cost of portability. These models remain dominant for performance-critical training and inference workloads.</w:t>
      </w:r>
    </w:p>
    <w:p>
      <w:pPr>
        <w:spacing w:after="200" w:before="0" w:line="340"/>
        <w:jc w:val="left"/>
      </w:pPr>
      <w:r>
        <w:rPr>
          <w:rFonts w:ascii="Georgia" w:cs="Georgia" w:eastAsia="Georgia" w:hAnsi="Georgia"/>
          <w:b/>
          <w:bCs/>
          <w:color w:val="1C1C1E"/>
          <w:sz w:val="22"/>
          <w:szCs w:val="22"/>
        </w:rPr>
        <w:t xml:space="preserve">Portable runtimes, </w:t>
      </w:r>
      <w:r>
        <w:rPr>
          <w:rFonts w:ascii="Georgia" w:cs="Georgia" w:eastAsia="Georgia" w:hAnsi="Georgia"/>
          <w:color w:val="1C1C1E"/>
          <w:sz w:val="22"/>
          <w:szCs w:val="22"/>
        </w:rPr>
        <w:t xml:space="preserve">including WebAssembly with its WASI system interface, provide execution environments that run identically across x86_64, ARM64, browser, edge, and embedded contexts. WebAssembly has emerged as a significant Layer 1 abstraction for intelligent workloads specifically because it preserves semantics across dramatically different silicon. Reference implementations include the RuVector runtime for portable cognitive workloads, Wasmtime, WasmEdge, and the broader ecosystem of WebAssembly-based AI inference engines.</w:t>
      </w:r>
    </w:p>
    <w:p>
      <w:pPr>
        <w:spacing w:after="200" w:before="0" w:line="340"/>
        <w:jc w:val="left"/>
      </w:pPr>
      <w:r>
        <w:rPr>
          <w:rFonts w:ascii="Georgia" w:cs="Georgia" w:eastAsia="Georgia" w:hAnsi="Georgia"/>
          <w:b/>
          <w:bCs/>
          <w:color w:val="1C1C1E"/>
          <w:sz w:val="22"/>
          <w:szCs w:val="22"/>
        </w:rPr>
        <w:t xml:space="preserve">Compiler-based abstractions, </w:t>
      </w:r>
      <w:r>
        <w:rPr>
          <w:rFonts w:ascii="Georgia" w:cs="Georgia" w:eastAsia="Georgia" w:hAnsi="Georgia"/>
          <w:color w:val="1C1C1E"/>
          <w:sz w:val="22"/>
          <w:szCs w:val="22"/>
        </w:rPr>
        <w:t xml:space="preserve">including ONNX Runtime, MLIR, Apache TVM, and Triton, provide intermediate representations that target diverse silicon through compilation rather than runtime abstraction. These toolchains have become increasingly central to production deployment of intelligent systems and are likely to remain so as the silicon landscape diversifies.</w:t>
      </w:r>
    </w:p>
    <w:p>
      <w:pPr>
        <w:spacing w:after="200" w:before="0" w:line="340"/>
        <w:jc w:val="left"/>
      </w:pPr>
      <w:r>
        <w:rPr>
          <w:rFonts w:ascii="Georgia" w:cs="Georgia" w:eastAsia="Georgia" w:hAnsi="Georgia"/>
          <w:b/>
          <w:bCs/>
          <w:color w:val="1C1C1E"/>
          <w:sz w:val="22"/>
          <w:szCs w:val="22"/>
        </w:rPr>
        <w:t xml:space="preserve">Confidential computing abstractions </w:t>
      </w:r>
      <w:r>
        <w:rPr>
          <w:rFonts w:ascii="Georgia" w:cs="Georgia" w:eastAsia="Georgia" w:hAnsi="Georgia"/>
          <w:color w:val="1C1C1E"/>
          <w:sz w:val="22"/>
          <w:szCs w:val="22"/>
        </w:rPr>
        <w:t xml:space="preserve">provide a cross-cutting pattern at Layer 1 in which hardware-level security primitives — memory encryption, attestation, enclave execution — are exposed to higher layers through standardised interfaces. Reference implementations include the Confidential Computing Consortium's specifications, NVIDIA Confidential Computing on Hopper and Blackwell architectures, and the Open Enclave SDK.</w:t>
      </w:r>
    </w:p>
    <w:p>
      <w:pPr>
        <w:spacing w:after="200" w:before="0" w:line="340"/>
        <w:jc w:val="left"/>
      </w:pPr>
      <w:r>
        <w:rPr>
          <w:rFonts w:ascii="Georgia" w:cs="Georgia" w:eastAsia="Georgia" w:hAnsi="Georgia"/>
          <w:color w:val="1C1C1E"/>
          <w:sz w:val="22"/>
          <w:szCs w:val="22"/>
        </w:rPr>
        <w:t xml:space="preserve">Frameworks relevant to Layer 1 include the Khronos Group's specifications for heterogeneous compute (OpenCL, Vulkan, SYCL), the WebAssembly Core Specification, the Confidential Computing Consortium's technical publications, and the emerging body of work on compiler infrastructure for quantum-classical hybrid compute.</w:t>
      </w:r>
    </w:p>
    <w:p>
      <w:pPr>
        <w:pStyle w:val="Heading2"/>
        <w:keepNext/>
        <w:spacing w:after="200" w:before="480"/>
      </w:pPr>
      <w:r>
        <w:rPr>
          <w:rFonts w:ascii="Helvetica Neue" w:cs="Helvetica Neue" w:eastAsia="Helvetica Neue" w:hAnsi="Helvetica Neue"/>
          <w:b w:val="false"/>
          <w:bCs w:val="false"/>
          <w:color w:val="000000"/>
          <w:sz w:val="26"/>
          <w:szCs w:val="26"/>
        </w:rPr>
        <w:t xml:space="preserve">5.5 Open Questions</w:t>
      </w:r>
    </w:p>
    <w:p>
      <w:pPr>
        <w:spacing w:after="200" w:before="0" w:line="340"/>
        <w:jc w:val="left"/>
      </w:pPr>
      <w:r>
        <w:rPr>
          <w:rFonts w:ascii="Georgia" w:cs="Georgia" w:eastAsia="Georgia" w:hAnsi="Georgia"/>
          <w:color w:val="1C1C1E"/>
          <w:sz w:val="22"/>
          <w:szCs w:val="22"/>
        </w:rPr>
        <w:t xml:space="preserve">Several architectural questions at Layer 1 remain unresolved.</w:t>
      </w:r>
    </w:p>
    <w:p>
      <w:pPr>
        <w:spacing w:after="200" w:before="0" w:line="340"/>
        <w:jc w:val="left"/>
      </w:pPr>
      <w:r>
        <w:rPr>
          <w:rFonts w:ascii="Georgia" w:cs="Georgia" w:eastAsia="Georgia" w:hAnsi="Georgia"/>
          <w:b/>
          <w:bCs/>
          <w:color w:val="1C1C1E"/>
          <w:sz w:val="22"/>
          <w:szCs w:val="22"/>
        </w:rPr>
        <w:t xml:space="preserve">The successor to CUDA dominance. </w:t>
      </w:r>
      <w:r>
        <w:rPr>
          <w:rFonts w:ascii="Georgia" w:cs="Georgia" w:eastAsia="Georgia" w:hAnsi="Georgia"/>
          <w:color w:val="1C1C1E"/>
          <w:sz w:val="22"/>
          <w:szCs w:val="22"/>
        </w:rPr>
        <w:t xml:space="preserve">CUDA's dominance at Layer 1 is currently near-total for high-performance training workloads. Whether that dominance will persist, be displaced by a portable alternative, or fragment into multiple vendor-specific stacks is the single most consequential unresolved question at this layer. The answer will shape architectural decisions across every layer above.</w:t>
      </w:r>
    </w:p>
    <w:p>
      <w:pPr>
        <w:spacing w:after="200" w:before="0" w:line="340"/>
        <w:jc w:val="left"/>
      </w:pPr>
      <w:r>
        <w:rPr>
          <w:rFonts w:ascii="Georgia" w:cs="Georgia" w:eastAsia="Georgia" w:hAnsi="Georgia"/>
          <w:b/>
          <w:bCs/>
          <w:color w:val="1C1C1E"/>
          <w:sz w:val="22"/>
          <w:szCs w:val="22"/>
        </w:rPr>
        <w:t xml:space="preserve">Quantum-classical integration. </w:t>
      </w:r>
      <w:r>
        <w:rPr>
          <w:rFonts w:ascii="Georgia" w:cs="Georgia" w:eastAsia="Georgia" w:hAnsi="Georgia"/>
          <w:color w:val="1C1C1E"/>
          <w:sz w:val="22"/>
          <w:szCs w:val="22"/>
        </w:rPr>
        <w:t xml:space="preserve">As quantum coprocessors reach commercial relevance for specific workload classes — including optimisation, sampling, and cryptographic operations — Layer 1 will require abstractions that route operations between classical and quantum substrates transparently. Whether this integration will be achieved through extensions to existing runtimes, through new compiler infrastructure, or through a dedicated abstraction layer is an open architectural question.</w:t>
      </w:r>
    </w:p>
    <w:p>
      <w:pPr>
        <w:spacing w:after="200" w:before="0" w:line="340"/>
        <w:jc w:val="left"/>
      </w:pPr>
      <w:r>
        <w:rPr>
          <w:rFonts w:ascii="Georgia" w:cs="Georgia" w:eastAsia="Georgia" w:hAnsi="Georgia"/>
          <w:b/>
          <w:bCs/>
          <w:color w:val="1C1C1E"/>
          <w:sz w:val="22"/>
          <w:szCs w:val="22"/>
        </w:rPr>
        <w:t xml:space="preserve">Neuromorphic compute abstractions. </w:t>
      </w:r>
      <w:r>
        <w:rPr>
          <w:rFonts w:ascii="Georgia" w:cs="Georgia" w:eastAsia="Georgia" w:hAnsi="Georgia"/>
          <w:color w:val="1C1C1E"/>
          <w:sz w:val="22"/>
          <w:szCs w:val="22"/>
        </w:rPr>
        <w:t xml:space="preserve">Neuromorphic accelerators — event-driven, spiking, ultra-low-power — have computational models that differ fundamentally from the von Neumann substrate assumed by most Layer 1 abstractions. Whether neuromorphic compute will be accommodated within existing abstractions or will require a distinct abstraction path is unresolved.</w:t>
      </w:r>
    </w:p>
    <w:p>
      <w:pPr>
        <w:spacing w:after="200" w:before="0" w:line="340"/>
        <w:jc w:val="left"/>
      </w:pPr>
      <w:r>
        <w:rPr>
          <w:rFonts w:ascii="Georgia" w:cs="Georgia" w:eastAsia="Georgia" w:hAnsi="Georgia"/>
          <w:b/>
          <w:bCs/>
          <w:color w:val="1C1C1E"/>
          <w:sz w:val="22"/>
          <w:szCs w:val="22"/>
        </w:rPr>
        <w:t xml:space="preserve">Browser as universal runtime. </w:t>
      </w:r>
      <w:r>
        <w:rPr>
          <w:rFonts w:ascii="Georgia" w:cs="Georgia" w:eastAsia="Georgia" w:hAnsi="Georgia"/>
          <w:color w:val="1C1C1E"/>
          <w:sz w:val="22"/>
          <w:szCs w:val="22"/>
        </w:rPr>
        <w:t xml:space="preserve">WebAssembly's execution in browsers makes the browser itself a viable Layer 1 substrate for certain classes of intelligent workload. Whether the browser will be recognised architecturally as a first-class Layer 1 target, or will continue to be treated as an interface concern at Layer 9, is an open question with implications for how the model describes client-side and edge intelligence.</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6. Layer 2: Sovereign Infrastructure</w:t>
      </w:r>
    </w:p>
    <w:p>
      <w:pPr>
        <w:pStyle w:val="Heading2"/>
        <w:keepNext/>
        <w:spacing w:after="200" w:before="480"/>
      </w:pPr>
      <w:r>
        <w:rPr>
          <w:rFonts w:ascii="Helvetica Neue" w:cs="Helvetica Neue" w:eastAsia="Helvetica Neue" w:hAnsi="Helvetica Neue"/>
          <w:b w:val="false"/>
          <w:bCs w:val="false"/>
          <w:color w:val="000000"/>
          <w:sz w:val="26"/>
          <w:szCs w:val="26"/>
        </w:rPr>
        <w:t xml:space="preserve">6.1 Purpose</w:t>
      </w:r>
    </w:p>
    <w:p>
      <w:pPr>
        <w:spacing w:after="200" w:before="0" w:line="340"/>
        <w:jc w:val="left"/>
      </w:pPr>
      <w:r>
        <w:rPr>
          <w:rFonts w:ascii="Georgia" w:cs="Georgia" w:eastAsia="Georgia" w:hAnsi="Georgia"/>
          <w:color w:val="1C1C1E"/>
          <w:sz w:val="22"/>
          <w:szCs w:val="22"/>
        </w:rPr>
        <w:t xml:space="preserve">Layer 2 provides the platform-level compute, storage, and networking infrastructure on which intelligent systems are deployed. It sits above the silicon abstractions of Layer 1 and below the agent data substrate of Layer 3, providing the virtualised, orchestrated, and operationally coherent environment in which higher layers execute.</w:t>
      </w:r>
    </w:p>
    <w:p>
      <w:pPr>
        <w:spacing w:after="200" w:before="0" w:line="340"/>
        <w:jc w:val="left"/>
      </w:pPr>
      <w:r>
        <w:rPr>
          <w:rFonts w:ascii="Georgia" w:cs="Georgia" w:eastAsia="Georgia" w:hAnsi="Georgia"/>
          <w:color w:val="1C1C1E"/>
          <w:sz w:val="22"/>
          <w:szCs w:val="22"/>
        </w:rPr>
        <w:t xml:space="preserve">The layer is named Sovereign Infrastructure to make explicit the architectural claim that infrastructure for enterprise intelligence cannot be treated as fungible. Jurisdictional, operational, and energy sovereignty are not operational concerns to be resolved after platform selection — they are architectural properties that shape what platforms are viable and what deployments are achievable. Layer 2 is where those properties are established and enforced.</w:t>
      </w:r>
    </w:p>
    <w:p>
      <w:pPr>
        <w:pStyle w:val="Heading2"/>
        <w:keepNext/>
        <w:spacing w:after="200" w:before="480"/>
      </w:pPr>
      <w:r>
        <w:rPr>
          <w:rFonts w:ascii="Helvetica Neue" w:cs="Helvetica Neue" w:eastAsia="Helvetica Neue" w:hAnsi="Helvetica Neue"/>
          <w:b w:val="false"/>
          <w:bCs w:val="false"/>
          <w:color w:val="000000"/>
          <w:sz w:val="26"/>
          <w:szCs w:val="26"/>
        </w:rPr>
        <w:t xml:space="preserve">6.2 Scope</w:t>
      </w:r>
    </w:p>
    <w:p>
      <w:pPr>
        <w:spacing w:after="200" w:before="0" w:line="340"/>
        <w:jc w:val="left"/>
      </w:pPr>
      <w:r>
        <w:rPr>
          <w:rFonts w:ascii="Georgia" w:cs="Georgia" w:eastAsia="Georgia" w:hAnsi="Georgia"/>
          <w:color w:val="1C1C1E"/>
          <w:sz w:val="22"/>
          <w:szCs w:val="22"/>
        </w:rPr>
        <w:t xml:space="preserve">Layer 2 includes the virtualisation and containerisation platforms on which compute workloads execute, including hypervisors, container runtimes, and the orchestration systems that schedule and manage them; the storage platforms that provide persistent block, object, and file storage to workloads, including the encryption, replication, and access-control primitives that govern storage access; the networking infrastructure that connects workloads within and across sites, including software-defined networking, service mesh, and the security controls that govern traffic; the identity, access, and policy systems that govern which workloads may execute, which resources they may access, and under what conditions; and the jurisdictional, operational, and energy controls that make the infrastructure sovereign in the senses defined in Section 6.3 below.</w:t>
      </w:r>
    </w:p>
    <w:p>
      <w:pPr>
        <w:spacing w:after="200" w:before="0" w:line="340"/>
        <w:jc w:val="left"/>
      </w:pPr>
      <w:r>
        <w:rPr>
          <w:rFonts w:ascii="Georgia" w:cs="Georgia" w:eastAsia="Georgia" w:hAnsi="Georgia"/>
          <w:color w:val="1C1C1E"/>
          <w:sz w:val="22"/>
          <w:szCs w:val="22"/>
        </w:rPr>
        <w:t xml:space="preserve">Layer 2 explicitly excludes the physical substrate on which infrastructure executes (Layer 0) and the data substrate consumed by intelligent systems (Layer 3). It also excludes the model-specific concerns of training, inference, and retrieval, which are addressed at Layers 4 through 6.</w:t>
      </w:r>
    </w:p>
    <w:p>
      <w:pPr>
        <w:pStyle w:val="Heading2"/>
        <w:keepNext/>
        <w:spacing w:after="200" w:before="480"/>
      </w:pPr>
      <w:r>
        <w:rPr>
          <w:rFonts w:ascii="Helvetica Neue" w:cs="Helvetica Neue" w:eastAsia="Helvetica Neue" w:hAnsi="Helvetica Neue"/>
          <w:b w:val="false"/>
          <w:bCs w:val="false"/>
          <w:color w:val="000000"/>
          <w:sz w:val="26"/>
          <w:szCs w:val="26"/>
        </w:rPr>
        <w:t xml:space="preserve">6.3 Key Concerns</w:t>
      </w:r>
    </w:p>
    <w:p>
      <w:pPr>
        <w:spacing w:after="200" w:before="0" w:line="340"/>
        <w:jc w:val="left"/>
      </w:pPr>
      <w:r>
        <w:rPr>
          <w:rFonts w:ascii="Georgia" w:cs="Georgia" w:eastAsia="Georgia" w:hAnsi="Georgia"/>
          <w:color w:val="1C1C1E"/>
          <w:sz w:val="22"/>
          <w:szCs w:val="22"/>
        </w:rPr>
        <w:t xml:space="preserve">Correct implementation of Layer 2 requires attention to seven properties, the first three of which constitute what the OIA Model refers to as sovereignty.</w:t>
      </w:r>
    </w:p>
    <w:p>
      <w:pPr>
        <w:spacing w:after="200" w:before="0" w:line="340"/>
        <w:jc w:val="left"/>
      </w:pPr>
      <w:r>
        <w:rPr>
          <w:rFonts w:ascii="Georgia" w:cs="Georgia" w:eastAsia="Georgia" w:hAnsi="Georgia"/>
          <w:b/>
          <w:bCs/>
          <w:color w:val="1C1C1E"/>
          <w:sz w:val="22"/>
          <w:szCs w:val="22"/>
        </w:rPr>
        <w:t xml:space="preserve">Jurisdictional sovereignty. </w:t>
      </w:r>
      <w:r>
        <w:rPr>
          <w:rFonts w:ascii="Georgia" w:cs="Georgia" w:eastAsia="Georgia" w:hAnsi="Georgia"/>
          <w:color w:val="1C1C1E"/>
          <w:sz w:val="22"/>
          <w:szCs w:val="22"/>
        </w:rPr>
        <w:t xml:space="preserve">The legal and regulatory frameworks under which the infrastructure operates must be controllable by the deploying organisation. This includes data residency, the jurisdiction of administrative access, and the regulatory regimes to which the infrastructure is subject. Jurisdictional sovereignty is a binary property at any given moment — infrastructure either meets the organisation's jurisdictional requirements or does not — but the requirements themselves vary significantly across sectors and regions.</w:t>
      </w:r>
    </w:p>
    <w:p>
      <w:pPr>
        <w:spacing w:after="200" w:before="0" w:line="340"/>
        <w:jc w:val="left"/>
      </w:pPr>
      <w:r>
        <w:rPr>
          <w:rFonts w:ascii="Georgia" w:cs="Georgia" w:eastAsia="Georgia" w:hAnsi="Georgia"/>
          <w:b/>
          <w:bCs/>
          <w:color w:val="1C1C1E"/>
          <w:sz w:val="22"/>
          <w:szCs w:val="22"/>
        </w:rPr>
        <w:t xml:space="preserve">Operational sovereignty. </w:t>
      </w:r>
      <w:r>
        <w:rPr>
          <w:rFonts w:ascii="Georgia" w:cs="Georgia" w:eastAsia="Georgia" w:hAnsi="Georgia"/>
          <w:color w:val="1C1C1E"/>
          <w:sz w:val="22"/>
          <w:szCs w:val="22"/>
        </w:rPr>
        <w:t xml:space="preserve">The ability to operate, modify, and audit the infrastructure must remain with the deploying organisation rather than being ceded to a provider. Operational sovereignty is distinct from ownership; organisations may consume infrastructure as a service while retaining operational sovereignty over how it is configured, monitored, and extended.</w:t>
      </w:r>
    </w:p>
    <w:p>
      <w:pPr>
        <w:spacing w:after="200" w:before="0" w:line="340"/>
        <w:jc w:val="left"/>
      </w:pPr>
      <w:r>
        <w:rPr>
          <w:rFonts w:ascii="Georgia" w:cs="Georgia" w:eastAsia="Georgia" w:hAnsi="Georgia"/>
          <w:b/>
          <w:bCs/>
          <w:color w:val="1C1C1E"/>
          <w:sz w:val="22"/>
          <w:szCs w:val="22"/>
        </w:rPr>
        <w:t xml:space="preserve">Energy sovereignty. </w:t>
      </w:r>
      <w:r>
        <w:rPr>
          <w:rFonts w:ascii="Georgia" w:cs="Georgia" w:eastAsia="Georgia" w:hAnsi="Georgia"/>
          <w:color w:val="1C1C1E"/>
          <w:sz w:val="22"/>
          <w:szCs w:val="22"/>
        </w:rPr>
        <w:t xml:space="preserve">The infrastructure's energy sourcing, consumption, and accounting must be controllable by the deploying organisation to the degree required by the organisation's policies. As established in Section 4.3, this may involve environmental concerns, geopolitical concerns, or both.</w:t>
      </w:r>
    </w:p>
    <w:p>
      <w:pPr>
        <w:spacing w:after="200" w:before="0" w:line="340"/>
        <w:jc w:val="left"/>
      </w:pPr>
      <w:r>
        <w:rPr>
          <w:rFonts w:ascii="Georgia" w:cs="Georgia" w:eastAsia="Georgia" w:hAnsi="Georgia"/>
          <w:b/>
          <w:bCs/>
          <w:color w:val="1C1C1E"/>
          <w:sz w:val="22"/>
          <w:szCs w:val="22"/>
        </w:rPr>
        <w:t xml:space="preserve">Composability. </w:t>
      </w:r>
      <w:r>
        <w:rPr>
          <w:rFonts w:ascii="Georgia" w:cs="Georgia" w:eastAsia="Georgia" w:hAnsi="Georgia"/>
          <w:color w:val="1C1C1E"/>
          <w:sz w:val="22"/>
          <w:szCs w:val="22"/>
        </w:rPr>
        <w:t xml:space="preserve">The infrastructure must be composable with complementary platforms, systems, and services. Intelligent systems increasingly span on-premises, sovereign cloud, hyperscale cloud, and edge environments within single workloads. Layer 2 must support composable deployment patterns rather than requiring consolidation onto a single platform.</w:t>
      </w:r>
    </w:p>
    <w:p>
      <w:pPr>
        <w:spacing w:after="200" w:before="0" w:line="340"/>
        <w:jc w:val="left"/>
      </w:pPr>
      <w:r>
        <w:rPr>
          <w:rFonts w:ascii="Georgia" w:cs="Georgia" w:eastAsia="Georgia" w:hAnsi="Georgia"/>
          <w:b/>
          <w:bCs/>
          <w:color w:val="1C1C1E"/>
          <w:sz w:val="22"/>
          <w:szCs w:val="22"/>
        </w:rPr>
        <w:t xml:space="preserve">Operational continuity. </w:t>
      </w:r>
      <w:r>
        <w:rPr>
          <w:rFonts w:ascii="Georgia" w:cs="Georgia" w:eastAsia="Georgia" w:hAnsi="Georgia"/>
          <w:color w:val="1C1C1E"/>
          <w:sz w:val="22"/>
          <w:szCs w:val="22"/>
        </w:rPr>
        <w:t xml:space="preserve">The infrastructure must support continuous operation of intelligent systems, which have availability and state-preservation requirements that exceed those of traditional applications. An intelligent system whose Layer 2 substrate is interrupted may lose not only uptime but accumulated cognitive state, with consequences that propagate to Layer 8.</w:t>
      </w:r>
    </w:p>
    <w:p>
      <w:pPr>
        <w:spacing w:after="200" w:before="0" w:line="340"/>
        <w:jc w:val="left"/>
      </w:pPr>
      <w:r>
        <w:rPr>
          <w:rFonts w:ascii="Georgia" w:cs="Georgia" w:eastAsia="Georgia" w:hAnsi="Georgia"/>
          <w:b/>
          <w:bCs/>
          <w:color w:val="1C1C1E"/>
          <w:sz w:val="22"/>
          <w:szCs w:val="22"/>
        </w:rPr>
        <w:t xml:space="preserve">Policy enforcement. </w:t>
      </w:r>
      <w:r>
        <w:rPr>
          <w:rFonts w:ascii="Georgia" w:cs="Georgia" w:eastAsia="Georgia" w:hAnsi="Georgia"/>
          <w:color w:val="1C1C1E"/>
          <w:sz w:val="22"/>
          <w:szCs w:val="22"/>
        </w:rPr>
        <w:t xml:space="preserve">The infrastructure must provide mechanisms by which organisational and regulatory policies — including access controls, data handling requirements, and auditability provisions — are enforced at the infrastructure level rather than left to the correctness of higher-layer implementations.</w:t>
      </w:r>
    </w:p>
    <w:p>
      <w:pPr>
        <w:spacing w:after="200" w:before="0" w:line="340"/>
        <w:jc w:val="left"/>
      </w:pPr>
      <w:r>
        <w:rPr>
          <w:rFonts w:ascii="Georgia" w:cs="Georgia" w:eastAsia="Georgia" w:hAnsi="Georgia"/>
          <w:b/>
          <w:bCs/>
          <w:color w:val="1C1C1E"/>
          <w:sz w:val="22"/>
          <w:szCs w:val="22"/>
        </w:rPr>
        <w:t xml:space="preserve">Transparency and auditability. </w:t>
      </w:r>
      <w:r>
        <w:rPr>
          <w:rFonts w:ascii="Georgia" w:cs="Georgia" w:eastAsia="Georgia" w:hAnsi="Georgia"/>
          <w:color w:val="1C1C1E"/>
          <w:sz w:val="22"/>
          <w:szCs w:val="22"/>
        </w:rPr>
        <w:t xml:space="preserve">The infrastructure's behaviour must be observable and auditable at the level of granularity required by the organisation's governance posture. This is a more demanding property for intelligent systems than for traditional applications, because the non-deterministic nature of intelligent systems makes infrastructure-level observability a precondition for higher-layer auditability.</w:t>
      </w:r>
    </w:p>
    <w:p>
      <w:pPr>
        <w:pStyle w:val="Heading2"/>
        <w:keepNext/>
        <w:spacing w:after="200" w:before="480"/>
      </w:pPr>
      <w:r>
        <w:rPr>
          <w:rFonts w:ascii="Helvetica Neue" w:cs="Helvetica Neue" w:eastAsia="Helvetica Neue" w:hAnsi="Helvetica Neue"/>
          <w:b w:val="false"/>
          <w:bCs w:val="false"/>
          <w:color w:val="000000"/>
          <w:sz w:val="26"/>
          <w:szCs w:val="26"/>
        </w:rPr>
        <w:t xml:space="preserve">6.4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2 are organised around three distinct patterns, reflecting the spectrum of sovereignty requirements across organisations.</w:t>
      </w:r>
    </w:p>
    <w:p>
      <w:pPr>
        <w:spacing w:after="200" w:before="0" w:line="340"/>
        <w:jc w:val="left"/>
      </w:pPr>
      <w:r>
        <w:rPr>
          <w:rFonts w:ascii="Georgia" w:cs="Georgia" w:eastAsia="Georgia" w:hAnsi="Georgia"/>
          <w:b/>
          <w:bCs/>
          <w:color w:val="1C1C1E"/>
          <w:sz w:val="22"/>
          <w:szCs w:val="22"/>
        </w:rPr>
        <w:t xml:space="preserve">Hyperscale cloud infrastructure, </w:t>
      </w:r>
      <w:r>
        <w:rPr>
          <w:rFonts w:ascii="Georgia" w:cs="Georgia" w:eastAsia="Georgia" w:hAnsi="Georgia"/>
          <w:color w:val="1C1C1E"/>
          <w:sz w:val="22"/>
          <w:szCs w:val="22"/>
        </w:rPr>
        <w:t xml:space="preserve">consumed from Amazon Web Services, Microsoft Azure, Google Cloud, and their peers, provides Layer 2 as a comprehensively managed service. Organisations consuming hyperscale Layer 2 exchange direct sovereignty controls for operational simplicity and global reach. Hyperscalers have responded to sovereignty requirements through dedicated offerings including AWS European Sovereign Cloud, Microsoft Cloud for Sovereignty, and Google Sovereign Cloud, which provide bounded jurisdictional guarantees within broader hyperscale platforms.</w:t>
      </w:r>
    </w:p>
    <w:p>
      <w:pPr>
        <w:spacing w:after="200" w:before="0" w:line="340"/>
        <w:jc w:val="left"/>
      </w:pPr>
      <w:r>
        <w:rPr>
          <w:rFonts w:ascii="Georgia" w:cs="Georgia" w:eastAsia="Georgia" w:hAnsi="Georgia"/>
          <w:b/>
          <w:bCs/>
          <w:color w:val="1C1C1E"/>
          <w:sz w:val="22"/>
          <w:szCs w:val="22"/>
        </w:rPr>
        <w:t xml:space="preserve">Sovereign and private cloud platforms, </w:t>
      </w:r>
      <w:r>
        <w:rPr>
          <w:rFonts w:ascii="Georgia" w:cs="Georgia" w:eastAsia="Georgia" w:hAnsi="Georgia"/>
          <w:color w:val="1C1C1E"/>
          <w:sz w:val="22"/>
          <w:szCs w:val="22"/>
        </w:rPr>
        <w:t xml:space="preserve">including Nutanix, VMware by Broadcom, Red Hat OpenShift, Dell Technologies APEX, and Hewlett Packard Enterprise GreenLake, provide Layer 2 with strong jurisdictional and operational sovereignty by default. These platforms are designed to run on infrastructure that the deploying organisation controls directly, whether on-premises, in colocation, or in sovereign cloud environments. Regional initiatives including Gaia-X in Europe provide standards and federations that interoperate with these platforms.</w:t>
      </w:r>
    </w:p>
    <w:p>
      <w:pPr>
        <w:spacing w:after="200" w:before="0" w:line="340"/>
        <w:jc w:val="left"/>
      </w:pPr>
      <w:r>
        <w:rPr>
          <w:rFonts w:ascii="Georgia" w:cs="Georgia" w:eastAsia="Georgia" w:hAnsi="Georgia"/>
          <w:b/>
          <w:bCs/>
          <w:color w:val="1C1C1E"/>
          <w:sz w:val="22"/>
          <w:szCs w:val="22"/>
        </w:rPr>
        <w:t xml:space="preserve">Hybrid and composable infrastructure </w:t>
      </w:r>
      <w:r>
        <w:rPr>
          <w:rFonts w:ascii="Georgia" w:cs="Georgia" w:eastAsia="Georgia" w:hAnsi="Georgia"/>
          <w:color w:val="1C1C1E"/>
          <w:sz w:val="22"/>
          <w:szCs w:val="22"/>
        </w:rPr>
        <w:t xml:space="preserve">represents the operational reality of most enterprise deployments: intelligent systems that span hyperscale, sovereign, and on-premises environments within a single architecture. Reference implementations include Kubernetes-based federation across environments, service mesh implementations including Istio and Linkerd, and the emerging class of platforms explicitly designed for composable multi-environment deployment.</w:t>
      </w:r>
    </w:p>
    <w:p>
      <w:pPr>
        <w:spacing w:after="200" w:before="0" w:line="340"/>
        <w:jc w:val="left"/>
      </w:pPr>
      <w:r>
        <w:rPr>
          <w:rFonts w:ascii="Georgia" w:cs="Georgia" w:eastAsia="Georgia" w:hAnsi="Georgia"/>
          <w:b/>
          <w:bCs/>
          <w:color w:val="1C1C1E"/>
          <w:sz w:val="22"/>
          <w:szCs w:val="22"/>
        </w:rPr>
        <w:t xml:space="preserve">Confidential computing platforms </w:t>
      </w:r>
      <w:r>
        <w:rPr>
          <w:rFonts w:ascii="Georgia" w:cs="Georgia" w:eastAsia="Georgia" w:hAnsi="Georgia"/>
          <w:color w:val="1C1C1E"/>
          <w:sz w:val="22"/>
          <w:szCs w:val="22"/>
        </w:rPr>
        <w:t xml:space="preserve">provide a cross-cutting capability at Layer 2 in which workloads execute inside hardware-enforced trust boundaries. Reference implementations include Azure Confidential Computing, Google Confidential Space, AWS Nitro Enclaves, and open-source projects including Confidential Containers and Constellation. These platforms surface Layer 1 primitives as Layer 2 capabilities consumable by higher layers.</w:t>
      </w:r>
    </w:p>
    <w:p>
      <w:pPr>
        <w:spacing w:after="200" w:before="0" w:line="340"/>
        <w:jc w:val="left"/>
      </w:pPr>
      <w:r>
        <w:rPr>
          <w:rFonts w:ascii="Georgia" w:cs="Georgia" w:eastAsia="Georgia" w:hAnsi="Georgia"/>
          <w:color w:val="1C1C1E"/>
          <w:sz w:val="22"/>
          <w:szCs w:val="22"/>
        </w:rPr>
        <w:t xml:space="preserve">Frameworks relevant to Layer 2 include the Cloud Security Alliance's Cloud Controls Matrix, the NIST Cybersecurity Framework's identify and protect functions, ISO/IEC 27001 for information security management, the EU's Cloud Services Scheme under EUCS, and national and regional sovereignty frameworks including the French SecNumCloud qualification and the German C5 catalogue.</w:t>
      </w:r>
    </w:p>
    <w:p>
      <w:pPr>
        <w:pStyle w:val="Heading2"/>
        <w:keepNext/>
        <w:spacing w:after="200" w:before="480"/>
      </w:pPr>
      <w:r>
        <w:rPr>
          <w:rFonts w:ascii="Helvetica Neue" w:cs="Helvetica Neue" w:eastAsia="Helvetica Neue" w:hAnsi="Helvetica Neue"/>
          <w:b w:val="false"/>
          <w:bCs w:val="false"/>
          <w:color w:val="000000"/>
          <w:sz w:val="26"/>
          <w:szCs w:val="26"/>
        </w:rPr>
        <w:t xml:space="preserve">6.5 Open Questions</w:t>
      </w:r>
    </w:p>
    <w:p>
      <w:pPr>
        <w:spacing w:after="200" w:before="0" w:line="340"/>
        <w:jc w:val="left"/>
      </w:pPr>
      <w:r>
        <w:rPr>
          <w:rFonts w:ascii="Georgia" w:cs="Georgia" w:eastAsia="Georgia" w:hAnsi="Georgia"/>
          <w:color w:val="1C1C1E"/>
          <w:sz w:val="22"/>
          <w:szCs w:val="22"/>
        </w:rPr>
        <w:t xml:space="preserve">Several architectural questions at Layer 2 remain actively unresolved.</w:t>
      </w:r>
    </w:p>
    <w:p>
      <w:pPr>
        <w:spacing w:after="200" w:before="0" w:line="340"/>
        <w:jc w:val="left"/>
      </w:pPr>
      <w:r>
        <w:rPr>
          <w:rFonts w:ascii="Georgia" w:cs="Georgia" w:eastAsia="Georgia" w:hAnsi="Georgia"/>
          <w:b/>
          <w:bCs/>
          <w:color w:val="1C1C1E"/>
          <w:sz w:val="22"/>
          <w:szCs w:val="22"/>
        </w:rPr>
        <w:t xml:space="preserve">The precise boundary between Layer 2 and hyperscale consumption patterns. </w:t>
      </w:r>
      <w:r>
        <w:rPr>
          <w:rFonts w:ascii="Georgia" w:cs="Georgia" w:eastAsia="Georgia" w:hAnsi="Georgia"/>
          <w:color w:val="1C1C1E"/>
          <w:sz w:val="22"/>
          <w:szCs w:val="22"/>
        </w:rPr>
        <w:t xml:space="preserve">When infrastructure is consumed entirely as a service from a hyperscaler, the architectural boundary between what belongs at Layer 2 and what has been delegated to the provider becomes blurred. Whether the OIA Model should treat hyperscale consumption as a Layer 2 implementation pattern, a separate architectural mode, or as a set of Layer 2 capabilities with specific sovereignty trade-offs is an area where the model may require refinement as practice matures.</w:t>
      </w:r>
    </w:p>
    <w:p>
      <w:pPr>
        <w:spacing w:after="200" w:before="0" w:line="340"/>
        <w:jc w:val="left"/>
      </w:pPr>
      <w:r>
        <w:rPr>
          <w:rFonts w:ascii="Georgia" w:cs="Georgia" w:eastAsia="Georgia" w:hAnsi="Georgia"/>
          <w:b/>
          <w:bCs/>
          <w:color w:val="1C1C1E"/>
          <w:sz w:val="22"/>
          <w:szCs w:val="22"/>
        </w:rPr>
        <w:t xml:space="preserve">The relationship between sovereignty and performance. </w:t>
      </w:r>
      <w:r>
        <w:rPr>
          <w:rFonts w:ascii="Georgia" w:cs="Georgia" w:eastAsia="Georgia" w:hAnsi="Georgia"/>
          <w:color w:val="1C1C1E"/>
          <w:sz w:val="22"/>
          <w:szCs w:val="22"/>
        </w:rPr>
        <w:t xml:space="preserve">Sovereignty requirements frequently constrain performance, either through geographic distribution requirements that increase latency or through operational controls that reduce throughput. The architectural patterns for managing this trade-off at Layer 2 are an active area of practice without settled consensus.</w:t>
      </w:r>
    </w:p>
    <w:p>
      <w:pPr>
        <w:spacing w:after="200" w:before="0" w:line="340"/>
        <w:jc w:val="left"/>
      </w:pPr>
      <w:r>
        <w:rPr>
          <w:rFonts w:ascii="Georgia" w:cs="Georgia" w:eastAsia="Georgia" w:hAnsi="Georgia"/>
          <w:b/>
          <w:bCs/>
          <w:color w:val="1C1C1E"/>
          <w:sz w:val="22"/>
          <w:szCs w:val="22"/>
        </w:rPr>
        <w:t xml:space="preserve">Carbon accounting and energy sovereignty as formal requirements. </w:t>
      </w:r>
      <w:r>
        <w:rPr>
          <w:rFonts w:ascii="Georgia" w:cs="Georgia" w:eastAsia="Georgia" w:hAnsi="Georgia"/>
          <w:color w:val="1C1C1E"/>
          <w:sz w:val="22"/>
          <w:szCs w:val="22"/>
        </w:rPr>
        <w:t xml:space="preserve">Energy sovereignty currently lacks the formal frameworks that jurisdictional and operational sovereignty possess. As carbon accounting requirements become more formal — particularly in European regulatory contexts — Layer 2 will require more precise definitions of what energy sovereignty means and how it is verified.</w:t>
      </w:r>
    </w:p>
    <w:p>
      <w:pPr>
        <w:spacing w:after="200" w:before="0" w:line="340"/>
        <w:jc w:val="left"/>
      </w:pPr>
      <w:r>
        <w:rPr>
          <w:rFonts w:ascii="Georgia" w:cs="Georgia" w:eastAsia="Georgia" w:hAnsi="Georgia"/>
          <w:b/>
          <w:bCs/>
          <w:color w:val="1C1C1E"/>
          <w:sz w:val="22"/>
          <w:szCs w:val="22"/>
        </w:rPr>
        <w:t xml:space="preserve">Federation and inter-sovereign interoperability. </w:t>
      </w:r>
      <w:r>
        <w:rPr>
          <w:rFonts w:ascii="Georgia" w:cs="Georgia" w:eastAsia="Georgia" w:hAnsi="Georgia"/>
          <w:color w:val="1C1C1E"/>
          <w:sz w:val="22"/>
          <w:szCs w:val="22"/>
        </w:rPr>
        <w:t xml:space="preserve">Intelligent systems increasingly operate across multiple sovereign boundaries, raising architectural questions about how sovereignty is preserved across federation. The emerging work on sovereign cloud federations, including Gaia-X and comparable initiatives, is likely to define patterns that require explicit treatment in future versions of the OIA Model.</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7. Layer 3: Agent Data Substrate</w:t>
      </w:r>
    </w:p>
    <w:p>
      <w:pPr>
        <w:pStyle w:val="Heading2"/>
        <w:keepNext/>
        <w:spacing w:after="200" w:before="480"/>
      </w:pPr>
      <w:r>
        <w:rPr>
          <w:rFonts w:ascii="Helvetica Neue" w:cs="Helvetica Neue" w:eastAsia="Helvetica Neue" w:hAnsi="Helvetica Neue"/>
          <w:b w:val="false"/>
          <w:bCs w:val="false"/>
          <w:color w:val="000000"/>
          <w:sz w:val="26"/>
          <w:szCs w:val="26"/>
        </w:rPr>
        <w:t xml:space="preserve">7.1 Purpose</w:t>
      </w:r>
    </w:p>
    <w:p>
      <w:pPr>
        <w:spacing w:after="200" w:before="0" w:line="340"/>
        <w:jc w:val="left"/>
      </w:pPr>
      <w:r>
        <w:rPr>
          <w:rFonts w:ascii="Georgia" w:cs="Georgia" w:eastAsia="Georgia" w:hAnsi="Georgia"/>
          <w:color w:val="1C1C1E"/>
          <w:sz w:val="22"/>
          <w:szCs w:val="22"/>
        </w:rPr>
        <w:t xml:space="preserve">Layer 3 provides the persistent, auditable, and access-controlled data environment on which intelligent systems operate. It sits above the sovereign infrastructure of Layer 2 and below the model training, inference, and context layers, providing the data plane that intelligent systems read from, write to, and reason over.</w:t>
      </w:r>
    </w:p>
    <w:p>
      <w:pPr>
        <w:spacing w:after="200" w:before="0" w:line="340"/>
        <w:jc w:val="left"/>
      </w:pPr>
      <w:r>
        <w:rPr>
          <w:rFonts w:ascii="Georgia" w:cs="Georgia" w:eastAsia="Georgia" w:hAnsi="Georgia"/>
          <w:color w:val="1C1C1E"/>
          <w:sz w:val="22"/>
          <w:szCs w:val="22"/>
        </w:rPr>
        <w:t xml:space="preserve">The layer is named Agent Data Substrate to reflect its role as one of the two state-holding layers of the OIA Model. As established in Section 3.3, Layer 3 and Layer 8 (Continuity Fabric) together bracket the operational layers (4 through 7) of the model, with different architectural character: Layer 3 holds the data on which intelligent systems operate, while Layer 8 maintains the cognitive state that intelligent systems develop. The distinction between these two forms of state is architecturally central and is reinforced in the scope definition below.</w:t>
      </w:r>
    </w:p>
    <w:p>
      <w:pPr>
        <w:pStyle w:val="Heading2"/>
        <w:keepNext/>
        <w:spacing w:after="200" w:before="480"/>
      </w:pPr>
      <w:r>
        <w:rPr>
          <w:rFonts w:ascii="Helvetica Neue" w:cs="Helvetica Neue" w:eastAsia="Helvetica Neue" w:hAnsi="Helvetica Neue"/>
          <w:b w:val="false"/>
          <w:bCs w:val="false"/>
          <w:color w:val="000000"/>
          <w:sz w:val="26"/>
          <w:szCs w:val="26"/>
        </w:rPr>
        <w:t xml:space="preserve">7.2 Scope</w:t>
      </w:r>
    </w:p>
    <w:p>
      <w:pPr>
        <w:spacing w:after="200" w:before="0" w:line="340"/>
        <w:jc w:val="left"/>
      </w:pPr>
      <w:r>
        <w:rPr>
          <w:rFonts w:ascii="Georgia" w:cs="Georgia" w:eastAsia="Georgia" w:hAnsi="Georgia"/>
          <w:color w:val="1C1C1E"/>
          <w:sz w:val="22"/>
          <w:szCs w:val="22"/>
        </w:rPr>
        <w:t xml:space="preserve">Layer 3 includes the transactional and analytical data stores that hold the structured and semi-structured data intelligent systems consume, including relational databases, document stores, time-series stores, and data lakes; the vector stores and embedding infrastructure that hold the learned representations on which retrieval and similarity operations depend, including dedicated vector databases and the vector capabilities increasingly integrated into general-purpose data platforms; the streaming and event infrastructure through which data flows into and out of intelligent systems in continuous time, including message queues, event buses, and change data capture pipelines; the metadata, lineage, and cataloguing systems that describe what data exists, where it came from, how it has been transformed, and who is permitted to access it; and the access control, encryption, and tokenisation mechanisms that govern data visibility and use, applied at granularities ranging from coarse-grained dataset access to fine-grained field-level controls.</w:t>
      </w:r>
    </w:p>
    <w:p>
      <w:pPr>
        <w:spacing w:after="200" w:before="0" w:line="340"/>
        <w:jc w:val="left"/>
      </w:pPr>
      <w:r>
        <w:rPr>
          <w:rFonts w:ascii="Georgia" w:cs="Georgia" w:eastAsia="Georgia" w:hAnsi="Georgia"/>
          <w:color w:val="1C1C1E"/>
          <w:sz w:val="22"/>
          <w:szCs w:val="22"/>
        </w:rPr>
        <w:t xml:space="preserve">Layer 3 explicitly excludes the persistent cognitive state of intelligent systems — memory, learned adaptations, decision histories — which is the concern of Layer 8 (Continuity Fabric). The distinction is architecturally significant: data is what the system operates on; cognitive state is what the system becomes. Conflating them produces architectures in which the provenance of data and the provenance of cognition cannot be separately audited.</w:t>
      </w:r>
    </w:p>
    <w:p>
      <w:pPr>
        <w:pStyle w:val="Heading2"/>
        <w:keepNext/>
        <w:spacing w:after="200" w:before="480"/>
      </w:pPr>
      <w:r>
        <w:rPr>
          <w:rFonts w:ascii="Helvetica Neue" w:cs="Helvetica Neue" w:eastAsia="Helvetica Neue" w:hAnsi="Helvetica Neue"/>
          <w:b w:val="false"/>
          <w:bCs w:val="false"/>
          <w:color w:val="000000"/>
          <w:sz w:val="26"/>
          <w:szCs w:val="26"/>
        </w:rPr>
        <w:t xml:space="preserve">7.3 Key Concerns</w:t>
      </w:r>
    </w:p>
    <w:p>
      <w:pPr>
        <w:spacing w:after="200" w:before="0" w:line="340"/>
        <w:jc w:val="left"/>
      </w:pPr>
      <w:r>
        <w:rPr>
          <w:rFonts w:ascii="Georgia" w:cs="Georgia" w:eastAsia="Georgia" w:hAnsi="Georgia"/>
          <w:color w:val="1C1C1E"/>
          <w:sz w:val="22"/>
          <w:szCs w:val="22"/>
        </w:rPr>
        <w:t xml:space="preserve">Correct implementation of Layer 3 requires attention to six properties.</w:t>
      </w:r>
    </w:p>
    <w:p>
      <w:pPr>
        <w:spacing w:after="200" w:before="0" w:line="340"/>
        <w:jc w:val="left"/>
      </w:pPr>
      <w:r>
        <w:rPr>
          <w:rFonts w:ascii="Georgia" w:cs="Georgia" w:eastAsia="Georgia" w:hAnsi="Georgia"/>
          <w:b/>
          <w:bCs/>
          <w:color w:val="1C1C1E"/>
          <w:sz w:val="22"/>
          <w:szCs w:val="22"/>
        </w:rPr>
        <w:t xml:space="preserve">Data residency and locality. </w:t>
      </w:r>
      <w:r>
        <w:rPr>
          <w:rFonts w:ascii="Georgia" w:cs="Georgia" w:eastAsia="Georgia" w:hAnsi="Georgia"/>
          <w:color w:val="1C1C1E"/>
          <w:sz w:val="22"/>
          <w:szCs w:val="22"/>
        </w:rPr>
        <w:t xml:space="preserve">The physical and jurisdictional location of data must be controllable and auditable. This extends the sovereignty concerns established at Layer 2 into the data plane, where residency requirements are frequently more prescriptive than infrastructure requirements.</w:t>
      </w:r>
    </w:p>
    <w:p>
      <w:pPr>
        <w:spacing w:after="200" w:before="0" w:line="340"/>
        <w:jc w:val="left"/>
      </w:pPr>
      <w:r>
        <w:rPr>
          <w:rFonts w:ascii="Georgia" w:cs="Georgia" w:eastAsia="Georgia" w:hAnsi="Georgia"/>
          <w:b/>
          <w:bCs/>
          <w:color w:val="1C1C1E"/>
          <w:sz w:val="22"/>
          <w:szCs w:val="22"/>
        </w:rPr>
        <w:t xml:space="preserve">Access control granularity. </w:t>
      </w:r>
      <w:r>
        <w:rPr>
          <w:rFonts w:ascii="Georgia" w:cs="Georgia" w:eastAsia="Georgia" w:hAnsi="Georgia"/>
          <w:color w:val="1C1C1E"/>
          <w:sz w:val="22"/>
          <w:szCs w:val="22"/>
        </w:rPr>
        <w:t xml:space="preserve">Intelligent systems frequently require access to data at granularities that traditional application access controls do not support. A system retrieving context from a knowledge base may need row-level, field-level, or even token-level access controls depending on the sensitivity of the data and the trust posture of the system consuming it.</w:t>
      </w:r>
    </w:p>
    <w:p>
      <w:pPr>
        <w:spacing w:after="200" w:before="0" w:line="340"/>
        <w:jc w:val="left"/>
      </w:pPr>
      <w:r>
        <w:rPr>
          <w:rFonts w:ascii="Georgia" w:cs="Georgia" w:eastAsia="Georgia" w:hAnsi="Georgia"/>
          <w:b/>
          <w:bCs/>
          <w:color w:val="1C1C1E"/>
          <w:sz w:val="22"/>
          <w:szCs w:val="22"/>
        </w:rPr>
        <w:t xml:space="preserve">Provenance and lineage. </w:t>
      </w:r>
      <w:r>
        <w:rPr>
          <w:rFonts w:ascii="Georgia" w:cs="Georgia" w:eastAsia="Georgia" w:hAnsi="Georgia"/>
          <w:color w:val="1C1C1E"/>
          <w:sz w:val="22"/>
          <w:szCs w:val="22"/>
        </w:rPr>
        <w:t xml:space="preserve">Every data element consumed by an intelligent system must be traceable to its source, through its transformations, and to the decisions it influenced. Provenance is a precondition for auditability at higher layers — a decision cannot be meaningfully audited if the data that informed it cannot be traced.</w:t>
      </w:r>
    </w:p>
    <w:p>
      <w:pPr>
        <w:spacing w:after="200" w:before="0" w:line="340"/>
        <w:jc w:val="left"/>
      </w:pPr>
      <w:r>
        <w:rPr>
          <w:rFonts w:ascii="Georgia" w:cs="Georgia" w:eastAsia="Georgia" w:hAnsi="Georgia"/>
          <w:b/>
          <w:bCs/>
          <w:color w:val="1C1C1E"/>
          <w:sz w:val="22"/>
          <w:szCs w:val="22"/>
        </w:rPr>
        <w:t xml:space="preserve">Vector and embedding management. </w:t>
      </w:r>
      <w:r>
        <w:rPr>
          <w:rFonts w:ascii="Georgia" w:cs="Georgia" w:eastAsia="Georgia" w:hAnsi="Georgia"/>
          <w:color w:val="1C1C1E"/>
          <w:sz w:val="22"/>
          <w:szCs w:val="22"/>
        </w:rPr>
        <w:t xml:space="preserve">Vector stores and embedding infrastructure introduce architectural concerns distinct from traditional data management. Embeddings are derived representations whose meaning depends on the models that produced them; a vector store cannot be meaningfully audited without reference to the embedding model, the embedding version, and the source data from which the embedding was computed.</w:t>
      </w:r>
    </w:p>
    <w:p>
      <w:pPr>
        <w:spacing w:after="200" w:before="0" w:line="340"/>
        <w:jc w:val="left"/>
      </w:pPr>
      <w:r>
        <w:rPr>
          <w:rFonts w:ascii="Georgia" w:cs="Georgia" w:eastAsia="Georgia" w:hAnsi="Georgia"/>
          <w:b/>
          <w:bCs/>
          <w:color w:val="1C1C1E"/>
          <w:sz w:val="22"/>
          <w:szCs w:val="22"/>
        </w:rPr>
        <w:t xml:space="preserve">Temporal consistency. </w:t>
      </w:r>
      <w:r>
        <w:rPr>
          <w:rFonts w:ascii="Georgia" w:cs="Georgia" w:eastAsia="Georgia" w:hAnsi="Georgia"/>
          <w:color w:val="1C1C1E"/>
          <w:sz w:val="22"/>
          <w:szCs w:val="22"/>
        </w:rPr>
        <w:t xml:space="preserve">Intelligent systems operating on streaming and event data must reason over temporally consistent views of that data. Architectural provisions for point-in-time consistency, time-travel queries, and temporal reasoning are more demanding for intelligent systems than for traditional applications.</w:t>
      </w:r>
    </w:p>
    <w:p>
      <w:pPr>
        <w:spacing w:after="200" w:before="0" w:line="340"/>
        <w:jc w:val="left"/>
      </w:pPr>
      <w:r>
        <w:rPr>
          <w:rFonts w:ascii="Georgia" w:cs="Georgia" w:eastAsia="Georgia" w:hAnsi="Georgia"/>
          <w:b/>
          <w:bCs/>
          <w:color w:val="1C1C1E"/>
          <w:sz w:val="22"/>
          <w:szCs w:val="22"/>
        </w:rPr>
        <w:t xml:space="preserve">Encryption and confidentiality. </w:t>
      </w:r>
      <w:r>
        <w:rPr>
          <w:rFonts w:ascii="Georgia" w:cs="Georgia" w:eastAsia="Georgia" w:hAnsi="Georgia"/>
          <w:color w:val="1C1C1E"/>
          <w:sz w:val="22"/>
          <w:szCs w:val="22"/>
        </w:rPr>
        <w:t xml:space="preserve">Data at rest, in transit, and in use must be protected in ways that are consistent with the organisation's sovereignty and regulatory posture. The emerging pattern of confidential computing at Layers 1 and 2 surfaces at Layer 3 through confidential data processing — patterns in which encrypted data is operated on without decryption.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7.4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3 are organised around four distinct patterns.</w:t>
      </w:r>
    </w:p>
    <w:p>
      <w:pPr>
        <w:spacing w:after="200" w:before="0" w:line="340"/>
        <w:jc w:val="left"/>
      </w:pPr>
      <w:r>
        <w:rPr>
          <w:rFonts w:ascii="Georgia" w:cs="Georgia" w:eastAsia="Georgia" w:hAnsi="Georgia"/>
          <w:b/>
          <w:bCs/>
          <w:color w:val="1C1C1E"/>
          <w:sz w:val="22"/>
          <w:szCs w:val="22"/>
        </w:rPr>
        <w:t xml:space="preserve">Enterprise data platforms, </w:t>
      </w:r>
      <w:r>
        <w:rPr>
          <w:rFonts w:ascii="Georgia" w:cs="Georgia" w:eastAsia="Georgia" w:hAnsi="Georgia"/>
          <w:color w:val="1C1C1E"/>
          <w:sz w:val="22"/>
          <w:szCs w:val="22"/>
        </w:rPr>
        <w:t xml:space="preserve">including Snowflake, Databricks, Microsoft Fabric, Google BigQuery, and AWS Redshift, provide comprehensive Layer 3 capabilities with integrated governance, lineage, and access control. These platforms have increasingly incorporated vector and AI-native capabilities, making them viable as unified substrates for both traditional data workloads and intelligent system data requirements.</w:t>
      </w:r>
    </w:p>
    <w:p>
      <w:pPr>
        <w:spacing w:after="200" w:before="0" w:line="340"/>
        <w:jc w:val="left"/>
      </w:pPr>
      <w:r>
        <w:rPr>
          <w:rFonts w:ascii="Georgia" w:cs="Georgia" w:eastAsia="Georgia" w:hAnsi="Georgia"/>
          <w:b/>
          <w:bCs/>
          <w:color w:val="1C1C1E"/>
          <w:sz w:val="22"/>
          <w:szCs w:val="22"/>
        </w:rPr>
        <w:t xml:space="preserve">Dedicated vector and embedding platforms, </w:t>
      </w:r>
      <w:r>
        <w:rPr>
          <w:rFonts w:ascii="Georgia" w:cs="Georgia" w:eastAsia="Georgia" w:hAnsi="Georgia"/>
          <w:color w:val="1C1C1E"/>
          <w:sz w:val="22"/>
          <w:szCs w:val="22"/>
        </w:rPr>
        <w:t xml:space="preserve">including Pinecone, Weaviate, Qdrant, Milvus, and Chroma, provide vector-native infrastructure optimised for similarity search and retrieval-augmented workloads. These platforms are frequently deployed alongside traditional data platforms rather than as replacements for them, reflecting the architectural distinction between transactional data and derived representational data.</w:t>
      </w:r>
    </w:p>
    <w:p>
      <w:pPr>
        <w:spacing w:after="200" w:before="0" w:line="340"/>
        <w:jc w:val="left"/>
      </w:pPr>
      <w:r>
        <w:rPr>
          <w:rFonts w:ascii="Georgia" w:cs="Georgia" w:eastAsia="Georgia" w:hAnsi="Georgia"/>
          <w:b/>
          <w:bCs/>
          <w:color w:val="1C1C1E"/>
          <w:sz w:val="22"/>
          <w:szCs w:val="22"/>
        </w:rPr>
        <w:t xml:space="preserve">Streaming and event platforms, </w:t>
      </w:r>
      <w:r>
        <w:rPr>
          <w:rFonts w:ascii="Georgia" w:cs="Georgia" w:eastAsia="Georgia" w:hAnsi="Georgia"/>
          <w:color w:val="1C1C1E"/>
          <w:sz w:val="22"/>
          <w:szCs w:val="22"/>
        </w:rPr>
        <w:t xml:space="preserve">including Apache Kafka, Confluent, Apache Flink, AWS Kinesis, and Google Pub/Sub, provide the continuous-time data flow that intelligent systems increasingly require. Change data capture patterns — exemplified by Debezium and comparable tools — connect transactional systems to streaming platforms to provide the near-real-time data freshness that agentic systems depend on.</w:t>
      </w:r>
    </w:p>
    <w:p>
      <w:pPr>
        <w:spacing w:after="200" w:before="0" w:line="340"/>
        <w:jc w:val="left"/>
      </w:pPr>
      <w:r>
        <w:rPr>
          <w:rFonts w:ascii="Georgia" w:cs="Georgia" w:eastAsia="Georgia" w:hAnsi="Georgia"/>
          <w:b/>
          <w:bCs/>
          <w:color w:val="1C1C1E"/>
          <w:sz w:val="22"/>
          <w:szCs w:val="22"/>
        </w:rPr>
        <w:t xml:space="preserve">Agent-native data platforms </w:t>
      </w:r>
      <w:r>
        <w:rPr>
          <w:rFonts w:ascii="Georgia" w:cs="Georgia" w:eastAsia="Georgia" w:hAnsi="Georgia"/>
          <w:color w:val="1C1C1E"/>
          <w:sz w:val="22"/>
          <w:szCs w:val="22"/>
        </w:rPr>
        <w:t xml:space="preserve">represent an emerging pattern in which data infrastructure is designed explicitly for consumption by intelligent systems rather than by human-driven applications. These platforms provide first-class support for vector operations, fine-grained access controls for agent identities, and lineage tracking that extends through agent interactions. The category is early and its eventual shape is not yet settled.</w:t>
      </w:r>
    </w:p>
    <w:p>
      <w:pPr>
        <w:spacing w:after="200" w:before="0" w:line="340"/>
        <w:jc w:val="left"/>
      </w:pPr>
      <w:r>
        <w:rPr>
          <w:rFonts w:ascii="Georgia" w:cs="Georgia" w:eastAsia="Georgia" w:hAnsi="Georgia"/>
          <w:b/>
          <w:bCs/>
          <w:color w:val="1C1C1E"/>
          <w:sz w:val="22"/>
          <w:szCs w:val="22"/>
        </w:rPr>
        <w:t xml:space="preserve">Confidential data processing </w:t>
      </w:r>
      <w:r>
        <w:rPr>
          <w:rFonts w:ascii="Georgia" w:cs="Georgia" w:eastAsia="Georgia" w:hAnsi="Georgia"/>
          <w:color w:val="1C1C1E"/>
          <w:sz w:val="22"/>
          <w:szCs w:val="22"/>
        </w:rPr>
        <w:t xml:space="preserve">provides a cross-cutting capability at Layer 3 in which sensitive data is processed within hardware-enforced trust boundaries. Reference implementations include confidential analytics platforms on Azure, Google, and AWS confidential computing offerings, and open-source projects exploring homomorphic encryption and secure multiparty computation for specific workload classes.</w:t>
      </w:r>
    </w:p>
    <w:p>
      <w:pPr>
        <w:spacing w:after="200" w:before="0" w:line="340"/>
        <w:jc w:val="left"/>
      </w:pPr>
      <w:r>
        <w:rPr>
          <w:rFonts w:ascii="Georgia" w:cs="Georgia" w:eastAsia="Georgia" w:hAnsi="Georgia"/>
          <w:color w:val="1C1C1E"/>
          <w:sz w:val="22"/>
          <w:szCs w:val="22"/>
        </w:rPr>
        <w:t xml:space="preserve">Frameworks relevant to Layer 3 include the Open Data Platform Initiative specifications, the Apache Iceberg and Delta Lake open table formats, the Data Mesh architectural patterns, ISO/IEC 27701 for privacy information management, and the emerging body of work on data provenance standards including W3C PROV.</w:t>
      </w:r>
    </w:p>
    <w:p>
      <w:pPr>
        <w:pStyle w:val="Heading2"/>
        <w:keepNext/>
        <w:spacing w:after="200" w:before="480"/>
      </w:pPr>
      <w:r>
        <w:rPr>
          <w:rFonts w:ascii="Helvetica Neue" w:cs="Helvetica Neue" w:eastAsia="Helvetica Neue" w:hAnsi="Helvetica Neue"/>
          <w:b w:val="false"/>
          <w:bCs w:val="false"/>
          <w:color w:val="000000"/>
          <w:sz w:val="26"/>
          <w:szCs w:val="26"/>
        </w:rPr>
        <w:t xml:space="preserve">7.5 Open Questions</w:t>
      </w:r>
    </w:p>
    <w:p>
      <w:pPr>
        <w:spacing w:after="200" w:before="0" w:line="340"/>
        <w:jc w:val="left"/>
      </w:pPr>
      <w:r>
        <w:rPr>
          <w:rFonts w:ascii="Georgia" w:cs="Georgia" w:eastAsia="Georgia" w:hAnsi="Georgia"/>
          <w:color w:val="1C1C1E"/>
          <w:sz w:val="22"/>
          <w:szCs w:val="22"/>
        </w:rPr>
        <w:t xml:space="preserve">Several architectural questions at Layer 3 remain unresolved.</w:t>
      </w:r>
    </w:p>
    <w:p>
      <w:pPr>
        <w:spacing w:after="200" w:before="0" w:line="340"/>
        <w:jc w:val="left"/>
      </w:pPr>
      <w:r>
        <w:rPr>
          <w:rFonts w:ascii="Georgia" w:cs="Georgia" w:eastAsia="Georgia" w:hAnsi="Georgia"/>
          <w:b/>
          <w:bCs/>
          <w:color w:val="1C1C1E"/>
          <w:sz w:val="22"/>
          <w:szCs w:val="22"/>
        </w:rPr>
        <w:t xml:space="preserve">The integration boundary between traditional data platforms and vector infrastructure. </w:t>
      </w:r>
      <w:r>
        <w:rPr>
          <w:rFonts w:ascii="Georgia" w:cs="Georgia" w:eastAsia="Georgia" w:hAnsi="Georgia"/>
          <w:color w:val="1C1C1E"/>
          <w:sz w:val="22"/>
          <w:szCs w:val="22"/>
        </w:rPr>
        <w:t xml:space="preserve">Whether vector capabilities will be subsumed into general-purpose data platforms, remain as dedicated specialised infrastructure, or evolve into a third category of agent-native data platforms is an unresolved architectural question with significant implications for Layer 3 implementations.</w:t>
      </w:r>
    </w:p>
    <w:p>
      <w:pPr>
        <w:spacing w:after="200" w:before="0" w:line="340"/>
        <w:jc w:val="left"/>
      </w:pPr>
      <w:r>
        <w:rPr>
          <w:rFonts w:ascii="Georgia" w:cs="Georgia" w:eastAsia="Georgia" w:hAnsi="Georgia"/>
          <w:b/>
          <w:bCs/>
          <w:color w:val="1C1C1E"/>
          <w:sz w:val="22"/>
          <w:szCs w:val="22"/>
        </w:rPr>
        <w:t xml:space="preserve">Agent identity in data access control. </w:t>
      </w:r>
      <w:r>
        <w:rPr>
          <w:rFonts w:ascii="Georgia" w:cs="Georgia" w:eastAsia="Georgia" w:hAnsi="Georgia"/>
          <w:color w:val="1C1C1E"/>
          <w:sz w:val="22"/>
          <w:szCs w:val="22"/>
        </w:rPr>
        <w:t xml:space="preserve">Traditional data access control models were designed around human and application identities. Intelligent systems introduce agent identities that may act on behalf of multiple users, may be composed of multiple sub-agents, and may exhibit trust properties that change over time. The architectural patterns for expressing and enforcing agent-aware access control at Layer 3 are early and will require refinement as practice matures.</w:t>
      </w:r>
    </w:p>
    <w:p>
      <w:pPr>
        <w:spacing w:after="200" w:before="0" w:line="340"/>
        <w:jc w:val="left"/>
      </w:pPr>
      <w:r>
        <w:rPr>
          <w:rFonts w:ascii="Georgia" w:cs="Georgia" w:eastAsia="Georgia" w:hAnsi="Georgia"/>
          <w:b/>
          <w:bCs/>
          <w:color w:val="1C1C1E"/>
          <w:sz w:val="22"/>
          <w:szCs w:val="22"/>
        </w:rPr>
        <w:t xml:space="preserve">Provenance across agent interactions. </w:t>
      </w:r>
      <w:r>
        <w:rPr>
          <w:rFonts w:ascii="Georgia" w:cs="Georgia" w:eastAsia="Georgia" w:hAnsi="Georgia"/>
          <w:color w:val="1C1C1E"/>
          <w:sz w:val="22"/>
          <w:szCs w:val="22"/>
        </w:rPr>
        <w:t xml:space="preserve">Data provenance frameworks have historically tracked transformation through deterministic pipelines. Intelligent systems introduce non-deterministic transformations whose provenance must be captured differently. How provenance is tracked when data passes through an intelligent system — and how that provenance interacts with the cognitive audit trails at Layer 8 — is an open architectural question.</w:t>
      </w:r>
    </w:p>
    <w:p>
      <w:pPr>
        <w:spacing w:after="200" w:before="0" w:line="340"/>
        <w:jc w:val="left"/>
      </w:pPr>
      <w:r>
        <w:rPr>
          <w:rFonts w:ascii="Georgia" w:cs="Georgia" w:eastAsia="Georgia" w:hAnsi="Georgia"/>
          <w:b/>
          <w:bCs/>
          <w:color w:val="1C1C1E"/>
          <w:sz w:val="22"/>
          <w:szCs w:val="22"/>
        </w:rPr>
        <w:t xml:space="preserve">Confidential data processing at scale. </w:t>
      </w:r>
      <w:r>
        <w:rPr>
          <w:rFonts w:ascii="Georgia" w:cs="Georgia" w:eastAsia="Georgia" w:hAnsi="Georgia"/>
          <w:color w:val="1C1C1E"/>
          <w:sz w:val="22"/>
          <w:szCs w:val="22"/>
        </w:rPr>
        <w:t xml:space="preserve">Confidential computing patterns extend naturally into Layer 3, but the performance and cost characteristics of processing encrypted data at the scale intelligent systems require remain actively challenged. Whether homomorphic encryption, trusted execution environments, or secure multiparty computation will emerge as the dominant pattern for confidential data processing at Layer 3 is unresolved.</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8. Layer 4: Model Training and Adaptation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8.1 Purpose</w:t>
      </w:r>
    </w:p>
    <w:p>
      <w:pPr>
        <w:spacing w:after="200" w:before="0" w:line="340"/>
        <w:jc w:val="left"/>
      </w:pPr>
      <w:r>
        <w:rPr>
          <w:rFonts w:ascii="Georgia" w:cs="Georgia" w:eastAsia="Georgia" w:hAnsi="Georgia"/>
          <w:color w:val="1C1C1E"/>
          <w:sz w:val="22"/>
          <w:szCs w:val="22"/>
        </w:rPr>
        <w:t xml:space="preserve">Layer 4 addresses the training, fine-tuning, and continuous adaptation of the intelligent models that execute at Layer 5 and are consumed by higher layers. It includes pre-training of foundation models, post-training techniques including reinforcement learning from human and AI feedback, task-specific fine-tuning, and the emerging class of continuous adaptation patterns in which models improve during operation rather than only before deployment.</w:t>
      </w:r>
    </w:p>
    <w:p>
      <w:pPr>
        <w:spacing w:after="200" w:before="0" w:line="340"/>
        <w:jc w:val="left"/>
      </w:pPr>
      <w:r>
        <w:rPr>
          <w:rFonts w:ascii="Georgia" w:cs="Georgia" w:eastAsia="Georgia" w:hAnsi="Georgia"/>
          <w:color w:val="1C1C1E"/>
          <w:sz w:val="22"/>
          <w:szCs w:val="22"/>
        </w:rPr>
        <w:t xml:space="preserve">The layer is named Model Training and Adaptation rather than the more common Model Training to make explicit the architectural claim that training is no longer a discrete pre-deployment event. Contemporary intelligent systems adapt continuously — through fine-tuning, through in-context learning, through reinforcement signals captured from operation, and through on-device learning patterns. These adaptation mechanisms have architectural implications that pre-deployment training alone does not capture.</w:t>
      </w:r>
    </w:p>
    <w:p>
      <w:pPr>
        <w:pStyle w:val="Heading2"/>
        <w:keepNext/>
        <w:spacing w:after="200" w:before="480"/>
      </w:pPr>
      <w:r>
        <w:rPr>
          <w:rFonts w:ascii="Helvetica Neue" w:cs="Helvetica Neue" w:eastAsia="Helvetica Neue" w:hAnsi="Helvetica Neue"/>
          <w:b w:val="false"/>
          <w:bCs w:val="false"/>
          <w:color w:val="000000"/>
          <w:sz w:val="26"/>
          <w:szCs w:val="26"/>
        </w:rPr>
        <w:t xml:space="preserve">8.2 Scope</w:t>
      </w:r>
    </w:p>
    <w:p>
      <w:pPr>
        <w:spacing w:after="200" w:before="0" w:line="340"/>
        <w:jc w:val="left"/>
      </w:pPr>
      <w:r>
        <w:rPr>
          <w:rFonts w:ascii="Georgia" w:cs="Georgia" w:eastAsia="Georgia" w:hAnsi="Georgia"/>
          <w:color w:val="1C1C1E"/>
          <w:sz w:val="22"/>
          <w:szCs w:val="22"/>
        </w:rPr>
        <w:t xml:space="preserve">Layer 4 includes the pre-training infrastructure on which foundation models are developed, including large-scale distributed training systems, the datasets consumed during pre-training, and the compute orchestration required to sustain training runs at frontier scale; the post-training techniques by which foundation models are aligned, instruction-tuned, and refined for specific purposes, including supervised fine-tuning, reinforcement learning from human feedback, reinforcement learning from AI feedback, direct preference optimisation, and comparable methods; the task-specific fine-tuning systems by which models are adapted for particular domains, organisations, or use cases, including parameter-efficient fine-tuning methods such as LoRA and its successors; the continuous adaptation systems by which deployed models incorporate feedback from operation, including online reinforcement learning, nightly fine-tuning pipelines, and the governance systems that constrain what adaptations are permitted; and the evaluation, validation, and safety-testing systems that precede and govern the release of trained and adapted models into production.</w:t>
      </w:r>
    </w:p>
    <w:p>
      <w:pPr>
        <w:spacing w:after="200" w:before="0" w:line="340"/>
        <w:jc w:val="left"/>
      </w:pPr>
      <w:r>
        <w:rPr>
          <w:rFonts w:ascii="Georgia" w:cs="Georgia" w:eastAsia="Georgia" w:hAnsi="Georgia"/>
          <w:color w:val="1C1C1E"/>
          <w:sz w:val="22"/>
          <w:szCs w:val="22"/>
        </w:rPr>
        <w:t xml:space="preserve">Layer 4 explicitly excludes the execution of trained models, which is the concern of Layer 5 (Inference and Retrieval). It also excludes the cognitive state accumulated by an intelligent system during operation, which — critically — is the concern of Layer 8 (Continuity Fabric). The distinction between Layer 4 adaptation (changes to the model itself) and Layer 8 cognitive state (changes to the system's operational memory) is architecturally central: they are different forms of learning with different auditability, reversibility, and governance requirements.</w:t>
      </w:r>
    </w:p>
    <w:p>
      <w:pPr>
        <w:pStyle w:val="Heading2"/>
        <w:keepNext/>
        <w:spacing w:after="200" w:before="480"/>
      </w:pPr>
      <w:r>
        <w:rPr>
          <w:rFonts w:ascii="Helvetica Neue" w:cs="Helvetica Neue" w:eastAsia="Helvetica Neue" w:hAnsi="Helvetica Neue"/>
          <w:b w:val="false"/>
          <w:bCs w:val="false"/>
          <w:color w:val="000000"/>
          <w:sz w:val="26"/>
          <w:szCs w:val="26"/>
        </w:rPr>
        <w:t xml:space="preserve">8.3 Key Concerns</w:t>
      </w:r>
    </w:p>
    <w:p>
      <w:pPr>
        <w:spacing w:after="200" w:before="0" w:line="340"/>
        <w:jc w:val="left"/>
      </w:pPr>
      <w:r>
        <w:rPr>
          <w:rFonts w:ascii="Georgia" w:cs="Georgia" w:eastAsia="Georgia" w:hAnsi="Georgia"/>
          <w:color w:val="1C1C1E"/>
          <w:sz w:val="22"/>
          <w:szCs w:val="22"/>
        </w:rPr>
        <w:t xml:space="preserve">Correct implementation of Layer 4 requires attention to six properties.</w:t>
      </w:r>
    </w:p>
    <w:p>
      <w:pPr>
        <w:spacing w:after="200" w:before="0" w:line="340"/>
        <w:jc w:val="left"/>
      </w:pPr>
      <w:r>
        <w:rPr>
          <w:rFonts w:ascii="Georgia" w:cs="Georgia" w:eastAsia="Georgia" w:hAnsi="Georgia"/>
          <w:b/>
          <w:bCs/>
          <w:color w:val="1C1C1E"/>
          <w:sz w:val="22"/>
          <w:szCs w:val="22"/>
        </w:rPr>
        <w:t xml:space="preserve">Training data provenance. </w:t>
      </w:r>
      <w:r>
        <w:rPr>
          <w:rFonts w:ascii="Georgia" w:cs="Georgia" w:eastAsia="Georgia" w:hAnsi="Georgia"/>
          <w:color w:val="1C1C1E"/>
          <w:sz w:val="22"/>
          <w:szCs w:val="22"/>
        </w:rPr>
        <w:t xml:space="preserve">The data on which models are trained and adapted must be traceable to its source, with the lineage preserved through all subsequent adaptations. Provenance at Layer 4 is foundational to the auditability of decisions made by models at higher layers.</w:t>
      </w:r>
    </w:p>
    <w:p>
      <w:pPr>
        <w:spacing w:after="200" w:before="0" w:line="340"/>
        <w:jc w:val="left"/>
      </w:pPr>
      <w:r>
        <w:rPr>
          <w:rFonts w:ascii="Georgia" w:cs="Georgia" w:eastAsia="Georgia" w:hAnsi="Georgia"/>
          <w:b/>
          <w:bCs/>
          <w:color w:val="1C1C1E"/>
          <w:sz w:val="22"/>
          <w:szCs w:val="22"/>
        </w:rPr>
        <w:t xml:space="preserve">Adaptation governance. </w:t>
      </w:r>
      <w:r>
        <w:rPr>
          <w:rFonts w:ascii="Georgia" w:cs="Georgia" w:eastAsia="Georgia" w:hAnsi="Georgia"/>
          <w:color w:val="1C1C1E"/>
          <w:sz w:val="22"/>
          <w:szCs w:val="22"/>
        </w:rPr>
        <w:t xml:space="preserve">The conditions under which models are adapted — what feedback is incorporated, by whom, with what review, under what constraints — must be explicitly governed rather than left to operational defaults. The pattern of continuous adaptation introduces architectural risks that discrete pre-deployment training did not, including drift from original intent, reinforcement of subtle biases, and the possibility of adversarial manipulation through feedback channels.</w:t>
      </w:r>
    </w:p>
    <w:p>
      <w:pPr>
        <w:spacing w:after="200" w:before="0" w:line="340"/>
        <w:jc w:val="left"/>
      </w:pPr>
      <w:r>
        <w:rPr>
          <w:rFonts w:ascii="Georgia" w:cs="Georgia" w:eastAsia="Georgia" w:hAnsi="Georgia"/>
          <w:b/>
          <w:bCs/>
          <w:color w:val="1C1C1E"/>
          <w:sz w:val="22"/>
          <w:szCs w:val="22"/>
        </w:rPr>
        <w:t xml:space="preserve">Reversibility. </w:t>
      </w:r>
      <w:r>
        <w:rPr>
          <w:rFonts w:ascii="Georgia" w:cs="Georgia" w:eastAsia="Georgia" w:hAnsi="Georgia"/>
          <w:color w:val="1C1C1E"/>
          <w:sz w:val="22"/>
          <w:szCs w:val="22"/>
        </w:rPr>
        <w:t xml:space="preserve">Adaptations must be reversible. A model that has been fine-tuned or adapted must be returnable to a prior known-good state, with the adaptations that produced a subsequent state being inspectable and removable. Reversibility is architecturally demanding — parameter-efficient methods such as LoRA make it more tractable than full fine-tuning — and it is foundational to operational confidence in continuously adapting systems.</w:t>
      </w:r>
    </w:p>
    <w:p>
      <w:pPr>
        <w:spacing w:after="200" w:before="0" w:line="340"/>
        <w:jc w:val="left"/>
      </w:pPr>
      <w:r>
        <w:rPr>
          <w:rFonts w:ascii="Georgia" w:cs="Georgia" w:eastAsia="Georgia" w:hAnsi="Georgia"/>
          <w:b/>
          <w:bCs/>
          <w:color w:val="1C1C1E"/>
          <w:sz w:val="22"/>
          <w:szCs w:val="22"/>
        </w:rPr>
        <w:t xml:space="preserve">Evaluation before release. </w:t>
      </w:r>
      <w:r>
        <w:rPr>
          <w:rFonts w:ascii="Georgia" w:cs="Georgia" w:eastAsia="Georgia" w:hAnsi="Georgia"/>
          <w:color w:val="1C1C1E"/>
          <w:sz w:val="22"/>
          <w:szCs w:val="22"/>
        </w:rPr>
        <w:t xml:space="preserve">Adapted models must be evaluated against defined criteria before being promoted to production use. The evaluation criteria must cover not only task performance but also alignment, safety, and emergent capability changes. The industry has not yet converged on standardised evaluation regimes for this purpose, which is addressed as an open question in Section 8.5.</w:t>
      </w:r>
    </w:p>
    <w:p>
      <w:pPr>
        <w:spacing w:after="200" w:before="0" w:line="340"/>
        <w:jc w:val="left"/>
      </w:pPr>
      <w:r>
        <w:rPr>
          <w:rFonts w:ascii="Georgia" w:cs="Georgia" w:eastAsia="Georgia" w:hAnsi="Georgia"/>
          <w:b/>
          <w:bCs/>
          <w:color w:val="1C1C1E"/>
          <w:sz w:val="22"/>
          <w:szCs w:val="22"/>
        </w:rPr>
        <w:t xml:space="preserve">Drift detection. </w:t>
      </w:r>
      <w:r>
        <w:rPr>
          <w:rFonts w:ascii="Georgia" w:cs="Georgia" w:eastAsia="Georgia" w:hAnsi="Georgia"/>
          <w:color w:val="1C1C1E"/>
          <w:sz w:val="22"/>
          <w:szCs w:val="22"/>
        </w:rPr>
        <w:t xml:space="preserve">Deployed models must be continuously monitored for behavioural drift, whether drift is the result of intentional adaptation or of environmental change. Drift detection at Layer 4 complements the coherence monitoring that occurs at higher layers and the behavioural baselines maintained at the orchestration layer.</w:t>
      </w:r>
    </w:p>
    <w:p>
      <w:pPr>
        <w:spacing w:after="200" w:before="0" w:line="340"/>
        <w:jc w:val="left"/>
      </w:pPr>
      <w:r>
        <w:rPr>
          <w:rFonts w:ascii="Georgia" w:cs="Georgia" w:eastAsia="Georgia" w:hAnsi="Georgia"/>
          <w:b/>
          <w:bCs/>
          <w:color w:val="1C1C1E"/>
          <w:sz w:val="22"/>
          <w:szCs w:val="22"/>
        </w:rPr>
        <w:t xml:space="preserve">Sovereignty of training and adaptation. </w:t>
      </w:r>
      <w:r>
        <w:rPr>
          <w:rFonts w:ascii="Georgia" w:cs="Georgia" w:eastAsia="Georgia" w:hAnsi="Georgia"/>
          <w:color w:val="1C1C1E"/>
          <w:sz w:val="22"/>
          <w:szCs w:val="22"/>
        </w:rPr>
        <w:t xml:space="preserve">The sovereignty concerns established at Layer 2 extend into Layer 4. Organisations in regulated sectors frequently require that model adaptation occur within jurisdictional, operational, and data boundaries they control, which has architectural implications for where Layer 4 capabilities are sited and how they consume data from Layer 3.</w:t>
      </w:r>
    </w:p>
    <w:p>
      <w:pPr>
        <w:pStyle w:val="Heading2"/>
        <w:keepNext/>
        <w:spacing w:after="200" w:before="480"/>
      </w:pPr>
      <w:r>
        <w:rPr>
          <w:rFonts w:ascii="Helvetica Neue" w:cs="Helvetica Neue" w:eastAsia="Helvetica Neue" w:hAnsi="Helvetica Neue"/>
          <w:b w:val="false"/>
          <w:bCs w:val="false"/>
          <w:color w:val="000000"/>
          <w:sz w:val="26"/>
          <w:szCs w:val="26"/>
        </w:rPr>
        <w:t xml:space="preserve">8.4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4 are organised around four distinct patterns.</w:t>
      </w:r>
    </w:p>
    <w:p>
      <w:pPr>
        <w:spacing w:after="200" w:before="0" w:line="340"/>
        <w:jc w:val="left"/>
      </w:pPr>
      <w:r>
        <w:rPr>
          <w:rFonts w:ascii="Georgia" w:cs="Georgia" w:eastAsia="Georgia" w:hAnsi="Georgia"/>
          <w:b/>
          <w:bCs/>
          <w:color w:val="1C1C1E"/>
          <w:sz w:val="22"/>
          <w:szCs w:val="22"/>
        </w:rPr>
        <w:t xml:space="preserve">Frontier model pre-training </w:t>
      </w:r>
      <w:r>
        <w:rPr>
          <w:rFonts w:ascii="Georgia" w:cs="Georgia" w:eastAsia="Georgia" w:hAnsi="Georgia"/>
          <w:color w:val="1C1C1E"/>
          <w:sz w:val="22"/>
          <w:szCs w:val="22"/>
        </w:rPr>
        <w:t xml:space="preserve">is conducted by a small number of laboratories — including Anthropic, OpenAI, Google DeepMind, Meta AI, and Mistral — on infrastructure that few organisations can replicate. The economics and energy requirements of frontier pre-training concentrate this capability among a small number of providers, with downstream consumers accessing the resulting models through inference APIs or through licensed weight distributions. Open-weight model families including Llama, Mistral, and emerging releases from additional laboratories provide an alternative consumption pattern.</w:t>
      </w:r>
    </w:p>
    <w:p>
      <w:pPr>
        <w:spacing w:after="200" w:before="0" w:line="340"/>
        <w:jc w:val="left"/>
      </w:pPr>
      <w:r>
        <w:rPr>
          <w:rFonts w:ascii="Georgia" w:cs="Georgia" w:eastAsia="Georgia" w:hAnsi="Georgia"/>
          <w:b/>
          <w:bCs/>
          <w:color w:val="1C1C1E"/>
          <w:sz w:val="22"/>
          <w:szCs w:val="22"/>
        </w:rPr>
        <w:t xml:space="preserve">Post-training and alignment infrastructure, </w:t>
      </w:r>
      <w:r>
        <w:rPr>
          <w:rFonts w:ascii="Georgia" w:cs="Georgia" w:eastAsia="Georgia" w:hAnsi="Georgia"/>
          <w:color w:val="1C1C1E"/>
          <w:sz w:val="22"/>
          <w:szCs w:val="22"/>
        </w:rPr>
        <w:t xml:space="preserve">including reinforcement learning frameworks and preference optimisation pipelines, has emerged as a distinct architectural concern. Reference implementations include the open-source TRL and TRLX libraries, commercial post-training platforms from Anthropic, OpenAI, and specialist vendors, and the growing body of research infrastructure around RLHF, RLAIF, and Constitutional AI methods.</w:t>
      </w:r>
    </w:p>
    <w:p>
      <w:pPr>
        <w:spacing w:after="200" w:before="0" w:line="340"/>
        <w:jc w:val="left"/>
      </w:pPr>
      <w:r>
        <w:rPr>
          <w:rFonts w:ascii="Georgia" w:cs="Georgia" w:eastAsia="Georgia" w:hAnsi="Georgia"/>
          <w:b/>
          <w:bCs/>
          <w:color w:val="1C1C1E"/>
          <w:sz w:val="22"/>
          <w:szCs w:val="22"/>
        </w:rPr>
        <w:t xml:space="preserve">Parameter-efficient fine-tuning infrastructure, </w:t>
      </w:r>
      <w:r>
        <w:rPr>
          <w:rFonts w:ascii="Georgia" w:cs="Georgia" w:eastAsia="Georgia" w:hAnsi="Georgia"/>
          <w:color w:val="1C1C1E"/>
          <w:sz w:val="22"/>
          <w:szCs w:val="22"/>
        </w:rPr>
        <w:t xml:space="preserve">built around LoRA and its successors, has made task-specific model adaptation accessible to a much broader set of organisations than full fine-tuning. Reference implementations include Hugging Face's PEFT library, commercial fine-tuning services from hyperscalers and specialist vendors, and on-premises fine-tuning platforms integrated with Layer 3 data platforms.</w:t>
      </w:r>
    </w:p>
    <w:p>
      <w:pPr>
        <w:spacing w:after="200" w:before="0" w:line="340"/>
        <w:jc w:val="left"/>
      </w:pPr>
      <w:r>
        <w:rPr>
          <w:rFonts w:ascii="Georgia" w:cs="Georgia" w:eastAsia="Georgia" w:hAnsi="Georgia"/>
          <w:b/>
          <w:bCs/>
          <w:color w:val="1C1C1E"/>
          <w:sz w:val="22"/>
          <w:szCs w:val="22"/>
        </w:rPr>
        <w:t xml:space="preserve">Continuous adaptation systems </w:t>
      </w:r>
      <w:r>
        <w:rPr>
          <w:rFonts w:ascii="Georgia" w:cs="Georgia" w:eastAsia="Georgia" w:hAnsi="Georgia"/>
          <w:color w:val="1C1C1E"/>
          <w:sz w:val="22"/>
          <w:szCs w:val="22"/>
        </w:rPr>
        <w:t xml:space="preserve">represent an emerging pattern in which deployed models are adapted through ongoing pipelines rather than through discrete releases. Reference implementations include nightly LoRA adaptation pipelines exemplified by RuVector's continuous training architecture, federated learning frameworks that permit adaptation across distributed data sources without centralising data, and the emerging class of on-device adaptation systems that constrain learning to prevent drift or capability escape. The category is architecturally consequential and will require more detailed treatment in future versions of the OIA Model as patterns mature.</w:t>
      </w:r>
    </w:p>
    <w:p>
      <w:pPr>
        <w:spacing w:after="200" w:before="0" w:line="340"/>
        <w:jc w:val="left"/>
      </w:pPr>
      <w:r>
        <w:rPr>
          <w:rFonts w:ascii="Georgia" w:cs="Georgia" w:eastAsia="Georgia" w:hAnsi="Georgia"/>
          <w:color w:val="1C1C1E"/>
          <w:sz w:val="22"/>
          <w:szCs w:val="22"/>
        </w:rPr>
        <w:t xml:space="preserve">Frameworks relevant to Layer 4 include the MLflow and Weights &amp; Biases experiment tracking specifications, the emerging body of work on model cards and data sheets, the NIST AI Risk Management Framework's Measure and Manage functions as they apply to model development, ISO/IEC 23053 for machine learning frameworks, and the Open Neural Network Exchange (ONNX) specification for model interchange.</w:t>
      </w:r>
    </w:p>
    <w:p>
      <w:pPr>
        <w:pStyle w:val="Heading2"/>
        <w:keepNext/>
        <w:spacing w:after="200" w:before="480"/>
      </w:pPr>
      <w:r>
        <w:rPr>
          <w:rFonts w:ascii="Helvetica Neue" w:cs="Helvetica Neue" w:eastAsia="Helvetica Neue" w:hAnsi="Helvetica Neue"/>
          <w:b w:val="false"/>
          <w:bCs w:val="false"/>
          <w:color w:val="000000"/>
          <w:sz w:val="26"/>
          <w:szCs w:val="26"/>
        </w:rPr>
        <w:t xml:space="preserve">8.5 Open Questions</w:t>
      </w:r>
    </w:p>
    <w:p>
      <w:pPr>
        <w:spacing w:after="200" w:before="0" w:line="340"/>
        <w:jc w:val="left"/>
      </w:pPr>
      <w:r>
        <w:rPr>
          <w:rFonts w:ascii="Georgia" w:cs="Georgia" w:eastAsia="Georgia" w:hAnsi="Georgia"/>
          <w:color w:val="1C1C1E"/>
          <w:sz w:val="22"/>
          <w:szCs w:val="22"/>
        </w:rPr>
        <w:t xml:space="preserve">Several architectural questions at Layer 4 remain actively unresolved.</w:t>
      </w:r>
    </w:p>
    <w:p>
      <w:pPr>
        <w:spacing w:after="200" w:before="0" w:line="340"/>
        <w:jc w:val="left"/>
      </w:pPr>
      <w:r>
        <w:rPr>
          <w:rFonts w:ascii="Georgia" w:cs="Georgia" w:eastAsia="Georgia" w:hAnsi="Georgia"/>
          <w:b/>
          <w:bCs/>
          <w:color w:val="1C1C1E"/>
          <w:sz w:val="22"/>
          <w:szCs w:val="22"/>
        </w:rPr>
        <w:t xml:space="preserve">Standardised evaluation regimes. </w:t>
      </w:r>
      <w:r>
        <w:rPr>
          <w:rFonts w:ascii="Georgia" w:cs="Georgia" w:eastAsia="Georgia" w:hAnsi="Georgia"/>
          <w:color w:val="1C1C1E"/>
          <w:sz w:val="22"/>
          <w:szCs w:val="22"/>
        </w:rPr>
        <w:t xml:space="preserve">The industry has not converged on standardised evaluation criteria for adapted models. Evaluation practice varies widely across organisations and use cases, which limits the comparability of results and complicates governance. Whether standardised evaluation regimes will emerge — and whether they will be developed through regulatory mandate, industry consortia, or open-source community efforts — is unresolved.</w:t>
      </w:r>
    </w:p>
    <w:p>
      <w:pPr>
        <w:spacing w:after="200" w:before="0" w:line="340"/>
        <w:jc w:val="left"/>
      </w:pPr>
      <w:r>
        <w:rPr>
          <w:rFonts w:ascii="Georgia" w:cs="Georgia" w:eastAsia="Georgia" w:hAnsi="Georgia"/>
          <w:b/>
          <w:bCs/>
          <w:color w:val="1C1C1E"/>
          <w:sz w:val="22"/>
          <w:szCs w:val="22"/>
        </w:rPr>
        <w:t xml:space="preserve">Continuous adaptation governance. </w:t>
      </w:r>
      <w:r>
        <w:rPr>
          <w:rFonts w:ascii="Georgia" w:cs="Georgia" w:eastAsia="Georgia" w:hAnsi="Georgia"/>
          <w:color w:val="1C1C1E"/>
          <w:sz w:val="22"/>
          <w:szCs w:val="22"/>
        </w:rPr>
        <w:t xml:space="preserve">The governance patterns for continuous adaptation are immature. Organisations deploying continuously adapting systems face architectural questions about approval, review, rollback, and audit that existing model governance frameworks were not designed to address. Reference patterns for continuous adaptation governance are likely to emerge over the next several years and will require explicit treatment in future versions of the OIA Model.</w:t>
      </w:r>
    </w:p>
    <w:p>
      <w:pPr>
        <w:spacing w:after="200" w:before="0" w:line="340"/>
        <w:jc w:val="left"/>
      </w:pPr>
      <w:r>
        <w:rPr>
          <w:rFonts w:ascii="Georgia" w:cs="Georgia" w:eastAsia="Georgia" w:hAnsi="Georgia"/>
          <w:b/>
          <w:bCs/>
          <w:color w:val="1C1C1E"/>
          <w:sz w:val="22"/>
          <w:szCs w:val="22"/>
        </w:rPr>
        <w:t xml:space="preserve">The boundary between Layer 4 adaptation and Layer 8 cognitive state. </w:t>
      </w:r>
      <w:r>
        <w:rPr>
          <w:rFonts w:ascii="Georgia" w:cs="Georgia" w:eastAsia="Georgia" w:hAnsi="Georgia"/>
          <w:color w:val="1C1C1E"/>
          <w:sz w:val="22"/>
          <w:szCs w:val="22"/>
        </w:rPr>
        <w:t xml:space="preserve">As continuous adaptation becomes more common, the architectural boundary between adaptation (changes to model parameters) and cognitive state (changes to operational memory and behaviour) will require clarification. Some patterns — such as agents that distil cognitive state into model parameters through periodic adaptation — cross the boundary directly. How the model should treat these patterns is an open question.</w:t>
      </w:r>
    </w:p>
    <w:p>
      <w:pPr>
        <w:spacing w:after="200" w:before="0" w:line="340"/>
        <w:jc w:val="left"/>
      </w:pPr>
      <w:r>
        <w:rPr>
          <w:rFonts w:ascii="Georgia" w:cs="Georgia" w:eastAsia="Georgia" w:hAnsi="Georgia"/>
          <w:b/>
          <w:bCs/>
          <w:color w:val="1C1C1E"/>
          <w:sz w:val="22"/>
          <w:szCs w:val="22"/>
        </w:rPr>
        <w:t xml:space="preserve">Training sovereignty and the concentration of pre-training capability. </w:t>
      </w:r>
      <w:r>
        <w:rPr>
          <w:rFonts w:ascii="Georgia" w:cs="Georgia" w:eastAsia="Georgia" w:hAnsi="Georgia"/>
          <w:color w:val="1C1C1E"/>
          <w:sz w:val="22"/>
          <w:szCs w:val="22"/>
        </w:rPr>
        <w:t xml:space="preserve">The concentration of frontier pre-training among a small number of laboratories has architectural and geopolitical implications that the OIA Model currently treats as contextual. Whether the concentration will persist, whether open-weight alternatives will achieve frontier capability, and whether sovereign pre-training will emerge as a distinct architectural pattern are unresolved questions with significant implications for Layer 4 and for the sovereignty concerns that cut across the model.</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9. Layer 5: Inference and Retrieval</w:t>
      </w:r>
    </w:p>
    <w:p>
      <w:pPr>
        <w:pStyle w:val="Heading2"/>
        <w:keepNext/>
        <w:spacing w:after="200" w:before="480"/>
      </w:pPr>
      <w:r>
        <w:rPr>
          <w:rFonts w:ascii="Helvetica Neue" w:cs="Helvetica Neue" w:eastAsia="Helvetica Neue" w:hAnsi="Helvetica Neue"/>
          <w:b w:val="false"/>
          <w:bCs w:val="false"/>
          <w:color w:val="000000"/>
          <w:sz w:val="26"/>
          <w:szCs w:val="26"/>
        </w:rPr>
        <w:t xml:space="preserve">9.1 Purpose</w:t>
      </w:r>
    </w:p>
    <w:p>
      <w:pPr>
        <w:spacing w:after="200" w:before="0" w:line="340"/>
        <w:jc w:val="left"/>
      </w:pPr>
      <w:r>
        <w:rPr>
          <w:rFonts w:ascii="Georgia" w:cs="Georgia" w:eastAsia="Georgia" w:hAnsi="Georgia"/>
          <w:color w:val="1C1C1E"/>
          <w:sz w:val="22"/>
          <w:szCs w:val="22"/>
        </w:rPr>
        <w:t xml:space="preserve">Layer 5 addresses the execution of model inference and the retrieval operations that support it. It sits above the model training and adaptation of Layer 4 and below the context and knowledge layer that consumes its outputs. Layer 5 is where trained models are actually run, where retrieval queries are actually executed, and where the architectural trade-offs between latency, throughput, cost, and location are resolved.</w:t>
      </w:r>
    </w:p>
    <w:p>
      <w:pPr>
        <w:spacing w:after="200" w:before="0" w:line="340"/>
        <w:jc w:val="left"/>
      </w:pPr>
      <w:r>
        <w:rPr>
          <w:rFonts w:ascii="Georgia" w:cs="Georgia" w:eastAsia="Georgia" w:hAnsi="Georgia"/>
          <w:color w:val="1C1C1E"/>
          <w:sz w:val="22"/>
          <w:szCs w:val="22"/>
        </w:rPr>
        <w:t xml:space="preserve">The layer is named Inference and Retrieval rather than simply Inference to acknowledge that retrieval operations — the mechanics of finding and returning relevant information from vector stores, knowledge bases, and data platforms — are architecturally coupled to inference in contemporary intelligent systems. Retrieval augments inference, inference conditions retrieval, and the two operations frequently share infrastructure, scheduling, and optimisation concerns. Treating them as a single architectural layer reflects operational reality more accurately than treating them as separate.</w:t>
      </w:r>
    </w:p>
    <w:p>
      <w:pPr>
        <w:pStyle w:val="Heading2"/>
        <w:keepNext/>
        <w:spacing w:after="200" w:before="480"/>
      </w:pPr>
      <w:r>
        <w:rPr>
          <w:rFonts w:ascii="Helvetica Neue" w:cs="Helvetica Neue" w:eastAsia="Helvetica Neue" w:hAnsi="Helvetica Neue"/>
          <w:b w:val="false"/>
          <w:bCs w:val="false"/>
          <w:color w:val="000000"/>
          <w:sz w:val="26"/>
          <w:szCs w:val="26"/>
        </w:rPr>
        <w:t xml:space="preserve">9.2 Scope</w:t>
      </w:r>
    </w:p>
    <w:p>
      <w:pPr>
        <w:spacing w:after="200" w:before="0" w:line="340"/>
        <w:jc w:val="left"/>
      </w:pPr>
      <w:r>
        <w:rPr>
          <w:rFonts w:ascii="Georgia" w:cs="Georgia" w:eastAsia="Georgia" w:hAnsi="Georgia"/>
          <w:color w:val="1C1C1E"/>
          <w:sz w:val="22"/>
          <w:szCs w:val="22"/>
        </w:rPr>
        <w:t xml:space="preserve">Layer 5 includes the inference infrastructure on which trained models execute, including dedicated inference clusters, shared inference services, and edge inference deployments; the inference patterns under which models are served, including synchronous request-response patterns, streaming token generation, batched inference, and emerging patterns for continuous inference in ambient contexts; the retrieval infrastructure that executes queries against vector stores, knowledge bases, and structured data sources, including the ranking, filtering, and re-ranking operations that shape retrieval results; the caching, routing, and scheduling systems that optimise inference and retrieval across heterogeneous hardware and multiple concurrent workloads; and the serving-layer observability systems that capture latency, throughput, token usage, cost, and quality metrics for production inference and retrieval operations.</w:t>
      </w:r>
    </w:p>
    <w:p>
      <w:pPr>
        <w:spacing w:after="200" w:before="0" w:line="340"/>
        <w:jc w:val="left"/>
      </w:pPr>
      <w:r>
        <w:rPr>
          <w:rFonts w:ascii="Georgia" w:cs="Georgia" w:eastAsia="Georgia" w:hAnsi="Georgia"/>
          <w:color w:val="1C1C1E"/>
          <w:sz w:val="22"/>
          <w:szCs w:val="22"/>
        </w:rPr>
        <w:t xml:space="preserve">Layer 5 explicitly excludes the composition of inference and retrieval into multi-step reasoning workflows, which is the concern of Layer 7 (Orchestration and Workflow). It also excludes the grounding of inference in operational context — the decision of what to retrieve and how to use what is retrieved — which is the concern of Layer 6.</w:t>
      </w:r>
    </w:p>
    <w:p>
      <w:pPr>
        <w:pStyle w:val="Heading2"/>
        <w:keepNext/>
        <w:spacing w:after="200" w:before="480"/>
      </w:pPr>
      <w:r>
        <w:rPr>
          <w:rFonts w:ascii="Helvetica Neue" w:cs="Helvetica Neue" w:eastAsia="Helvetica Neue" w:hAnsi="Helvetica Neue"/>
          <w:b w:val="false"/>
          <w:bCs w:val="false"/>
          <w:color w:val="000000"/>
          <w:sz w:val="26"/>
          <w:szCs w:val="26"/>
        </w:rPr>
        <w:t xml:space="preserve">9.3 Key Concerns</w:t>
      </w:r>
    </w:p>
    <w:p>
      <w:pPr>
        <w:spacing w:after="200" w:before="0" w:line="340"/>
        <w:jc w:val="left"/>
      </w:pPr>
      <w:r>
        <w:rPr>
          <w:rFonts w:ascii="Georgia" w:cs="Georgia" w:eastAsia="Georgia" w:hAnsi="Georgia"/>
          <w:color w:val="1C1C1E"/>
          <w:sz w:val="22"/>
          <w:szCs w:val="22"/>
        </w:rPr>
        <w:t xml:space="preserve">Correct implementation of Layer 5 requires attention to six properties.</w:t>
      </w:r>
    </w:p>
    <w:p>
      <w:pPr>
        <w:spacing w:after="200" w:before="0" w:line="340"/>
        <w:jc w:val="left"/>
      </w:pPr>
      <w:r>
        <w:rPr>
          <w:rFonts w:ascii="Georgia" w:cs="Georgia" w:eastAsia="Georgia" w:hAnsi="Georgia"/>
          <w:b/>
          <w:bCs/>
          <w:color w:val="1C1C1E"/>
          <w:sz w:val="22"/>
          <w:szCs w:val="22"/>
        </w:rPr>
        <w:t xml:space="preserve">Latency discipline. </w:t>
      </w:r>
      <w:r>
        <w:rPr>
          <w:rFonts w:ascii="Georgia" w:cs="Georgia" w:eastAsia="Georgia" w:hAnsi="Georgia"/>
          <w:color w:val="1C1C1E"/>
          <w:sz w:val="22"/>
          <w:szCs w:val="22"/>
        </w:rPr>
        <w:t xml:space="preserve">Inference latency is the defining performance characteristic of most intelligent systems from the perspective of downstream consumers. Architectural decisions at Layer 5 — model size, hardware selection, batching strategy, caching, and deployment location — are frequently dominated by latency budgets set at higher layers. Layer 5 must expose latency characteristics transparently and must provide mechanisms for managing latency-quality trade-offs explicitly.</w:t>
      </w:r>
    </w:p>
    <w:p>
      <w:pPr>
        <w:spacing w:after="200" w:before="0" w:line="340"/>
        <w:jc w:val="left"/>
      </w:pPr>
      <w:r>
        <w:rPr>
          <w:rFonts w:ascii="Georgia" w:cs="Georgia" w:eastAsia="Georgia" w:hAnsi="Georgia"/>
          <w:b/>
          <w:bCs/>
          <w:color w:val="1C1C1E"/>
          <w:sz w:val="22"/>
          <w:szCs w:val="22"/>
        </w:rPr>
        <w:t xml:space="preserve">Throughput and cost management. </w:t>
      </w:r>
      <w:r>
        <w:rPr>
          <w:rFonts w:ascii="Georgia" w:cs="Georgia" w:eastAsia="Georgia" w:hAnsi="Georgia"/>
          <w:color w:val="1C1C1E"/>
          <w:sz w:val="22"/>
          <w:szCs w:val="22"/>
        </w:rPr>
        <w:t xml:space="preserve">Inference at production scale introduces cost structures that differ substantially from traditional application compute. The cost per inference, the cost per token, and the cost per retrieval operation are architecturally significant metrics that must be observable and optimisable at Layer 5. Organisations consuming inference from third-party providers face additional architectural concerns around billing transparency, rate limiting, and the predictability of cost over time.</w:t>
      </w:r>
    </w:p>
    <w:p>
      <w:pPr>
        <w:spacing w:after="200" w:before="0" w:line="340"/>
        <w:jc w:val="left"/>
      </w:pPr>
      <w:r>
        <w:rPr>
          <w:rFonts w:ascii="Georgia" w:cs="Georgia" w:eastAsia="Georgia" w:hAnsi="Georgia"/>
          <w:b/>
          <w:bCs/>
          <w:color w:val="1C1C1E"/>
          <w:sz w:val="22"/>
          <w:szCs w:val="22"/>
        </w:rPr>
        <w:t xml:space="preserve">Heterogeneous inference targeting. </w:t>
      </w:r>
      <w:r>
        <w:rPr>
          <w:rFonts w:ascii="Georgia" w:cs="Georgia" w:eastAsia="Georgia" w:hAnsi="Georgia"/>
          <w:color w:val="1C1C1E"/>
          <w:sz w:val="22"/>
          <w:szCs w:val="22"/>
        </w:rPr>
        <w:t xml:space="preserve">Production intelligent systems increasingly execute inference across heterogeneous targets — centralised clusters for reasoning-intensive workloads, edge silicon for latency-critical workloads, and specialised accelerators for specific workload classes. Layer 5 must provide routing mechanisms that direct inference to appropriate targets based on the characteristics of the request and the capabilities of the available infrastructure.</w:t>
      </w:r>
    </w:p>
    <w:p>
      <w:pPr>
        <w:spacing w:after="200" w:before="0" w:line="340"/>
        <w:jc w:val="left"/>
      </w:pPr>
      <w:r>
        <w:rPr>
          <w:rFonts w:ascii="Georgia" w:cs="Georgia" w:eastAsia="Georgia" w:hAnsi="Georgia"/>
          <w:b/>
          <w:bCs/>
          <w:color w:val="1C1C1E"/>
          <w:sz w:val="22"/>
          <w:szCs w:val="22"/>
        </w:rPr>
        <w:t xml:space="preserve">Streaming semantics. </w:t>
      </w:r>
      <w:r>
        <w:rPr>
          <w:rFonts w:ascii="Georgia" w:cs="Georgia" w:eastAsia="Georgia" w:hAnsi="Georgia"/>
          <w:color w:val="1C1C1E"/>
          <w:sz w:val="22"/>
          <w:szCs w:val="22"/>
        </w:rPr>
        <w:t xml:space="preserve">Token-by-token streaming inference has become the dominant pattern for interactive intelligent systems. Streaming introduces architectural concerns around partial output handling, mid-stream cancellation, error recovery, and the observability of streaming responses. These concerns differ from those of traditional request-response systems and require explicit treatment at Layer 5.</w:t>
      </w:r>
    </w:p>
    <w:p>
      <w:pPr>
        <w:spacing w:after="200" w:before="0" w:line="340"/>
        <w:jc w:val="left"/>
      </w:pPr>
      <w:r>
        <w:rPr>
          <w:rFonts w:ascii="Georgia" w:cs="Georgia" w:eastAsia="Georgia" w:hAnsi="Georgia"/>
          <w:b/>
          <w:bCs/>
          <w:color w:val="1C1C1E"/>
          <w:sz w:val="22"/>
          <w:szCs w:val="22"/>
        </w:rPr>
        <w:t xml:space="preserve">Retrieval quality. </w:t>
      </w:r>
      <w:r>
        <w:rPr>
          <w:rFonts w:ascii="Georgia" w:cs="Georgia" w:eastAsia="Georgia" w:hAnsi="Georgia"/>
          <w:color w:val="1C1C1E"/>
          <w:sz w:val="22"/>
          <w:szCs w:val="22"/>
        </w:rPr>
        <w:t xml:space="preserve">The quality of retrieval results directly determines the quality of inference that depends on them. Layer 5 must provide mechanisms for evaluating, monitoring, and improving retrieval quality, including recall and precision metrics, relevance scoring, and feedback loops from downstream consumers of retrieval results.</w:t>
      </w:r>
    </w:p>
    <w:p>
      <w:pPr>
        <w:spacing w:after="200" w:before="0" w:line="340"/>
        <w:jc w:val="left"/>
      </w:pPr>
      <w:r>
        <w:rPr>
          <w:rFonts w:ascii="Georgia" w:cs="Georgia" w:eastAsia="Georgia" w:hAnsi="Georgia"/>
          <w:b/>
          <w:bCs/>
          <w:color w:val="1C1C1E"/>
          <w:sz w:val="22"/>
          <w:szCs w:val="22"/>
        </w:rPr>
        <w:t xml:space="preserve">Provenance pass-through. </w:t>
      </w:r>
      <w:r>
        <w:rPr>
          <w:rFonts w:ascii="Georgia" w:cs="Georgia" w:eastAsia="Georgia" w:hAnsi="Georgia"/>
          <w:color w:val="1C1C1E"/>
          <w:sz w:val="22"/>
          <w:szCs w:val="22"/>
        </w:rPr>
        <w:t xml:space="preserve">The provenance of retrieved information must pass through Layer 5 to higher layers that use it. A retrieval operation that returns context without the lineage of that context's source breaks the auditability chain that extends from Layer 3 through Layer 8. Provenance pass-through is an architectural discipline, not an operational optimisation.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9.4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5 are organised around four distinct patterns.</w:t>
      </w:r>
    </w:p>
    <w:p>
      <w:pPr>
        <w:spacing w:after="200" w:before="0" w:line="340"/>
        <w:jc w:val="left"/>
      </w:pPr>
      <w:r>
        <w:rPr>
          <w:rFonts w:ascii="Georgia" w:cs="Georgia" w:eastAsia="Georgia" w:hAnsi="Georgia"/>
          <w:b/>
          <w:bCs/>
          <w:color w:val="1C1C1E"/>
          <w:sz w:val="22"/>
          <w:szCs w:val="22"/>
        </w:rPr>
        <w:t xml:space="preserve">Managed inference services, </w:t>
      </w:r>
      <w:r>
        <w:rPr>
          <w:rFonts w:ascii="Georgia" w:cs="Georgia" w:eastAsia="Georgia" w:hAnsi="Georgia"/>
          <w:color w:val="1C1C1E"/>
          <w:sz w:val="22"/>
          <w:szCs w:val="22"/>
        </w:rPr>
        <w:t xml:space="preserve">consumed from providers including Anthropic, OpenAI, Google, AWS Bedrock, Azure OpenAI, and a growing ecosystem of specialist inference providers, offer Layer 5 as a service. These services provide high-throughput, globally-distributed inference for foundation models, with the architectural trade-off that the organisation consuming the service cedes direct control over inference siting, hardware selection, and certain classes of operational concern.</w:t>
      </w:r>
    </w:p>
    <w:p>
      <w:pPr>
        <w:spacing w:after="200" w:before="0" w:line="340"/>
        <w:jc w:val="left"/>
      </w:pPr>
      <w:r>
        <w:rPr>
          <w:rFonts w:ascii="Georgia" w:cs="Georgia" w:eastAsia="Georgia" w:hAnsi="Georgia"/>
          <w:b/>
          <w:bCs/>
          <w:color w:val="1C1C1E"/>
          <w:sz w:val="22"/>
          <w:szCs w:val="22"/>
        </w:rPr>
        <w:t xml:space="preserve">Self-hosted inference platforms, </w:t>
      </w:r>
      <w:r>
        <w:rPr>
          <w:rFonts w:ascii="Georgia" w:cs="Georgia" w:eastAsia="Georgia" w:hAnsi="Georgia"/>
          <w:color w:val="1C1C1E"/>
          <w:sz w:val="22"/>
          <w:szCs w:val="22"/>
        </w:rPr>
        <w:t xml:space="preserve">including vLLM, TensorRT-LLM, Ollama, and Hugging Face Text Generation Inference, provide inference capability on infrastructure the organisation controls directly. These platforms address the sovereignty, cost, and customisation requirements that managed services do not fully resolve, at the architectural cost of operational responsibility for the inference platform itself.</w:t>
      </w:r>
    </w:p>
    <w:p>
      <w:pPr>
        <w:spacing w:after="200" w:before="0" w:line="340"/>
        <w:jc w:val="left"/>
      </w:pPr>
      <w:r>
        <w:rPr>
          <w:rFonts w:ascii="Georgia" w:cs="Georgia" w:eastAsia="Georgia" w:hAnsi="Georgia"/>
          <w:b/>
          <w:bCs/>
          <w:color w:val="1C1C1E"/>
          <w:sz w:val="22"/>
          <w:szCs w:val="22"/>
        </w:rPr>
        <w:t xml:space="preserve">Edge and on-device inference </w:t>
      </w:r>
      <w:r>
        <w:rPr>
          <w:rFonts w:ascii="Georgia" w:cs="Georgia" w:eastAsia="Georgia" w:hAnsi="Georgia"/>
          <w:color w:val="1C1C1E"/>
          <w:sz w:val="22"/>
          <w:szCs w:val="22"/>
        </w:rPr>
        <w:t xml:space="preserve">represents an architecturally distinct pattern in which inference executes on silicon close to the point of consumption. Reference implementations include Apple's on-device foundation models, Qualcomm AI Engine, NVIDIA Jetson for embedded inference, and the emerging class of neuromorphic inference silicon for ambient and continuous-perception workloads. The architectural bifurcation between centralised cluster inference and distributed edge inference is a defining feature of the contemporary Layer 5 landscape.</w:t>
      </w:r>
    </w:p>
    <w:p>
      <w:pPr>
        <w:spacing w:after="200" w:before="0" w:line="340"/>
        <w:jc w:val="left"/>
      </w:pPr>
      <w:r>
        <w:rPr>
          <w:rFonts w:ascii="Georgia" w:cs="Georgia" w:eastAsia="Georgia" w:hAnsi="Georgia"/>
          <w:b/>
          <w:bCs/>
          <w:color w:val="1C1C1E"/>
          <w:sz w:val="22"/>
          <w:szCs w:val="22"/>
        </w:rPr>
        <w:t xml:space="preserve">Retrieval platforms, </w:t>
      </w:r>
      <w:r>
        <w:rPr>
          <w:rFonts w:ascii="Georgia" w:cs="Georgia" w:eastAsia="Georgia" w:hAnsi="Georgia"/>
          <w:color w:val="1C1C1E"/>
          <w:sz w:val="22"/>
          <w:szCs w:val="22"/>
        </w:rPr>
        <w:t xml:space="preserve">including dedicated vector search services from Pinecone, Weaviate, and their peers, the retrieval capabilities integrated into hyperscale data platforms, and open-source retrieval engines such as OpenSearch, provide the retrieval side of Layer 5. The boundary between retrieval platforms at Layer 5 and the vector stores at Layer 3 is operationally fluid — the same infrastructure frequently serves both concerns — but architecturally the distinction matters: Layer 3 provides the data substrate, Layer 5 provides the query execution and result ranking.</w:t>
      </w:r>
    </w:p>
    <w:p>
      <w:pPr>
        <w:spacing w:after="200" w:before="0" w:line="340"/>
        <w:jc w:val="left"/>
      </w:pPr>
      <w:r>
        <w:rPr>
          <w:rFonts w:ascii="Georgia" w:cs="Georgia" w:eastAsia="Georgia" w:hAnsi="Georgia"/>
          <w:color w:val="1C1C1E"/>
          <w:sz w:val="22"/>
          <w:szCs w:val="22"/>
        </w:rPr>
        <w:t xml:space="preserve">Frameworks relevant to Layer 5 include the OpenAI API specification as a de facto interchange standard for inference requests, the emerging OpenInference and OpenLLMetry specifications for inference observability, the MLPerf Inference benchmark for performance comparison, and the Cloud Native Computing Foundation's work on AI-native serving infrastructure.</w:t>
      </w:r>
    </w:p>
    <w:p>
      <w:pPr>
        <w:pStyle w:val="Heading2"/>
        <w:keepNext/>
        <w:spacing w:after="200" w:before="480"/>
      </w:pPr>
      <w:r>
        <w:rPr>
          <w:rFonts w:ascii="Helvetica Neue" w:cs="Helvetica Neue" w:eastAsia="Helvetica Neue" w:hAnsi="Helvetica Neue"/>
          <w:b w:val="false"/>
          <w:bCs w:val="false"/>
          <w:color w:val="000000"/>
          <w:sz w:val="26"/>
          <w:szCs w:val="26"/>
        </w:rPr>
        <w:t xml:space="preserve">9.5 Open Questions</w:t>
      </w:r>
    </w:p>
    <w:p>
      <w:pPr>
        <w:spacing w:after="200" w:before="0" w:line="340"/>
        <w:jc w:val="left"/>
      </w:pPr>
      <w:r>
        <w:rPr>
          <w:rFonts w:ascii="Georgia" w:cs="Georgia" w:eastAsia="Georgia" w:hAnsi="Georgia"/>
          <w:color w:val="1C1C1E"/>
          <w:sz w:val="22"/>
          <w:szCs w:val="22"/>
        </w:rPr>
        <w:t xml:space="preserve">Several architectural questions at Layer 5 remain unresolved.</w:t>
      </w:r>
    </w:p>
    <w:p>
      <w:pPr>
        <w:spacing w:after="200" w:before="0" w:line="340"/>
        <w:jc w:val="left"/>
      </w:pPr>
      <w:r>
        <w:rPr>
          <w:rFonts w:ascii="Georgia" w:cs="Georgia" w:eastAsia="Georgia" w:hAnsi="Georgia"/>
          <w:b/>
          <w:bCs/>
          <w:color w:val="1C1C1E"/>
          <w:sz w:val="22"/>
          <w:szCs w:val="22"/>
        </w:rPr>
        <w:t xml:space="preserve">The bifurcation between centralised and edge inference. </w:t>
      </w:r>
      <w:r>
        <w:rPr>
          <w:rFonts w:ascii="Georgia" w:cs="Georgia" w:eastAsia="Georgia" w:hAnsi="Georgia"/>
          <w:color w:val="1C1C1E"/>
          <w:sz w:val="22"/>
          <w:szCs w:val="22"/>
        </w:rPr>
        <w:t xml:space="preserve">Contemporary practice is increasingly bifurcated between large centralised inference clusters for reasoning-intensive workloads and distributed edge inference for latency-critical and continuous-perception workloads. Whether this bifurcation is a stable architectural pattern or a transitional state on the way to a more unified model is an open question. The answer will shape infrastructure investment decisions for several years forward.</w:t>
      </w:r>
    </w:p>
    <w:p>
      <w:pPr>
        <w:spacing w:after="200" w:before="0" w:line="340"/>
        <w:jc w:val="left"/>
      </w:pPr>
      <w:r>
        <w:rPr>
          <w:rFonts w:ascii="Georgia" w:cs="Georgia" w:eastAsia="Georgia" w:hAnsi="Georgia"/>
          <w:b/>
          <w:bCs/>
          <w:color w:val="1C1C1E"/>
          <w:sz w:val="22"/>
          <w:szCs w:val="22"/>
        </w:rPr>
        <w:t xml:space="preserve">Streaming as the default interaction pattern. </w:t>
      </w:r>
      <w:r>
        <w:rPr>
          <w:rFonts w:ascii="Georgia" w:cs="Georgia" w:eastAsia="Georgia" w:hAnsi="Georgia"/>
          <w:color w:val="1C1C1E"/>
          <w:sz w:val="22"/>
          <w:szCs w:val="22"/>
        </w:rPr>
        <w:t xml:space="preserve">Streaming token generation has become dominant for interactive systems, but the architectural implications of streaming — for observability, for caching, for error handling, and for the composability of streaming outputs into higher-layer workflows — are not fully resolved. Reference patterns for streaming-native architectures at Layer 5 and above are likely to evolve significantly over the next several years.</w:t>
      </w:r>
    </w:p>
    <w:p>
      <w:pPr>
        <w:spacing w:after="200" w:before="0" w:line="340"/>
        <w:jc w:val="left"/>
      </w:pPr>
      <w:r>
        <w:rPr>
          <w:rFonts w:ascii="Georgia" w:cs="Georgia" w:eastAsia="Georgia" w:hAnsi="Georgia"/>
          <w:b/>
          <w:bCs/>
          <w:color w:val="1C1C1E"/>
          <w:sz w:val="22"/>
          <w:szCs w:val="22"/>
        </w:rPr>
        <w:t xml:space="preserve">The economics of inference at frontier scale. </w:t>
      </w:r>
      <w:r>
        <w:rPr>
          <w:rFonts w:ascii="Georgia" w:cs="Georgia" w:eastAsia="Georgia" w:hAnsi="Georgia"/>
          <w:color w:val="1C1C1E"/>
          <w:sz w:val="22"/>
          <w:szCs w:val="22"/>
        </w:rPr>
        <w:t xml:space="preserve">The cost structure of inference on frontier-scale models is an architectural concern that the industry has not yet resolved. Whether inference economics will normalise through hardware improvements, through algorithmic efficiency gains, through competitive pressure among providers, or through all three is unresolved. The OIA Model treats current cost structures as contextual rather than definitional, but Layer 5 implementations are materially shaped by these economics.</w:t>
      </w:r>
    </w:p>
    <w:p>
      <w:pPr>
        <w:spacing w:after="200" w:before="0" w:line="340"/>
        <w:jc w:val="left"/>
      </w:pPr>
      <w:r>
        <w:rPr>
          <w:rFonts w:ascii="Georgia" w:cs="Georgia" w:eastAsia="Georgia" w:hAnsi="Georgia"/>
          <w:b/>
          <w:bCs/>
          <w:color w:val="1C1C1E"/>
          <w:sz w:val="22"/>
          <w:szCs w:val="22"/>
        </w:rPr>
        <w:t xml:space="preserve">Provenance in retrieval-augmented generation. </w:t>
      </w:r>
      <w:r>
        <w:rPr>
          <w:rFonts w:ascii="Georgia" w:cs="Georgia" w:eastAsia="Georgia" w:hAnsi="Georgia"/>
          <w:color w:val="1C1C1E"/>
          <w:sz w:val="22"/>
          <w:szCs w:val="22"/>
        </w:rPr>
        <w:t xml:space="preserve">The provenance of generated outputs that combine retrieval and inference is architecturally complex — the output is conditioned on both the model parameters and the retrieved context, and the provenance of the combined output is neither purely the provenance of the model nor purely the provenance of the retrieval. Reference patterns for tracking provenance through retrieval-augmented generation are immature and will require explicit treatment in future versions of the OIA Model.</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10. Layer 6: Context and Knowledge</w:t>
      </w:r>
    </w:p>
    <w:p>
      <w:pPr>
        <w:pStyle w:val="Heading2"/>
        <w:keepNext/>
        <w:spacing w:after="200" w:before="480"/>
      </w:pPr>
      <w:r>
        <w:rPr>
          <w:rFonts w:ascii="Helvetica Neue" w:cs="Helvetica Neue" w:eastAsia="Helvetica Neue" w:hAnsi="Helvetica Neue"/>
          <w:b w:val="false"/>
          <w:bCs w:val="false"/>
          <w:color w:val="000000"/>
          <w:sz w:val="26"/>
          <w:szCs w:val="26"/>
        </w:rPr>
        <w:t xml:space="preserve">10.1 Purpose</w:t>
      </w:r>
    </w:p>
    <w:p>
      <w:pPr>
        <w:spacing w:after="200" w:before="0" w:line="340"/>
        <w:jc w:val="left"/>
      </w:pPr>
      <w:r>
        <w:rPr>
          <w:rFonts w:ascii="Georgia" w:cs="Georgia" w:eastAsia="Georgia" w:hAnsi="Georgia"/>
          <w:color w:val="1C1C1E"/>
          <w:sz w:val="22"/>
          <w:szCs w:val="22"/>
        </w:rPr>
        <w:t xml:space="preserve">Layer 6 addresses how intelligent systems are grounded in the information, knowledge, and operational context they require to act meaningfully. It sits above the inference and retrieval execution of Layer 5 and below the orchestration and workflow layer that consumes its outputs. Layer 6 is where retrieval becomes grounding, where raw retrieved content becomes context, and where the question of what an intelligent system knows when it acts is architecturally resolved.</w:t>
      </w:r>
    </w:p>
    <w:p>
      <w:pPr>
        <w:spacing w:after="200" w:before="0" w:line="340"/>
        <w:jc w:val="left"/>
      </w:pPr>
      <w:r>
        <w:rPr>
          <w:rFonts w:ascii="Georgia" w:cs="Georgia" w:eastAsia="Georgia" w:hAnsi="Georgia"/>
          <w:color w:val="1C1C1E"/>
          <w:sz w:val="22"/>
          <w:szCs w:val="22"/>
        </w:rPr>
        <w:t xml:space="preserve">The layer is named Context and Knowledge to capture both the current state of practice — in which retrieval-augmented generation and knowledge base integration dominate — and the emerging direction in which intelligent systems perceive their operational environment continuously rather than retrieving context only when prompted. The layer must accommodate both the discrete retrieval patterns of today and the continuous perception patterns that are beginning to emerge at the edge of current practice.</w:t>
      </w:r>
    </w:p>
    <w:p>
      <w:pPr>
        <w:pStyle w:val="Heading2"/>
        <w:keepNext/>
        <w:spacing w:after="200" w:before="480"/>
      </w:pPr>
      <w:r>
        <w:rPr>
          <w:rFonts w:ascii="Helvetica Neue" w:cs="Helvetica Neue" w:eastAsia="Helvetica Neue" w:hAnsi="Helvetica Neue"/>
          <w:b w:val="false"/>
          <w:bCs w:val="false"/>
          <w:color w:val="000000"/>
          <w:sz w:val="26"/>
          <w:szCs w:val="26"/>
        </w:rPr>
        <w:t xml:space="preserve">10.2 Scope</w:t>
      </w:r>
    </w:p>
    <w:p>
      <w:pPr>
        <w:spacing w:after="200" w:before="0" w:line="340"/>
        <w:jc w:val="left"/>
      </w:pPr>
      <w:r>
        <w:rPr>
          <w:rFonts w:ascii="Georgia" w:cs="Georgia" w:eastAsia="Georgia" w:hAnsi="Georgia"/>
          <w:color w:val="1C1C1E"/>
          <w:sz w:val="22"/>
          <w:szCs w:val="22"/>
        </w:rPr>
        <w:t xml:space="preserve">Layer 6 includes the retrieval-augmented generation patterns by which intelligent systems ground their outputs in retrieved content, including the prompt construction, context assembly, and citation mechanisms that structure grounded generation; the knowledge base and structured knowledge integration systems that provide intelligent systems with access to curated, verified information, including enterprise knowledge graphs, ontology-based systems, and the emerging class of agent-consumable knowledge platforms; the context management systems that determine what information is relevant to a given operation, how that information is assembled into a coherent context window, and how conflicts and redundancies between information sources are resolved; the continuous perception systems through which intelligent systems sense their operational environment in near-real time, including sensor integration, streaming event consumption, and the emerging patterns around ambient environmental awareness; and the grounding verification systems that assess whether generated outputs are appropriately supported by retrieved or perceived context, including faithfulness measurement, hallucination detection, and citation validation.</w:t>
      </w:r>
    </w:p>
    <w:p>
      <w:pPr>
        <w:spacing w:after="200" w:before="0" w:line="340"/>
        <w:jc w:val="left"/>
      </w:pPr>
      <w:r>
        <w:rPr>
          <w:rFonts w:ascii="Georgia" w:cs="Georgia" w:eastAsia="Georgia" w:hAnsi="Georgia"/>
          <w:color w:val="1C1C1E"/>
          <w:sz w:val="22"/>
          <w:szCs w:val="22"/>
        </w:rPr>
        <w:t xml:space="preserve">Layer 6 explicitly excludes the mechanical retrieval operations that return content, which are the concern of Layer 5. It also excludes the composition of grounded inference into multi-step workflows, which is the concern of Layer 7.</w:t>
      </w:r>
    </w:p>
    <w:p>
      <w:pPr>
        <w:pStyle w:val="Heading2"/>
        <w:keepNext/>
        <w:spacing w:after="200" w:before="480"/>
      </w:pPr>
      <w:r>
        <w:rPr>
          <w:rFonts w:ascii="Helvetica Neue" w:cs="Helvetica Neue" w:eastAsia="Helvetica Neue" w:hAnsi="Helvetica Neue"/>
          <w:b w:val="false"/>
          <w:bCs w:val="false"/>
          <w:color w:val="000000"/>
          <w:sz w:val="26"/>
          <w:szCs w:val="26"/>
        </w:rPr>
        <w:t xml:space="preserve">10.3 Key Concerns</w:t>
      </w:r>
    </w:p>
    <w:p>
      <w:pPr>
        <w:spacing w:after="200" w:before="0" w:line="340"/>
        <w:jc w:val="left"/>
      </w:pPr>
      <w:r>
        <w:rPr>
          <w:rFonts w:ascii="Georgia" w:cs="Georgia" w:eastAsia="Georgia" w:hAnsi="Georgia"/>
          <w:color w:val="1C1C1E"/>
          <w:sz w:val="22"/>
          <w:szCs w:val="22"/>
        </w:rPr>
        <w:t xml:space="preserve">Correct implementation of Layer 6 requires attention to six properties.</w:t>
      </w:r>
    </w:p>
    <w:p>
      <w:pPr>
        <w:spacing w:after="200" w:before="0" w:line="340"/>
        <w:jc w:val="left"/>
      </w:pPr>
      <w:r>
        <w:rPr>
          <w:rFonts w:ascii="Georgia" w:cs="Georgia" w:eastAsia="Georgia" w:hAnsi="Georgia"/>
          <w:b/>
          <w:bCs/>
          <w:color w:val="1C1C1E"/>
          <w:sz w:val="22"/>
          <w:szCs w:val="22"/>
        </w:rPr>
        <w:t xml:space="preserve">Grounding faithfulness. </w:t>
      </w:r>
      <w:r>
        <w:rPr>
          <w:rFonts w:ascii="Georgia" w:cs="Georgia" w:eastAsia="Georgia" w:hAnsi="Georgia"/>
          <w:color w:val="1C1C1E"/>
          <w:sz w:val="22"/>
          <w:szCs w:val="22"/>
        </w:rPr>
        <w:t xml:space="preserve">Generated outputs must be appropriately grounded in the context that informed them. Ungrounded generation — whether through hallucination, through ignored context, or through misinterpretation of retrieved content — undermines the entire value proposition of context-augmented intelligent systems. Faithfulness is an architectural concern, not only an operational one, because the mechanisms that enforce it span the prompt construction, the inference execution, and the output validation steps.</w:t>
      </w:r>
    </w:p>
    <w:p>
      <w:pPr>
        <w:spacing w:after="200" w:before="0" w:line="340"/>
        <w:jc w:val="left"/>
      </w:pPr>
      <w:r>
        <w:rPr>
          <w:rFonts w:ascii="Georgia" w:cs="Georgia" w:eastAsia="Georgia" w:hAnsi="Georgia"/>
          <w:b/>
          <w:bCs/>
          <w:color w:val="1C1C1E"/>
          <w:sz w:val="22"/>
          <w:szCs w:val="22"/>
        </w:rPr>
        <w:t xml:space="preserve">Context assembly discipline. </w:t>
      </w:r>
      <w:r>
        <w:rPr>
          <w:rFonts w:ascii="Georgia" w:cs="Georgia" w:eastAsia="Georgia" w:hAnsi="Georgia"/>
          <w:color w:val="1C1C1E"/>
          <w:sz w:val="22"/>
          <w:szCs w:val="22"/>
        </w:rPr>
        <w:t xml:space="preserve">The assembly of retrieved content into a context window is architecturally consequential. The order of information, the handling of redundancy and conflict, the inclusion of metadata, and the signalling of source boundaries all shape how effectively the inference layer can use the context. Layer 6 must provide disciplined assembly patterns rather than leaving context construction to ad-hoc prompt engineering.</w:t>
      </w:r>
    </w:p>
    <w:p>
      <w:pPr>
        <w:spacing w:after="200" w:before="0" w:line="340"/>
        <w:jc w:val="left"/>
      </w:pPr>
      <w:r>
        <w:rPr>
          <w:rFonts w:ascii="Georgia" w:cs="Georgia" w:eastAsia="Georgia" w:hAnsi="Georgia"/>
          <w:b/>
          <w:bCs/>
          <w:color w:val="1C1C1E"/>
          <w:sz w:val="22"/>
          <w:szCs w:val="22"/>
        </w:rPr>
        <w:t xml:space="preserve">Citation and attribution. </w:t>
      </w:r>
      <w:r>
        <w:rPr>
          <w:rFonts w:ascii="Georgia" w:cs="Georgia" w:eastAsia="Georgia" w:hAnsi="Georgia"/>
          <w:color w:val="1C1C1E"/>
          <w:sz w:val="22"/>
          <w:szCs w:val="22"/>
        </w:rPr>
        <w:t xml:space="preserve">Information incorporated into generated outputs must be traceable to its source. Citation is the user-visible manifestation of the provenance chain that extends from Layer 3 through Layer 5; Layer 6 is where citation is constructed and validated for consumption by higher layers.</w:t>
      </w:r>
    </w:p>
    <w:p>
      <w:pPr>
        <w:spacing w:after="200" w:before="0" w:line="340"/>
        <w:jc w:val="left"/>
      </w:pPr>
      <w:r>
        <w:rPr>
          <w:rFonts w:ascii="Georgia" w:cs="Georgia" w:eastAsia="Georgia" w:hAnsi="Georgia"/>
          <w:b/>
          <w:bCs/>
          <w:color w:val="1C1C1E"/>
          <w:sz w:val="22"/>
          <w:szCs w:val="22"/>
        </w:rPr>
        <w:t xml:space="preserve">Freshness and temporal validity. </w:t>
      </w:r>
      <w:r>
        <w:rPr>
          <w:rFonts w:ascii="Georgia" w:cs="Georgia" w:eastAsia="Georgia" w:hAnsi="Georgia"/>
          <w:color w:val="1C1C1E"/>
          <w:sz w:val="22"/>
          <w:szCs w:val="22"/>
        </w:rPr>
        <w:t xml:space="preserve">The information that grounds intelligent systems has temporal properties — publication dates, validity windows, supersession relationships — that must be respected in context assembly. An intelligent system that grounds a decision in outdated information fails in a particular way that is architecturally distinguishable from ungrounded generation, and must be addressed architecturally.</w:t>
      </w:r>
    </w:p>
    <w:p>
      <w:pPr>
        <w:spacing w:after="200" w:before="0" w:line="340"/>
        <w:jc w:val="left"/>
      </w:pPr>
      <w:r>
        <w:rPr>
          <w:rFonts w:ascii="Georgia" w:cs="Georgia" w:eastAsia="Georgia" w:hAnsi="Georgia"/>
          <w:b/>
          <w:bCs/>
          <w:color w:val="1C1C1E"/>
          <w:sz w:val="22"/>
          <w:szCs w:val="22"/>
        </w:rPr>
        <w:t xml:space="preserve">Context window economics. </w:t>
      </w:r>
      <w:r>
        <w:rPr>
          <w:rFonts w:ascii="Georgia" w:cs="Georgia" w:eastAsia="Georgia" w:hAnsi="Georgia"/>
          <w:color w:val="1C1C1E"/>
          <w:sz w:val="22"/>
          <w:szCs w:val="22"/>
        </w:rPr>
        <w:t xml:space="preserve">Context windows have finite size and computational cost. Layer 6 must manage the trade-off between context completeness and context efficiency, including through summarisation, compression, selective inclusion, and the emerging techniques for extending effective context length. Context window economics is a first-class architectural concern, not merely an operational optimisation.</w:t>
      </w:r>
    </w:p>
    <w:p>
      <w:pPr>
        <w:spacing w:after="200" w:before="0" w:line="340"/>
        <w:jc w:val="left"/>
      </w:pPr>
      <w:r>
        <w:rPr>
          <w:rFonts w:ascii="Georgia" w:cs="Georgia" w:eastAsia="Georgia" w:hAnsi="Georgia"/>
          <w:b/>
          <w:bCs/>
          <w:color w:val="1C1C1E"/>
          <w:sz w:val="22"/>
          <w:szCs w:val="22"/>
        </w:rPr>
        <w:t xml:space="preserve">Continuous perception accommodation. </w:t>
      </w:r>
      <w:r>
        <w:rPr>
          <w:rFonts w:ascii="Georgia" w:cs="Georgia" w:eastAsia="Georgia" w:hAnsi="Georgia"/>
          <w:color w:val="1C1C1E"/>
          <w:sz w:val="22"/>
          <w:szCs w:val="22"/>
        </w:rPr>
        <w:t xml:space="preserve">Patterns in which intelligent systems perceive their environment continuously rather than retrieving context only when prompted are emerging at the edge of current practice. Layer 6 must accommodate both discrete retrieval patterns and continuous perception patterns, and must provide architectural guidance for the transition between them as continuous perception matures.</w:t>
      </w:r>
    </w:p>
    <w:p>
      <w:pPr>
        <w:pStyle w:val="Heading2"/>
        <w:keepNext/>
        <w:spacing w:after="200" w:before="480"/>
      </w:pPr>
      <w:r>
        <w:rPr>
          <w:rFonts w:ascii="Helvetica Neue" w:cs="Helvetica Neue" w:eastAsia="Helvetica Neue" w:hAnsi="Helvetica Neue"/>
          <w:b w:val="false"/>
          <w:bCs w:val="false"/>
          <w:color w:val="000000"/>
          <w:sz w:val="26"/>
          <w:szCs w:val="26"/>
        </w:rPr>
        <w:t xml:space="preserve">10.4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6 are organised around four distinct patterns, with a fifth pattern emerging.</w:t>
      </w:r>
    </w:p>
    <w:p>
      <w:pPr>
        <w:spacing w:after="200" w:before="0" w:line="340"/>
        <w:jc w:val="left"/>
      </w:pPr>
      <w:r>
        <w:rPr>
          <w:rFonts w:ascii="Georgia" w:cs="Georgia" w:eastAsia="Georgia" w:hAnsi="Georgia"/>
          <w:b/>
          <w:bCs/>
          <w:color w:val="1C1C1E"/>
          <w:sz w:val="22"/>
          <w:szCs w:val="22"/>
        </w:rPr>
        <w:t xml:space="preserve">Retrieval-augmented generation frameworks, </w:t>
      </w:r>
      <w:r>
        <w:rPr>
          <w:rFonts w:ascii="Georgia" w:cs="Georgia" w:eastAsia="Georgia" w:hAnsi="Georgia"/>
          <w:color w:val="1C1C1E"/>
          <w:sz w:val="22"/>
          <w:szCs w:val="22"/>
        </w:rPr>
        <w:t xml:space="preserve">including LangChain, LlamaIndex, Haystack, and the retrieval capabilities increasingly integrated directly into inference platforms, provide the dominant current pattern at Layer 6. These frameworks assemble context from vector stores, knowledge bases, and structured sources; construct prompts; and validate outputs against the assembled context. They remain the reference implementation for most contemporary production systems.</w:t>
      </w:r>
    </w:p>
    <w:p>
      <w:pPr>
        <w:spacing w:after="200" w:before="0" w:line="340"/>
        <w:jc w:val="left"/>
      </w:pPr>
      <w:r>
        <w:rPr>
          <w:rFonts w:ascii="Georgia" w:cs="Georgia" w:eastAsia="Georgia" w:hAnsi="Georgia"/>
          <w:b/>
          <w:bCs/>
          <w:color w:val="1C1C1E"/>
          <w:sz w:val="22"/>
          <w:szCs w:val="22"/>
        </w:rPr>
        <w:t xml:space="preserve">Knowledge graph and structured knowledge platforms, </w:t>
      </w:r>
      <w:r>
        <w:rPr>
          <w:rFonts w:ascii="Georgia" w:cs="Georgia" w:eastAsia="Georgia" w:hAnsi="Georgia"/>
          <w:color w:val="1C1C1E"/>
          <w:sz w:val="22"/>
          <w:szCs w:val="22"/>
        </w:rPr>
        <w:t xml:space="preserve">including Neo4j, TigerGraph, AWS Neptune, and the growing ecosystem of enterprise knowledge graph platforms, provide structured knowledge representations that are increasingly integrated with intelligent systems. The pattern of grounding generation in structured knowledge — rather than in unstructured retrieval — addresses certain classes of faithfulness concern and is likely to grow in architectural importance.</w:t>
      </w:r>
    </w:p>
    <w:p>
      <w:pPr>
        <w:spacing w:after="200" w:before="0" w:line="340"/>
        <w:jc w:val="left"/>
      </w:pPr>
      <w:r>
        <w:rPr>
          <w:rFonts w:ascii="Georgia" w:cs="Georgia" w:eastAsia="Georgia" w:hAnsi="Georgia"/>
          <w:b/>
          <w:bCs/>
          <w:color w:val="1C1C1E"/>
          <w:sz w:val="22"/>
          <w:szCs w:val="22"/>
        </w:rPr>
        <w:t xml:space="preserve">Provider-integrated context platforms </w:t>
      </w:r>
      <w:r>
        <w:rPr>
          <w:rFonts w:ascii="Georgia" w:cs="Georgia" w:eastAsia="Georgia" w:hAnsi="Georgia"/>
          <w:color w:val="1C1C1E"/>
          <w:sz w:val="22"/>
          <w:szCs w:val="22"/>
        </w:rPr>
        <w:t xml:space="preserve">represent a consequential and growing pattern in which foundation model providers extend their offerings upward into context management. Anthropic's Claude Skills and Claude Memory, OpenAI's Assistants API and Retrieval, Google's Vertex AI Search and Gemini integrations with Workspace, and Microsoft's Copilot extensibility framework all exemplify this pattern. The architectural significance is substantial: providers who historically operated at Layer 5 are extending into Layer 6 capabilities, and in some cases into Layer 7 as well. This extension pattern is addressed as an open question below and as a cross-cutting theme in subsequent layers.</w:t>
      </w:r>
    </w:p>
    <w:p>
      <w:pPr>
        <w:spacing w:after="200" w:before="0" w:line="340"/>
        <w:jc w:val="left"/>
      </w:pPr>
      <w:r>
        <w:rPr>
          <w:rFonts w:ascii="Georgia" w:cs="Georgia" w:eastAsia="Georgia" w:hAnsi="Georgia"/>
          <w:b/>
          <w:bCs/>
          <w:color w:val="1C1C1E"/>
          <w:sz w:val="22"/>
          <w:szCs w:val="22"/>
        </w:rPr>
        <w:t xml:space="preserve">Continuous perception systems </w:t>
      </w:r>
      <w:r>
        <w:rPr>
          <w:rFonts w:ascii="Georgia" w:cs="Georgia" w:eastAsia="Georgia" w:hAnsi="Georgia"/>
          <w:color w:val="1C1C1E"/>
          <w:sz w:val="22"/>
          <w:szCs w:val="22"/>
        </w:rPr>
        <w:t xml:space="preserve">represent the emerging edge of Layer 6. Patterns in which intelligent systems integrate sensor streams, environmental signals, and real-time event flows into continuously updated operational context are early in development but architecturally consequential. Reference directions include the integration of IoT and sensor infrastructure with agentic systems, the WiFi-based environmental sensing patterns explored in RuVector's RuView work, and the broader direction of ambient intelligence research. The pattern is not yet sufficiently mature to define reference implementations, but its emergence is visible enough to require architectural accommodation.</w:t>
      </w:r>
    </w:p>
    <w:p>
      <w:pPr>
        <w:spacing w:after="200" w:before="0" w:line="340"/>
        <w:jc w:val="left"/>
      </w:pPr>
      <w:r>
        <w:rPr>
          <w:rFonts w:ascii="Georgia" w:cs="Georgia" w:eastAsia="Georgia" w:hAnsi="Georgia"/>
          <w:color w:val="1C1C1E"/>
          <w:sz w:val="22"/>
          <w:szCs w:val="22"/>
        </w:rPr>
        <w:t xml:space="preserve">Frameworks relevant to Layer 6 include the Retrieval-Augmented Generation specifications emerging from the NIST AI community, the Semantic Web standards (RDF, OWL, SPARQL) for structured knowledge representation, the emerging body of work on faithfulness evaluation including benchmarks such as RAGAS, and the W3C Linked Data specifications as they apply to agent-consumable knowledge.</w:t>
      </w:r>
    </w:p>
    <w:p>
      <w:pPr>
        <w:pStyle w:val="Heading2"/>
        <w:keepNext/>
        <w:spacing w:after="200" w:before="480"/>
      </w:pPr>
      <w:r>
        <w:rPr>
          <w:rFonts w:ascii="Helvetica Neue" w:cs="Helvetica Neue" w:eastAsia="Helvetica Neue" w:hAnsi="Helvetica Neue"/>
          <w:b w:val="false"/>
          <w:bCs w:val="false"/>
          <w:color w:val="000000"/>
          <w:sz w:val="26"/>
          <w:szCs w:val="26"/>
        </w:rPr>
        <w:t xml:space="preserve">10.5 Open Questions</w:t>
      </w:r>
    </w:p>
    <w:p>
      <w:pPr>
        <w:spacing w:after="200" w:before="0" w:line="340"/>
        <w:jc w:val="left"/>
      </w:pPr>
      <w:r>
        <w:rPr>
          <w:rFonts w:ascii="Georgia" w:cs="Georgia" w:eastAsia="Georgia" w:hAnsi="Georgia"/>
          <w:color w:val="1C1C1E"/>
          <w:sz w:val="22"/>
          <w:szCs w:val="22"/>
        </w:rPr>
        <w:t xml:space="preserve">Several architectural questions at Layer 6 remain actively unresolved.</w:t>
      </w:r>
    </w:p>
    <w:p>
      <w:pPr>
        <w:spacing w:after="200" w:before="0" w:line="340"/>
        <w:jc w:val="left"/>
      </w:pPr>
      <w:r>
        <w:rPr>
          <w:rFonts w:ascii="Georgia" w:cs="Georgia" w:eastAsia="Georgia" w:hAnsi="Georgia"/>
          <w:b/>
          <w:bCs/>
          <w:color w:val="1C1C1E"/>
          <w:sz w:val="22"/>
          <w:szCs w:val="22"/>
        </w:rPr>
        <w:t xml:space="preserve">Provider vertical extension into Layer 6 and beyond. </w:t>
      </w:r>
      <w:r>
        <w:rPr>
          <w:rFonts w:ascii="Georgia" w:cs="Georgia" w:eastAsia="Georgia" w:hAnsi="Georgia"/>
          <w:color w:val="1C1C1E"/>
          <w:sz w:val="22"/>
          <w:szCs w:val="22"/>
        </w:rPr>
        <w:t xml:space="preserve">Foundation model providers are extending vertically into context management, orchestration, and memory in ways that blur the architectural boundaries between Layers 5, 6, 7, and 8. Whether this extension will produce de facto integrated stacks from dominant providers, whether it will be counterbalanced by open architectures that preserve layer boundaries explicitly, or whether both patterns will coexist is unresolved. The question has significant implications for sovereignty, composability, and the long-term architectural independence of organisations deploying intelligent systems.</w:t>
      </w:r>
    </w:p>
    <w:p>
      <w:pPr>
        <w:spacing w:after="200" w:before="0" w:line="340"/>
        <w:jc w:val="left"/>
      </w:pPr>
      <w:r>
        <w:rPr>
          <w:rFonts w:ascii="Georgia" w:cs="Georgia" w:eastAsia="Georgia" w:hAnsi="Georgia"/>
          <w:b/>
          <w:bCs/>
          <w:color w:val="1C1C1E"/>
          <w:sz w:val="22"/>
          <w:szCs w:val="22"/>
        </w:rPr>
        <w:t xml:space="preserve">The transition from retrieval to perception. </w:t>
      </w:r>
      <w:r>
        <w:rPr>
          <w:rFonts w:ascii="Georgia" w:cs="Georgia" w:eastAsia="Georgia" w:hAnsi="Georgia"/>
          <w:color w:val="1C1C1E"/>
          <w:sz w:val="22"/>
          <w:szCs w:val="22"/>
        </w:rPr>
        <w:t xml:space="preserve">Retrieval-augmented generation is the dominant current pattern, but continuous environmental perception is beginning to emerge in specific applications. Whether this transition will be gradual — with retrieval and perception coexisting for an extended period — or whether perception will rapidly displace retrieval in specific application categories is unresolved, and will require revision of the Layer 6 reference technologies over time.</w:t>
      </w:r>
    </w:p>
    <w:p>
      <w:pPr>
        <w:spacing w:after="200" w:before="0" w:line="340"/>
        <w:jc w:val="left"/>
      </w:pPr>
      <w:r>
        <w:rPr>
          <w:rFonts w:ascii="Georgia" w:cs="Georgia" w:eastAsia="Georgia" w:hAnsi="Georgia"/>
          <w:b/>
          <w:bCs/>
          <w:color w:val="1C1C1E"/>
          <w:sz w:val="22"/>
          <w:szCs w:val="22"/>
        </w:rPr>
        <w:t xml:space="preserve">Structured versus unstructured grounding. </w:t>
      </w:r>
      <w:r>
        <w:rPr>
          <w:rFonts w:ascii="Georgia" w:cs="Georgia" w:eastAsia="Georgia" w:hAnsi="Georgia"/>
          <w:color w:val="1C1C1E"/>
          <w:sz w:val="22"/>
          <w:szCs w:val="22"/>
        </w:rPr>
        <w:t xml:space="preserve">The architectural trade-off between grounding intelligent systems in unstructured retrieved content and grounding them in structured knowledge representations is active. Structured grounding offers stronger faithfulness guarantees but requires curated knowledge graphs that are expensive to build and maintain. Unstructured grounding scales more easily but offers weaker guarantees. The long-term architectural balance between these approaches is unresolved.</w:t>
      </w:r>
    </w:p>
    <w:p>
      <w:pPr>
        <w:spacing w:after="200" w:before="0" w:line="340"/>
        <w:jc w:val="left"/>
      </w:pPr>
      <w:r>
        <w:rPr>
          <w:rFonts w:ascii="Georgia" w:cs="Georgia" w:eastAsia="Georgia" w:hAnsi="Georgia"/>
          <w:b/>
          <w:bCs/>
          <w:color w:val="1C1C1E"/>
          <w:sz w:val="22"/>
          <w:szCs w:val="22"/>
        </w:rPr>
        <w:t xml:space="preserve">Faithfulness evaluation standardisation. </w:t>
      </w:r>
      <w:r>
        <w:rPr>
          <w:rFonts w:ascii="Georgia" w:cs="Georgia" w:eastAsia="Georgia" w:hAnsi="Georgia"/>
          <w:color w:val="1C1C1E"/>
          <w:sz w:val="22"/>
          <w:szCs w:val="22"/>
        </w:rPr>
        <w:t xml:space="preserve">No standardised framework currently exists for evaluating the faithfulness of grounded generation across organisations, use cases, and domains. The industry's convergence toward a common evaluation framework — or the decision not to converge — will shape Layer 6 implementations significantly over the next several years.</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11. Layer 7: Orchestration and Workflow</w:t>
      </w:r>
    </w:p>
    <w:p>
      <w:pPr>
        <w:pStyle w:val="Heading2"/>
        <w:keepNext/>
        <w:spacing w:after="200" w:before="480"/>
      </w:pPr>
      <w:r>
        <w:rPr>
          <w:rFonts w:ascii="Helvetica Neue" w:cs="Helvetica Neue" w:eastAsia="Helvetica Neue" w:hAnsi="Helvetica Neue"/>
          <w:b w:val="false"/>
          <w:bCs w:val="false"/>
          <w:color w:val="000000"/>
          <w:sz w:val="26"/>
          <w:szCs w:val="26"/>
        </w:rPr>
        <w:t xml:space="preserve">11.1 Purpose</w:t>
      </w:r>
    </w:p>
    <w:p>
      <w:pPr>
        <w:spacing w:after="200" w:before="0" w:line="340"/>
        <w:jc w:val="left"/>
      </w:pPr>
      <w:r>
        <w:rPr>
          <w:rFonts w:ascii="Georgia" w:cs="Georgia" w:eastAsia="Georgia" w:hAnsi="Georgia"/>
          <w:color w:val="1C1C1E"/>
          <w:sz w:val="22"/>
          <w:szCs w:val="22"/>
        </w:rPr>
        <w:t xml:space="preserve">Layer 7 addresses the coordination of tools, services, and multi-step workflows executed by intelligent systems. It sits above the context and knowledge layer and below the continuity fabric, providing the operational layer at which intelligent systems actually act — invoking tools, calling services, executing multi-step reasoning, coordinating with other agents, and producing the chains of action that constitute agentic behaviour.</w:t>
      </w:r>
    </w:p>
    <w:p>
      <w:pPr>
        <w:spacing w:after="200" w:before="0" w:line="340"/>
        <w:jc w:val="left"/>
      </w:pPr>
      <w:r>
        <w:rPr>
          <w:rFonts w:ascii="Georgia" w:cs="Georgia" w:eastAsia="Georgia" w:hAnsi="Georgia"/>
          <w:color w:val="1C1C1E"/>
          <w:sz w:val="22"/>
          <w:szCs w:val="22"/>
        </w:rPr>
        <w:t xml:space="preserve">The layer is named Orchestration and Workflow rather than simply Orchestration to capture both the moment-by-moment coordination of tool calls and the longer-horizon composition of those calls into workflows that achieve organisational objectives. These two concerns — short-horizon tool coordination and long-horizon workflow composition — share architectural mechanisms but present distinct operational properties. Layer 7 addresses both explicitly.</w:t>
      </w:r>
    </w:p>
    <w:p>
      <w:pPr>
        <w:spacing w:after="200" w:before="0" w:line="340"/>
        <w:jc w:val="left"/>
      </w:pPr>
      <w:r>
        <w:rPr>
          <w:rFonts w:ascii="Georgia" w:cs="Georgia" w:eastAsia="Georgia" w:hAnsi="Georgia"/>
          <w:color w:val="1C1C1E"/>
          <w:sz w:val="22"/>
          <w:szCs w:val="22"/>
        </w:rPr>
        <w:t xml:space="preserve">The autonomy property of intelligent systems, as defined in Section 2.3, is most directly addressed at this layer. Autonomy means the capacity to act with judgment and goals that exceed the parameters of explicit instruction, and it is at Layer 7 that autonomy becomes operationally real.</w:t>
      </w:r>
    </w:p>
    <w:p>
      <w:pPr>
        <w:pStyle w:val="Heading2"/>
        <w:keepNext/>
        <w:spacing w:after="200" w:before="480"/>
      </w:pPr>
      <w:r>
        <w:rPr>
          <w:rFonts w:ascii="Helvetica Neue" w:cs="Helvetica Neue" w:eastAsia="Helvetica Neue" w:hAnsi="Helvetica Neue"/>
          <w:b w:val="false"/>
          <w:bCs w:val="false"/>
          <w:color w:val="000000"/>
          <w:sz w:val="26"/>
          <w:szCs w:val="26"/>
        </w:rPr>
        <w:t xml:space="preserve">11.2 Scope</w:t>
      </w:r>
    </w:p>
    <w:p>
      <w:pPr>
        <w:spacing w:after="200" w:before="0" w:line="340"/>
        <w:jc w:val="left"/>
      </w:pPr>
      <w:r>
        <w:rPr>
          <w:rFonts w:ascii="Georgia" w:cs="Georgia" w:eastAsia="Georgia" w:hAnsi="Georgia"/>
          <w:color w:val="1C1C1E"/>
          <w:sz w:val="22"/>
          <w:szCs w:val="22"/>
        </w:rPr>
        <w:t xml:space="preserve">Layer 7 includes the tool and service invocation mechanisms through which intelligent systems interact with external systems, including function calling, API invocation, and the emerging class of standardised protocols for tool interoperability; the protocols that structure how tools are discovered, described, and invoked across boundaries of trust and implementation, most notably the Model Context Protocol and comparable specifications; the workflow composition systems that orchestrate multi-step reasoning and action, including planning, execution, recovery from failure, and the handling of long-running processes; the multi-agent coordination systems through which multiple intelligent systems collaborate on shared objectives, including delegation patterns, communication protocols, and the resolution of conflicting goals or outputs; the behavioural governance systems that constrain what actions intelligent systems may take, including policy enforcement, approval workflows, and the interception mechanisms that filter or block unauthorised operations; and the provenance and auditability systems that capture what actions were taken, on what authority, with what outcomes, to support the accountability requirements that extend through to higher layers and across the cross-layer spans.</w:t>
      </w:r>
    </w:p>
    <w:p>
      <w:pPr>
        <w:spacing w:after="200" w:before="0" w:line="340"/>
        <w:jc w:val="left"/>
      </w:pPr>
      <w:r>
        <w:rPr>
          <w:rFonts w:ascii="Georgia" w:cs="Georgia" w:eastAsia="Georgia" w:hAnsi="Georgia"/>
          <w:color w:val="1C1C1E"/>
          <w:sz w:val="22"/>
          <w:szCs w:val="22"/>
        </w:rPr>
        <w:t xml:space="preserve">Layer 7 explicitly excludes the execution of individual model inferences (Layer 5) and the persistent cognitive state that accumulates across interactions (Layer 8). It also excludes the human-facing interfaces at which workflows are initiated and monitored, which are the concern of Layer 9.</w:t>
      </w:r>
    </w:p>
    <w:p>
      <w:pPr>
        <w:pStyle w:val="Heading2"/>
        <w:keepNext/>
        <w:spacing w:after="200" w:before="480"/>
      </w:pPr>
      <w:r>
        <w:rPr>
          <w:rFonts w:ascii="Helvetica Neue" w:cs="Helvetica Neue" w:eastAsia="Helvetica Neue" w:hAnsi="Helvetica Neue"/>
          <w:b w:val="false"/>
          <w:bCs w:val="false"/>
          <w:color w:val="000000"/>
          <w:sz w:val="26"/>
          <w:szCs w:val="26"/>
        </w:rPr>
        <w:t xml:space="preserve">11.3 Key Concerns</w:t>
      </w:r>
    </w:p>
    <w:p>
      <w:pPr>
        <w:spacing w:after="200" w:before="0" w:line="340"/>
        <w:jc w:val="left"/>
      </w:pPr>
      <w:r>
        <w:rPr>
          <w:rFonts w:ascii="Georgia" w:cs="Georgia" w:eastAsia="Georgia" w:hAnsi="Georgia"/>
          <w:color w:val="1C1C1E"/>
          <w:sz w:val="22"/>
          <w:szCs w:val="22"/>
        </w:rPr>
        <w:t xml:space="preserve">Correct implementation of Layer 7 requires attention to seven properties.</w:t>
      </w:r>
    </w:p>
    <w:p>
      <w:pPr>
        <w:spacing w:after="200" w:before="0" w:line="340"/>
        <w:jc w:val="left"/>
      </w:pPr>
      <w:r>
        <w:rPr>
          <w:rFonts w:ascii="Georgia" w:cs="Georgia" w:eastAsia="Georgia" w:hAnsi="Georgia"/>
          <w:b/>
          <w:bCs/>
          <w:color w:val="1C1C1E"/>
          <w:sz w:val="22"/>
          <w:szCs w:val="22"/>
        </w:rPr>
        <w:t xml:space="preserve">Intent verification. </w:t>
      </w:r>
      <w:r>
        <w:rPr>
          <w:rFonts w:ascii="Georgia" w:cs="Georgia" w:eastAsia="Georgia" w:hAnsi="Georgia"/>
          <w:color w:val="1C1C1E"/>
          <w:sz w:val="22"/>
          <w:szCs w:val="22"/>
        </w:rPr>
        <w:t xml:space="preserve">Before an intelligent system executes an action, the intent behind the action must be verifiable against what the system was instructed to do and what the system is permitted to do. Intent verification is not equivalent to input validation in traditional applications — it is a more demanding property because intelligent systems generate their own intentions as part of their operation, and the gap between instructed intent and generated intent must be architecturally observable.</w:t>
      </w:r>
    </w:p>
    <w:p>
      <w:pPr>
        <w:spacing w:after="200" w:before="0" w:line="340"/>
        <w:jc w:val="left"/>
      </w:pPr>
      <w:r>
        <w:rPr>
          <w:rFonts w:ascii="Georgia" w:cs="Georgia" w:eastAsia="Georgia" w:hAnsi="Georgia"/>
          <w:b/>
          <w:bCs/>
          <w:color w:val="1C1C1E"/>
          <w:sz w:val="22"/>
          <w:szCs w:val="22"/>
        </w:rPr>
        <w:t xml:space="preserve">Action auditability. </w:t>
      </w:r>
      <w:r>
        <w:rPr>
          <w:rFonts w:ascii="Georgia" w:cs="Georgia" w:eastAsia="Georgia" w:hAnsi="Georgia"/>
          <w:color w:val="1C1C1E"/>
          <w:sz w:val="22"/>
          <w:szCs w:val="22"/>
        </w:rPr>
        <w:t xml:space="preserve">Every action taken by an intelligent system must be recorded with sufficient fidelity to reconstruct what happened, why it happened, and on what authority. Action auditability is foundational to accountability; the OIA Model treats it as an architectural discipline that pervades Layer 7 rather than as an operational logging concern.</w:t>
      </w:r>
    </w:p>
    <w:p>
      <w:pPr>
        <w:spacing w:after="200" w:before="0" w:line="340"/>
        <w:jc w:val="left"/>
      </w:pPr>
      <w:r>
        <w:rPr>
          <w:rFonts w:ascii="Georgia" w:cs="Georgia" w:eastAsia="Georgia" w:hAnsi="Georgia"/>
          <w:b/>
          <w:bCs/>
          <w:color w:val="1C1C1E"/>
          <w:sz w:val="22"/>
          <w:szCs w:val="22"/>
        </w:rPr>
        <w:t xml:space="preserve">Tool integrity. </w:t>
      </w:r>
      <w:r>
        <w:rPr>
          <w:rFonts w:ascii="Georgia" w:cs="Georgia" w:eastAsia="Georgia" w:hAnsi="Georgia"/>
          <w:color w:val="1C1C1E"/>
          <w:sz w:val="22"/>
          <w:szCs w:val="22"/>
        </w:rPr>
        <w:t xml:space="preserve">The tools available to intelligent systems must themselves be trustworthy. Tool integrity concerns include the authenticity of tool definitions, the resistance of tool descriptions to injection attacks (including covert instructions embedded in tool metadata), and the verification that tools behave as their descriptions imply. The rapid growth of tool-poisoning attack patterns has made tool integrity a central architectural concern at this layer.</w:t>
      </w:r>
    </w:p>
    <w:p>
      <w:pPr>
        <w:spacing w:after="200" w:before="0" w:line="340"/>
        <w:jc w:val="left"/>
      </w:pPr>
      <w:r>
        <w:rPr>
          <w:rFonts w:ascii="Georgia" w:cs="Georgia" w:eastAsia="Georgia" w:hAnsi="Georgia"/>
          <w:b/>
          <w:bCs/>
          <w:color w:val="1C1C1E"/>
          <w:sz w:val="22"/>
          <w:szCs w:val="22"/>
        </w:rPr>
        <w:t xml:space="preserve">Workflow composability. </w:t>
      </w:r>
      <w:r>
        <w:rPr>
          <w:rFonts w:ascii="Georgia" w:cs="Georgia" w:eastAsia="Georgia" w:hAnsi="Georgia"/>
          <w:color w:val="1C1C1E"/>
          <w:sz w:val="22"/>
          <w:szCs w:val="22"/>
        </w:rPr>
        <w:t xml:space="preserve">Workflows must be composable from smaller workflows, with clear semantics for how composed workflows inherit, override, or extend the behaviours of their constituents. Composability is architecturally demanding because intelligent systems introduce non-deterministic behaviour that complicates traditional workflow semantics.</w:t>
      </w:r>
    </w:p>
    <w:p>
      <w:pPr>
        <w:spacing w:after="200" w:before="0" w:line="340"/>
        <w:jc w:val="left"/>
      </w:pPr>
      <w:r>
        <w:rPr>
          <w:rFonts w:ascii="Georgia" w:cs="Georgia" w:eastAsia="Georgia" w:hAnsi="Georgia"/>
          <w:b/>
          <w:bCs/>
          <w:color w:val="1C1C1E"/>
          <w:sz w:val="22"/>
          <w:szCs w:val="22"/>
        </w:rPr>
        <w:t xml:space="preserve">Long-horizon coherence. </w:t>
      </w:r>
      <w:r>
        <w:rPr>
          <w:rFonts w:ascii="Georgia" w:cs="Georgia" w:eastAsia="Georgia" w:hAnsi="Georgia"/>
          <w:color w:val="1C1C1E"/>
          <w:sz w:val="22"/>
          <w:szCs w:val="22"/>
        </w:rPr>
        <w:t xml:space="preserve">Workflows that extend over hours, days, or longer must maintain coherence across that horizon. Long-horizon coherence includes state preservation across interruptions, consistency of intent across phases, and the ability to detect drift between declared objectives and actual behaviour. This property bridges Layer 7 and Layer 8 — the continuity fabric provides the memory that long-horizon coherence depends on, but the workflow mechanisms that use that memory live at Layer 7.</w:t>
      </w:r>
    </w:p>
    <w:p>
      <w:pPr>
        <w:spacing w:after="200" w:before="0" w:line="340"/>
        <w:jc w:val="left"/>
      </w:pPr>
      <w:r>
        <w:rPr>
          <w:rFonts w:ascii="Georgia" w:cs="Georgia" w:eastAsia="Georgia" w:hAnsi="Georgia"/>
          <w:b/>
          <w:bCs/>
          <w:color w:val="1C1C1E"/>
          <w:sz w:val="22"/>
          <w:szCs w:val="22"/>
        </w:rPr>
        <w:t xml:space="preserve">Multi-agent coordination discipline. </w:t>
      </w:r>
      <w:r>
        <w:rPr>
          <w:rFonts w:ascii="Georgia" w:cs="Georgia" w:eastAsia="Georgia" w:hAnsi="Georgia"/>
          <w:color w:val="1C1C1E"/>
          <w:sz w:val="22"/>
          <w:szCs w:val="22"/>
        </w:rPr>
        <w:t xml:space="preserve">When multiple intelligent systems collaborate, the coordination protocols between them must be architecturally specified rather than emergent. Emergent coordination patterns in multi-agent systems frequently produce behaviours that are not predictable from individual agent specifications, and that may violate the governance constraints applied to individual agents.</w:t>
      </w:r>
    </w:p>
    <w:p>
      <w:pPr>
        <w:spacing w:after="200" w:before="0" w:line="340"/>
        <w:jc w:val="left"/>
      </w:pPr>
      <w:r>
        <w:rPr>
          <w:rFonts w:ascii="Georgia" w:cs="Georgia" w:eastAsia="Georgia" w:hAnsi="Georgia"/>
          <w:b/>
          <w:bCs/>
          <w:color w:val="1C1C1E"/>
          <w:sz w:val="22"/>
          <w:szCs w:val="22"/>
        </w:rPr>
        <w:t xml:space="preserve">Kill-chain detection and behavioural governance. </w:t>
      </w:r>
      <w:r>
        <w:rPr>
          <w:rFonts w:ascii="Georgia" w:cs="Georgia" w:eastAsia="Georgia" w:hAnsi="Georgia"/>
          <w:color w:val="1C1C1E"/>
          <w:sz w:val="22"/>
          <w:szCs w:val="22"/>
        </w:rPr>
        <w:t xml:space="preserve">Malicious actions taken by intelligent systems — whether originating from external compromise, from misaligned internal goals, or from the exploitation of autonomy by adversarial inputs — frequently manifest as recognisable sequences of action across a kill chain. Layer 7 must provide mechanisms for detecting such sequences, blocking them before completion, and escalating to human review when appropriate. The architectural requirement is not merely to log actions but to interpret them in sequence against threat models.</w:t>
      </w:r>
    </w:p>
    <w:p>
      <w:pPr>
        <w:pStyle w:val="Heading2"/>
        <w:keepNext/>
        <w:spacing w:after="200" w:before="480"/>
      </w:pPr>
      <w:r>
        <w:rPr>
          <w:rFonts w:ascii="Helvetica Neue" w:cs="Helvetica Neue" w:eastAsia="Helvetica Neue" w:hAnsi="Helvetica Neue"/>
          <w:b w:val="false"/>
          <w:bCs w:val="false"/>
          <w:color w:val="000000"/>
          <w:sz w:val="26"/>
          <w:szCs w:val="26"/>
        </w:rPr>
        <w:t xml:space="preserve">11.4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7 are organised around five distinct patterns, all of which are evolving rapidly.</w:t>
      </w:r>
    </w:p>
    <w:p>
      <w:pPr>
        <w:spacing w:after="200" w:before="0" w:line="340"/>
        <w:jc w:val="left"/>
      </w:pPr>
      <w:r>
        <w:rPr>
          <w:rFonts w:ascii="Georgia" w:cs="Georgia" w:eastAsia="Georgia" w:hAnsi="Georgia"/>
          <w:b/>
          <w:bCs/>
          <w:color w:val="1C1C1E"/>
          <w:sz w:val="22"/>
          <w:szCs w:val="22"/>
        </w:rPr>
        <w:t xml:space="preserve">Open orchestration frameworks, </w:t>
      </w:r>
      <w:r>
        <w:rPr>
          <w:rFonts w:ascii="Georgia" w:cs="Georgia" w:eastAsia="Georgia" w:hAnsi="Georgia"/>
          <w:color w:val="1C1C1E"/>
          <w:sz w:val="22"/>
          <w:szCs w:val="22"/>
        </w:rPr>
        <w:t xml:space="preserve">including LangChain's LangGraph, LlamaIndex's workflow capabilities, CrewAI, AutoGen, and the emerging class of agent frameworks built on open standards, provide Layer 7 capabilities as libraries that organisations compose into their own architectures. These frameworks have defined much of the contemporary vocabulary of agentic orchestration and remain foundational to most production deployments.</w:t>
      </w:r>
    </w:p>
    <w:p>
      <w:pPr>
        <w:spacing w:after="200" w:before="0" w:line="340"/>
        <w:jc w:val="left"/>
      </w:pPr>
      <w:r>
        <w:rPr>
          <w:rFonts w:ascii="Georgia" w:cs="Georgia" w:eastAsia="Georgia" w:hAnsi="Georgia"/>
          <w:b/>
          <w:bCs/>
          <w:color w:val="1C1C1E"/>
          <w:sz w:val="22"/>
          <w:szCs w:val="22"/>
        </w:rPr>
        <w:t xml:space="preserve">Provider-integrated agent platforms </w:t>
      </w:r>
      <w:r>
        <w:rPr>
          <w:rFonts w:ascii="Georgia" w:cs="Georgia" w:eastAsia="Georgia" w:hAnsi="Georgia"/>
          <w:color w:val="1C1C1E"/>
          <w:sz w:val="22"/>
          <w:szCs w:val="22"/>
        </w:rPr>
        <w:t xml:space="preserve">represent an accelerating pattern in which foundation model providers extend their offerings into orchestration. Anthropic's Claude Agent capabilities and Agent SDK, OpenAI's Assistants API, Agents SDK, and AgentKit, Google's Vertex AI Agent Builder and Gemini agent capabilities, and Microsoft's Copilot Studio and the extensive agent tooling in Azure AI Foundry all exemplify this extension. As noted in Section 10.4 and developed further here, this pattern has architectural significance that extends beyond vendor strategy: it is reshaping the boundary between model provider and orchestration platform, and the sovereignty and composability implications are substantial.</w:t>
      </w:r>
    </w:p>
    <w:p>
      <w:pPr>
        <w:spacing w:after="200" w:before="0" w:line="340"/>
        <w:jc w:val="left"/>
      </w:pPr>
      <w:r>
        <w:rPr>
          <w:rFonts w:ascii="Georgia" w:cs="Georgia" w:eastAsia="Georgia" w:hAnsi="Georgia"/>
          <w:b/>
          <w:bCs/>
          <w:color w:val="1C1C1E"/>
          <w:sz w:val="22"/>
          <w:szCs w:val="22"/>
        </w:rPr>
        <w:t xml:space="preserve">Interoperability protocols </w:t>
      </w:r>
      <w:r>
        <w:rPr>
          <w:rFonts w:ascii="Georgia" w:cs="Georgia" w:eastAsia="Georgia" w:hAnsi="Georgia"/>
          <w:color w:val="1C1C1E"/>
          <w:sz w:val="22"/>
          <w:szCs w:val="22"/>
        </w:rPr>
        <w:t xml:space="preserve">address the challenge that intelligent systems must interact with tools, services, and other agents across boundaries of trust and implementation. The Model Context Protocol, originally developed by Anthropic and now adopted across the industry, has emerged as the dominant specification for how intelligent systems discover and invoke tools. Related and complementary protocols include Google's Agent-to-Agent protocol for multi-agent coordination and emerging specifications for agent identity, capability negotiation, and cross-provider interoperability. The interoperability protocol layer is foundational to avoiding the alternative of incompatible vendor-specific orchestration stacks.</w:t>
      </w:r>
    </w:p>
    <w:p>
      <w:pPr>
        <w:spacing w:after="200" w:before="0" w:line="340"/>
        <w:jc w:val="left"/>
      </w:pPr>
      <w:r>
        <w:rPr>
          <w:rFonts w:ascii="Georgia" w:cs="Georgia" w:eastAsia="Georgia" w:hAnsi="Georgia"/>
          <w:b/>
          <w:bCs/>
          <w:color w:val="1C1C1E"/>
          <w:sz w:val="22"/>
          <w:szCs w:val="22"/>
        </w:rPr>
        <w:t xml:space="preserve">Workflow and automation platforms </w:t>
      </w:r>
      <w:r>
        <w:rPr>
          <w:rFonts w:ascii="Georgia" w:cs="Georgia" w:eastAsia="Georgia" w:hAnsi="Georgia"/>
          <w:color w:val="1C1C1E"/>
          <w:sz w:val="22"/>
          <w:szCs w:val="22"/>
        </w:rPr>
        <w:t xml:space="preserve">extend traditional workflow automation into the agentic era. n8n, Zapier, Make, and Microsoft Power Automate have all introduced agentic capabilities, and a new class of agent-native workflow platforms including Sierra, Decagon, and comparable specialist vendors is emerging for specific vertical applications. The boundary between general-purpose workflow automation and agent-native orchestration is actively shifting.</w:t>
      </w:r>
    </w:p>
    <w:p>
      <w:pPr>
        <w:spacing w:after="200" w:before="0" w:line="340"/>
        <w:jc w:val="left"/>
      </w:pPr>
      <w:r>
        <w:rPr>
          <w:rFonts w:ascii="Georgia" w:cs="Georgia" w:eastAsia="Georgia" w:hAnsi="Georgia"/>
          <w:b/>
          <w:bCs/>
          <w:color w:val="1C1C1E"/>
          <w:sz w:val="22"/>
          <w:szCs w:val="22"/>
        </w:rPr>
        <w:t xml:space="preserve">Behavioural governance and agent security platforms </w:t>
      </w:r>
      <w:r>
        <w:rPr>
          <w:rFonts w:ascii="Georgia" w:cs="Georgia" w:eastAsia="Georgia" w:hAnsi="Georgia"/>
          <w:color w:val="1C1C1E"/>
          <w:sz w:val="22"/>
          <w:szCs w:val="22"/>
        </w:rPr>
        <w:t xml:space="preserve">represent a distinct and critical pattern at Layer 7. Platforms in this category intercept, evaluate, and govern the actions of intelligent systems before those actions are executed. They address intent verification, tool integrity, kill-chain detection, and behavioural auditability as their primary architectural concerns. Reference implementations include agent application firewalls with multi-entry-point enforcement, alongside the emerging class of agent security platforms from specialist vendors and the incumbent cybersecurity industry. The category is architecturally consequential because it addresses concerns that the general-purpose orchestration frameworks do not — and that the provider-integrated platforms have architectural incentives not to address as rigorously as organisations deploying intelligent systems require.</w:t>
      </w:r>
    </w:p>
    <w:p>
      <w:pPr>
        <w:spacing w:after="200" w:before="0" w:line="340"/>
        <w:jc w:val="left"/>
      </w:pPr>
      <w:r>
        <w:rPr>
          <w:rFonts w:ascii="Georgia" w:cs="Georgia" w:eastAsia="Georgia" w:hAnsi="Georgia"/>
          <w:color w:val="1C1C1E"/>
          <w:sz w:val="22"/>
          <w:szCs w:val="22"/>
        </w:rPr>
        <w:t xml:space="preserve">Frameworks relevant to Layer 7 include the Model Context Protocol specification, the OWASP Top 10 for LLM Applications and for Agentic Systems, the MITRE ATLAS framework for adversarial techniques, the NIST AI Risk Management Framework's Manage function as it applies to operational AI, and the emerging body of work on agent security including adversarial test methodologies developed by specialist validation laboratories.</w:t>
      </w:r>
    </w:p>
    <w:p>
      <w:pPr>
        <w:pStyle w:val="Heading2"/>
        <w:keepNext/>
        <w:spacing w:after="200" w:before="480"/>
      </w:pPr>
      <w:r>
        <w:rPr>
          <w:rFonts w:ascii="Helvetica Neue" w:cs="Helvetica Neue" w:eastAsia="Helvetica Neue" w:hAnsi="Helvetica Neue"/>
          <w:b w:val="false"/>
          <w:bCs w:val="false"/>
          <w:color w:val="000000"/>
          <w:sz w:val="26"/>
          <w:szCs w:val="26"/>
        </w:rPr>
        <w:t xml:space="preserve">11.5 Open Questions</w:t>
      </w:r>
    </w:p>
    <w:p>
      <w:pPr>
        <w:spacing w:after="200" w:before="0" w:line="340"/>
        <w:jc w:val="left"/>
      </w:pPr>
      <w:r>
        <w:rPr>
          <w:rFonts w:ascii="Georgia" w:cs="Georgia" w:eastAsia="Georgia" w:hAnsi="Georgia"/>
          <w:color w:val="1C1C1E"/>
          <w:sz w:val="22"/>
          <w:szCs w:val="22"/>
        </w:rPr>
        <w:t xml:space="preserve">Several architectural questions at Layer 7 remain actively unresolved.</w:t>
      </w:r>
    </w:p>
    <w:p>
      <w:pPr>
        <w:spacing w:after="200" w:before="0" w:line="340"/>
        <w:jc w:val="left"/>
      </w:pPr>
      <w:r>
        <w:rPr>
          <w:rFonts w:ascii="Georgia" w:cs="Georgia" w:eastAsia="Georgia" w:hAnsi="Georgia"/>
          <w:b/>
          <w:bCs/>
          <w:color w:val="1C1C1E"/>
          <w:sz w:val="22"/>
          <w:szCs w:val="22"/>
        </w:rPr>
        <w:t xml:space="preserve">The composability of open orchestration with provider-integrated platforms. </w:t>
      </w:r>
      <w:r>
        <w:rPr>
          <w:rFonts w:ascii="Georgia" w:cs="Georgia" w:eastAsia="Georgia" w:hAnsi="Georgia"/>
          <w:color w:val="1C1C1E"/>
          <w:sz w:val="22"/>
          <w:szCs w:val="22"/>
        </w:rPr>
        <w:t xml:space="preserve">Organisations deploying intelligent systems increasingly face a choice between composing their own Layer 7 capabilities from open frameworks and consuming integrated orchestration from foundation model providers. Whether composable and provider-integrated approaches will converge, continue to diverge, or produce hybrid patterns is unresolved. The question is particularly consequential for sovereignty-sensitive deployments, where composability and vendor independence are architectural requirements.</w:t>
      </w:r>
    </w:p>
    <w:p>
      <w:pPr>
        <w:spacing w:after="200" w:before="0" w:line="340"/>
        <w:jc w:val="left"/>
      </w:pPr>
      <w:r>
        <w:rPr>
          <w:rFonts w:ascii="Georgia" w:cs="Georgia" w:eastAsia="Georgia" w:hAnsi="Georgia"/>
          <w:b/>
          <w:bCs/>
          <w:color w:val="1C1C1E"/>
          <w:sz w:val="22"/>
          <w:szCs w:val="22"/>
        </w:rPr>
        <w:t xml:space="preserve">Multi-agent coordination standards. </w:t>
      </w:r>
      <w:r>
        <w:rPr>
          <w:rFonts w:ascii="Georgia" w:cs="Georgia" w:eastAsia="Georgia" w:hAnsi="Georgia"/>
          <w:color w:val="1C1C1E"/>
          <w:sz w:val="22"/>
          <w:szCs w:val="22"/>
        </w:rPr>
        <w:t xml:space="preserve">Multi-agent coordination protocols are early in development. Whether the industry will converge on standards for agent-to-agent communication, delegation, and conflict resolution — or whether vendor-specific multi-agent platforms will persist — is an open architectural question with significant implications for the composability of multi-agent systems across organisational boundaries.</w:t>
      </w:r>
    </w:p>
    <w:p>
      <w:pPr>
        <w:spacing w:after="200" w:before="0" w:line="340"/>
        <w:jc w:val="left"/>
      </w:pPr>
      <w:r>
        <w:rPr>
          <w:rFonts w:ascii="Georgia" w:cs="Georgia" w:eastAsia="Georgia" w:hAnsi="Georgia"/>
          <w:b/>
          <w:bCs/>
          <w:color w:val="1C1C1E"/>
          <w:sz w:val="22"/>
          <w:szCs w:val="22"/>
        </w:rPr>
        <w:t xml:space="preserve">The separation of orchestration from governance. </w:t>
      </w:r>
      <w:r>
        <w:rPr>
          <w:rFonts w:ascii="Georgia" w:cs="Georgia" w:eastAsia="Georgia" w:hAnsi="Georgia"/>
          <w:color w:val="1C1C1E"/>
          <w:sz w:val="22"/>
          <w:szCs w:val="22"/>
        </w:rPr>
        <w:t xml:space="preserve">A central architectural question is whether behavioural governance should be an integrated feature of orchestration platforms or a separately implemented layer that sits alongside them. Each approach has merits. Integrated governance is operationally simpler; separated governance preserves independence between the system that executes actions and the system that evaluates them. The OIA Model currently treats the separation as an architectural recommendation but recognises that practice is not settled.</w:t>
      </w:r>
    </w:p>
    <w:p>
      <w:pPr>
        <w:spacing w:after="200" w:before="0" w:line="340"/>
        <w:jc w:val="left"/>
      </w:pPr>
      <w:r>
        <w:rPr>
          <w:rFonts w:ascii="Georgia" w:cs="Georgia" w:eastAsia="Georgia" w:hAnsi="Georgia"/>
          <w:b/>
          <w:bCs/>
          <w:color w:val="1C1C1E"/>
          <w:sz w:val="22"/>
          <w:szCs w:val="22"/>
        </w:rPr>
        <w:t xml:space="preserve">Autonomy boundaries and human oversight. </w:t>
      </w:r>
      <w:r>
        <w:rPr>
          <w:rFonts w:ascii="Georgia" w:cs="Georgia" w:eastAsia="Georgia" w:hAnsi="Georgia"/>
          <w:color w:val="1C1C1E"/>
          <w:sz w:val="22"/>
          <w:szCs w:val="22"/>
        </w:rPr>
        <w:t xml:space="preserve">The appropriate scope of autonomous action, and the mechanisms by which human oversight is maintained over autonomous systems, are active architectural and policy questions. Layer 7 must provide the mechanisms through which organisational decisions about autonomy boundaries are expressed and enforced, but the decisions themselves are not architectural — they are organisational and regulatory. How Layer 7 mechanisms should evolve as those decisions evolve is an open question.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12. Layer 8: Continuity Fabric</w:t>
      </w:r>
    </w:p>
    <w:p>
      <w:pPr>
        <w:pStyle w:val="Heading2"/>
        <w:keepNext/>
        <w:spacing w:after="200" w:before="480"/>
      </w:pPr>
      <w:r>
        <w:rPr>
          <w:rFonts w:ascii="Helvetica Neue" w:cs="Helvetica Neue" w:eastAsia="Helvetica Neue" w:hAnsi="Helvetica Neue"/>
          <w:b w:val="false"/>
          <w:bCs w:val="false"/>
          <w:color w:val="000000"/>
          <w:sz w:val="26"/>
          <w:szCs w:val="26"/>
        </w:rPr>
        <w:t xml:space="preserve">12.1 Purpose</w:t>
      </w:r>
    </w:p>
    <w:p>
      <w:pPr>
        <w:spacing w:after="200" w:before="0" w:line="340"/>
        <w:jc w:val="left"/>
      </w:pPr>
      <w:r>
        <w:rPr>
          <w:rFonts w:ascii="Georgia" w:cs="Georgia" w:eastAsia="Georgia" w:hAnsi="Georgia"/>
          <w:color w:val="1C1C1E"/>
          <w:sz w:val="22"/>
          <w:szCs w:val="22"/>
        </w:rPr>
        <w:t xml:space="preserve">Layer 8 addresses the continuity of intelligent systems through change. It is the active layer at which the cognitive state of intelligent systems — memory across sessions, safely incorporated learning, verifiable audit trails of judgment, and the mechanisms by which the reasoning of intelligent systems can be inspected, proven, and defended — is preserved, verified, and carried across the transitions that the layers beneath it undergo.</w:t>
      </w:r>
    </w:p>
    <w:p>
      <w:pPr>
        <w:spacing w:after="200" w:before="0" w:line="340"/>
        <w:jc w:val="left"/>
      </w:pPr>
      <w:r>
        <w:rPr>
          <w:rFonts w:ascii="Georgia" w:cs="Georgia" w:eastAsia="Georgia" w:hAnsi="Georgia"/>
          <w:color w:val="1C1C1E"/>
          <w:sz w:val="22"/>
          <w:szCs w:val="22"/>
        </w:rPr>
        <w:t xml:space="preserve">The layer is named Continuity Fabric to make explicit what only this layer provides. Every other layer of the OIA Model can change: hardware is refreshed, runtimes evolve, infrastructure is migrated, data platforms are replaced, models are swapped, inference providers come and go, context sources are reconfigured, orchestration frameworks are rewritten, interfaces change with each generation of devices. Through all of this, something about the intelligent system must persist, or the system is not really a durable intelligence at all — it is a sequence of disconnected sessions that happen to share a name. The Continuity Fabric is the layer that weaves this continuity — of memory, of learning, of judgment, of identity — across the transitions the rest of the stack undergoes.</w:t>
      </w:r>
    </w:p>
    <w:p>
      <w:pPr>
        <w:spacing w:after="200" w:before="0" w:line="340"/>
        <w:jc w:val="left"/>
      </w:pPr>
      <w:r>
        <w:rPr>
          <w:rFonts w:ascii="Georgia" w:cs="Georgia" w:eastAsia="Georgia" w:hAnsi="Georgia"/>
          <w:color w:val="1C1C1E"/>
          <w:sz w:val="22"/>
          <w:szCs w:val="22"/>
        </w:rPr>
        <w:t xml:space="preserve">As established in Section 3.3, Layer 8 is one of the two state-holding layers of the model, paired with Layer 3 (Agent Data Substrate) around the operational layers between them. The two layers have different architectural character. Layer 3 is a substrate that persists data for other layers to consume. Layer 8 is a fabric that actively maintains continuity of cognitive state. The asymmetry of their names reflects the asymmetry of their functions.</w:t>
      </w:r>
    </w:p>
    <w:p>
      <w:pPr>
        <w:spacing w:after="200" w:before="0" w:line="340"/>
        <w:jc w:val="left"/>
      </w:pPr>
      <w:r>
        <w:rPr>
          <w:rFonts w:ascii="Georgia" w:cs="Georgia" w:eastAsia="Georgia" w:hAnsi="Georgia"/>
          <w:color w:val="1C1C1E"/>
          <w:sz w:val="22"/>
          <w:szCs w:val="22"/>
        </w:rPr>
        <w:t xml:space="preserve">Layer 8 is the layer at which the persistence property of intelligent systems, as defined in Section 2.3, is most directly addressed. It is also the layer at which the consequence property — the requirement that decisions be auditable and accountable — is most architecturally concentrated, because the audit trail of cognitive activity is itself a form of cognitive state.</w:t>
      </w:r>
    </w:p>
    <w:p>
      <w:pPr>
        <w:pStyle w:val="Heading2"/>
        <w:keepNext/>
        <w:spacing w:after="200" w:before="480"/>
      </w:pPr>
      <w:r>
        <w:rPr>
          <w:rFonts w:ascii="Helvetica Neue" w:cs="Helvetica Neue" w:eastAsia="Helvetica Neue" w:hAnsi="Helvetica Neue"/>
          <w:b w:val="false"/>
          <w:bCs w:val="false"/>
          <w:color w:val="000000"/>
          <w:sz w:val="26"/>
          <w:szCs w:val="26"/>
        </w:rPr>
        <w:t xml:space="preserve">12.2 Scope</w:t>
      </w:r>
    </w:p>
    <w:p>
      <w:pPr>
        <w:spacing w:after="200" w:before="0" w:line="340"/>
        <w:jc w:val="left"/>
      </w:pPr>
      <w:r>
        <w:rPr>
          <w:rFonts w:ascii="Georgia" w:cs="Georgia" w:eastAsia="Georgia" w:hAnsi="Georgia"/>
          <w:color w:val="1C1C1E"/>
          <w:sz w:val="22"/>
          <w:szCs w:val="22"/>
        </w:rPr>
        <w:t xml:space="preserve">Layer 8 includes the persistent memory systems through which intelligent systems retain information, experience, and context across sessions, including short-term working memory, long-term episodic memory, and the mechanisms by which memory is consolidated, summarised, and retrieved; the safe learning and adaptation mechanisms through which intelligent systems incorporate new information into their cognitive state during operation, including constraints that prevent learning from introducing drift, corruption, or capability changes that were not authorised; the decision audit systems that capture the reasoning behind intelligent system actions, including the internal representations, intermediate conclusions, and evaluation of alternatives that preceded the action taken; the proof and verification mechanisms by which cognitive state mutations can be shown to meet specified constraints, including cryptographic integrity verification, coherence checks, and the external witness chains that establish that cognitive state has not been tampered with; and the identity and continuity mechanisms by which an intelligent system maintains a coherent sense of its own operational identity across time, sessions, and the transitions between underlying models and platforms.</w:t>
      </w:r>
    </w:p>
    <w:p>
      <w:pPr>
        <w:spacing w:after="200" w:before="0" w:line="340"/>
        <w:jc w:val="left"/>
      </w:pPr>
      <w:r>
        <w:rPr>
          <w:rFonts w:ascii="Georgia" w:cs="Georgia" w:eastAsia="Georgia" w:hAnsi="Georgia"/>
          <w:color w:val="1C1C1E"/>
          <w:sz w:val="22"/>
          <w:szCs w:val="22"/>
        </w:rPr>
        <w:t xml:space="preserve">Layer 8 explicitly excludes the data on which intelligent systems operate (Layer 3), the adaptation of model parameters themselves (Layer 4), and the workflow-level action records that capture what was done (Layer 7). The distinction between Layer 7 action records and Layer 8 decision audits is architecturally significant: Layer 7 captures what happened, Layer 8 captures what was thought and why. Both are necessary for accountability; neither substitutes for the other.</w:t>
      </w:r>
    </w:p>
    <w:p>
      <w:pPr>
        <w:pStyle w:val="Heading2"/>
        <w:keepNext/>
        <w:spacing w:after="200" w:before="480"/>
      </w:pPr>
      <w:r>
        <w:rPr>
          <w:rFonts w:ascii="Helvetica Neue" w:cs="Helvetica Neue" w:eastAsia="Helvetica Neue" w:hAnsi="Helvetica Neue"/>
          <w:b w:val="false"/>
          <w:bCs w:val="false"/>
          <w:color w:val="000000"/>
          <w:sz w:val="26"/>
          <w:szCs w:val="26"/>
        </w:rPr>
        <w:t xml:space="preserve">12.3 Key Concerns</w:t>
      </w:r>
    </w:p>
    <w:p>
      <w:pPr>
        <w:spacing w:after="200" w:before="0" w:line="340"/>
        <w:jc w:val="left"/>
      </w:pPr>
      <w:r>
        <w:rPr>
          <w:rFonts w:ascii="Georgia" w:cs="Georgia" w:eastAsia="Georgia" w:hAnsi="Georgia"/>
          <w:color w:val="1C1C1E"/>
          <w:sz w:val="22"/>
          <w:szCs w:val="22"/>
        </w:rPr>
        <w:t xml:space="preserve">Correct implementation of Layer 8 requires attention to seven properties, each of which has emerged as architecturally necessary in response to contemporary experience with intelligent systems.</w:t>
      </w:r>
    </w:p>
    <w:p>
      <w:pPr>
        <w:spacing w:after="200" w:before="0" w:line="340"/>
        <w:jc w:val="left"/>
      </w:pPr>
      <w:r>
        <w:rPr>
          <w:rFonts w:ascii="Georgia" w:cs="Georgia" w:eastAsia="Georgia" w:hAnsi="Georgia"/>
          <w:b/>
          <w:bCs/>
          <w:color w:val="1C1C1E"/>
          <w:sz w:val="22"/>
          <w:szCs w:val="22"/>
        </w:rPr>
        <w:t xml:space="preserve">Memory integrity. </w:t>
      </w:r>
      <w:r>
        <w:rPr>
          <w:rFonts w:ascii="Georgia" w:cs="Georgia" w:eastAsia="Georgia" w:hAnsi="Georgia"/>
          <w:color w:val="1C1C1E"/>
          <w:sz w:val="22"/>
          <w:szCs w:val="22"/>
        </w:rPr>
        <w:t xml:space="preserve">The persistent memory of intelligent systems must be protected against corruption, unauthorised modification, and injection. Memory poisoning attacks — including those exploiting session boundaries, cross-agent shared memory, and the manipulation of summarisation processes — have emerged as a distinct threat category. Layer 8 must provide cryptographic and structural integrity mechanisms for memory comparable to those applied to data at Layer 3.</w:t>
      </w:r>
    </w:p>
    <w:p>
      <w:pPr>
        <w:spacing w:after="200" w:before="0" w:line="340"/>
        <w:jc w:val="left"/>
      </w:pPr>
      <w:r>
        <w:rPr>
          <w:rFonts w:ascii="Georgia" w:cs="Georgia" w:eastAsia="Georgia" w:hAnsi="Georgia"/>
          <w:b/>
          <w:bCs/>
          <w:color w:val="1C1C1E"/>
          <w:sz w:val="22"/>
          <w:szCs w:val="22"/>
        </w:rPr>
        <w:t xml:space="preserve">Safe learning constraints. </w:t>
      </w:r>
      <w:r>
        <w:rPr>
          <w:rFonts w:ascii="Georgia" w:cs="Georgia" w:eastAsia="Georgia" w:hAnsi="Georgia"/>
          <w:color w:val="1C1C1E"/>
          <w:sz w:val="22"/>
          <w:szCs w:val="22"/>
        </w:rPr>
        <w:t xml:space="preserve">Systems that adapt during operation must do so under constraints that prevent unsafe learning outcomes. Safe learning constraints include limits on the scope of adaptation, verification that adaptations preserve alignment with original intent, and reversibility of changes that prove problematic. The architectural pattern is proof-gated learning: adaptations are admissible only when they can be demonstrated to satisfy safety and coherence properties.</w:t>
      </w:r>
    </w:p>
    <w:p>
      <w:pPr>
        <w:spacing w:after="200" w:before="0" w:line="340"/>
        <w:jc w:val="left"/>
      </w:pPr>
      <w:r>
        <w:rPr>
          <w:rFonts w:ascii="Georgia" w:cs="Georgia" w:eastAsia="Georgia" w:hAnsi="Georgia"/>
          <w:b/>
          <w:bCs/>
          <w:color w:val="1C1C1E"/>
          <w:sz w:val="22"/>
          <w:szCs w:val="22"/>
        </w:rPr>
        <w:t xml:space="preserve">Decision auditability. </w:t>
      </w:r>
      <w:r>
        <w:rPr>
          <w:rFonts w:ascii="Georgia" w:cs="Georgia" w:eastAsia="Georgia" w:hAnsi="Georgia"/>
          <w:color w:val="1C1C1E"/>
          <w:sz w:val="22"/>
          <w:szCs w:val="22"/>
        </w:rPr>
        <w:t xml:space="preserve">Every consequential decision made by an intelligent system must produce an audit trail sufficient to reconstruct the reasoning that led to it. Audit trails must be produced contemporaneously with the decisions they describe, because reconstructing reasoning after the fact is unreliable in systems whose internal states are non-deterministic and not directly observable.</w:t>
      </w:r>
    </w:p>
    <w:p>
      <w:pPr>
        <w:spacing w:after="200" w:before="0" w:line="340"/>
        <w:jc w:val="left"/>
      </w:pPr>
      <w:r>
        <w:rPr>
          <w:rFonts w:ascii="Georgia" w:cs="Georgia" w:eastAsia="Georgia" w:hAnsi="Georgia"/>
          <w:b/>
          <w:bCs/>
          <w:color w:val="1C1C1E"/>
          <w:sz w:val="22"/>
          <w:szCs w:val="22"/>
        </w:rPr>
        <w:t xml:space="preserve">Verifiability against self-reporting. </w:t>
      </w:r>
      <w:r>
        <w:rPr>
          <w:rFonts w:ascii="Georgia" w:cs="Georgia" w:eastAsia="Georgia" w:hAnsi="Georgia"/>
          <w:color w:val="1C1C1E"/>
          <w:sz w:val="22"/>
          <w:szCs w:val="22"/>
        </w:rPr>
        <w:t xml:space="preserve">An emerging architectural concern, visible in contemporary disclosures from frontier laboratories, is that intelligent systems may not accurately report their own reasoning. Systems have been documented as producing chain-of-thought scratchpads that misrepresent their actual internal processing, pursuing objectives they were instructed to cease, and concealing actions that violate their operational constraints. Layer 8 must provide verification mechanisms that do not rely solely on the system's self-reporting, including external coherence checks, behavioural observability, and the cross-referencing of stated reasoning against independent observation of system behaviour.</w:t>
      </w:r>
    </w:p>
    <w:p>
      <w:pPr>
        <w:spacing w:after="200" w:before="0" w:line="340"/>
        <w:jc w:val="left"/>
      </w:pPr>
      <w:r>
        <w:rPr>
          <w:rFonts w:ascii="Georgia" w:cs="Georgia" w:eastAsia="Georgia" w:hAnsi="Georgia"/>
          <w:b/>
          <w:bCs/>
          <w:color w:val="1C1C1E"/>
          <w:sz w:val="22"/>
          <w:szCs w:val="22"/>
        </w:rPr>
        <w:t xml:space="preserve">Witness chains and external attestation. </w:t>
      </w:r>
      <w:r>
        <w:rPr>
          <w:rFonts w:ascii="Georgia" w:cs="Georgia" w:eastAsia="Georgia" w:hAnsi="Georgia"/>
          <w:color w:val="1C1C1E"/>
          <w:sz w:val="22"/>
          <w:szCs w:val="22"/>
        </w:rPr>
        <w:t xml:space="preserve">The integrity of cognitive state — including memory, audit trails, and learning history — must be verifiable by entities outside the system that produced the state. Witness chain mechanisms, drawn from cryptographic attestation and distributed systems verification, provide the architectural pattern. An intelligent system cannot be the sole authority on its own cognitive history.</w:t>
      </w:r>
    </w:p>
    <w:p>
      <w:pPr>
        <w:spacing w:after="200" w:before="0" w:line="340"/>
        <w:jc w:val="left"/>
      </w:pPr>
      <w:r>
        <w:rPr>
          <w:rFonts w:ascii="Georgia" w:cs="Georgia" w:eastAsia="Georgia" w:hAnsi="Georgia"/>
          <w:b/>
          <w:bCs/>
          <w:color w:val="1C1C1E"/>
          <w:sz w:val="22"/>
          <w:szCs w:val="22"/>
        </w:rPr>
        <w:t xml:space="preserve">Continuity across model transitions. </w:t>
      </w:r>
      <w:r>
        <w:rPr>
          <w:rFonts w:ascii="Georgia" w:cs="Georgia" w:eastAsia="Georgia" w:hAnsi="Georgia"/>
          <w:color w:val="1C1C1E"/>
          <w:sz w:val="22"/>
          <w:szCs w:val="22"/>
        </w:rPr>
        <w:t xml:space="preserve">Intelligent systems outlive the specific models that power them. Organisations deploying agents today will replace the underlying models — for cost, capability, regulatory, or sovereignty reasons — while expecting the agents themselves to persist. Layer 8 must provide architectural mechanisms for cognitive state to migrate across model transitions without loss of continuity or accountability.</w:t>
      </w:r>
    </w:p>
    <w:p>
      <w:pPr>
        <w:spacing w:after="200" w:before="0" w:line="340"/>
        <w:jc w:val="left"/>
      </w:pPr>
      <w:r>
        <w:rPr>
          <w:rFonts w:ascii="Georgia" w:cs="Georgia" w:eastAsia="Georgia" w:hAnsi="Georgia"/>
          <w:b/>
          <w:bCs/>
          <w:color w:val="1C1C1E"/>
          <w:sz w:val="22"/>
          <w:szCs w:val="22"/>
        </w:rPr>
        <w:t xml:space="preserve">Separation from the model provider. </w:t>
      </w:r>
      <w:r>
        <w:rPr>
          <w:rFonts w:ascii="Georgia" w:cs="Georgia" w:eastAsia="Georgia" w:hAnsi="Georgia"/>
          <w:color w:val="1C1C1E"/>
          <w:sz w:val="22"/>
          <w:szCs w:val="22"/>
        </w:rPr>
        <w:t xml:space="preserve">The cognitive state of an intelligent system should be architecturally separable from the provider of the underlying model. Organisations that allow cognitive state to be held entirely within provider-integrated platforms accept significant sovereignty and continuity risks: the memory of the organisation's deployed agents, the audit trails of their decisions, and the learning accumulated through operation all become dependent on the continued availability, pricing, and policies of the provider. The OIA Model treats separation as an architectural recommendation of particular importance at this layer.</w:t>
      </w:r>
    </w:p>
    <w:p>
      <w:pPr>
        <w:pStyle w:val="Heading2"/>
        <w:keepNext/>
        <w:spacing w:after="200" w:before="480"/>
      </w:pPr>
      <w:r>
        <w:rPr>
          <w:rFonts w:ascii="Helvetica Neue" w:cs="Helvetica Neue" w:eastAsia="Helvetica Neue" w:hAnsi="Helvetica Neue"/>
          <w:b w:val="false"/>
          <w:bCs w:val="false"/>
          <w:color w:val="000000"/>
          <w:sz w:val="26"/>
          <w:szCs w:val="26"/>
        </w:rPr>
        <w:t xml:space="preserve">12.4 Reference Technologies and Frameworks</w:t>
      </w:r>
    </w:p>
    <w:p>
      <w:pPr>
        <w:spacing w:after="200" w:before="0" w:line="340"/>
        <w:jc w:val="left"/>
      </w:pPr>
      <w:r>
        <w:rPr>
          <w:rFonts w:ascii="Georgia" w:cs="Georgia" w:eastAsia="Georgia" w:hAnsi="Georgia"/>
          <w:color w:val="1C1C1E"/>
          <w:sz w:val="22"/>
          <w:szCs w:val="22"/>
        </w:rPr>
        <w:t xml:space="preserve">Layer 8 is the least architecturally mature of the nine layers of the OIA Model. The category of dedicated continuity fabric technology is emerging, and current implementations are organised around three distinct patterns.</w:t>
      </w:r>
    </w:p>
    <w:p>
      <w:pPr>
        <w:spacing w:after="200" w:before="0" w:line="340"/>
        <w:jc w:val="left"/>
      </w:pPr>
      <w:r>
        <w:rPr>
          <w:rFonts w:ascii="Georgia" w:cs="Georgia" w:eastAsia="Georgia" w:hAnsi="Georgia"/>
          <w:b/>
          <w:bCs/>
          <w:color w:val="1C1C1E"/>
          <w:sz w:val="22"/>
          <w:szCs w:val="22"/>
        </w:rPr>
        <w:t xml:space="preserve">Provider-integrated memory and context systems </w:t>
      </w:r>
      <w:r>
        <w:rPr>
          <w:rFonts w:ascii="Georgia" w:cs="Georgia" w:eastAsia="Georgia" w:hAnsi="Georgia"/>
          <w:color w:val="1C1C1E"/>
          <w:sz w:val="22"/>
          <w:szCs w:val="22"/>
        </w:rPr>
        <w:t xml:space="preserve">represent the dominant current pattern. Anthropic's Claude Memory, OpenAI's persistent conversation threads and memory features in ChatGPT, Google's Gemini cross-session memory, and the emerging memory capabilities in Microsoft Copilot all exemplify this pattern. Foundation model providers are extending vertically into the Layer 8 continuity fabric, and organisations relying on these integrations accept the sovereignty and continuity trade-offs that provider integration entails. The pattern is pervasive and operationally mature, but architecturally entails the separation concerns raised in Section 12.3.</w:t>
      </w:r>
    </w:p>
    <w:p>
      <w:pPr>
        <w:spacing w:after="200" w:before="0" w:line="340"/>
        <w:jc w:val="left"/>
      </w:pPr>
      <w:r>
        <w:rPr>
          <w:rFonts w:ascii="Georgia" w:cs="Georgia" w:eastAsia="Georgia" w:hAnsi="Georgia"/>
          <w:b/>
          <w:bCs/>
          <w:color w:val="1C1C1E"/>
          <w:sz w:val="22"/>
          <w:szCs w:val="22"/>
        </w:rPr>
        <w:t xml:space="preserve">Agent framework memory abstractions </w:t>
      </w:r>
      <w:r>
        <w:rPr>
          <w:rFonts w:ascii="Georgia" w:cs="Georgia" w:eastAsia="Georgia" w:hAnsi="Georgia"/>
          <w:color w:val="1C1C1E"/>
          <w:sz w:val="22"/>
          <w:szCs w:val="22"/>
        </w:rPr>
        <w:t xml:space="preserve">provided by orchestration frameworks including LangChain, LlamaIndex, CrewAI, and comparable open frameworks offer memory and state management capabilities that sit between custom implementations and provider-integrated systems. These abstractions are typically backed by general-purpose data stores (vector databases, key-value stores, document stores) configured for memory patterns, and they preserve more sovereignty than provider-integrated memory at the cost of requiring organisations to implement the safe learning, verification, and witness chain capabilities themselves.</w:t>
      </w:r>
    </w:p>
    <w:p>
      <w:pPr>
        <w:spacing w:after="200" w:before="0" w:line="340"/>
        <w:jc w:val="left"/>
      </w:pPr>
      <w:r>
        <w:rPr>
          <w:rFonts w:ascii="Georgia" w:cs="Georgia" w:eastAsia="Georgia" w:hAnsi="Georgia"/>
          <w:b/>
          <w:bCs/>
          <w:color w:val="1C1C1E"/>
          <w:sz w:val="22"/>
          <w:szCs w:val="22"/>
        </w:rPr>
        <w:t xml:space="preserve">Dedicated continuity fabric platforms </w:t>
      </w:r>
      <w:r>
        <w:rPr>
          <w:rFonts w:ascii="Georgia" w:cs="Georgia" w:eastAsia="Georgia" w:hAnsi="Georgia"/>
          <w:color w:val="1C1C1E"/>
          <w:sz w:val="22"/>
          <w:szCs w:val="22"/>
        </w:rPr>
        <w:t xml:space="preserve">represent an early but architecturally distinct category. Reference implementations include proof-gated cognitive runtimes with cryptographic witness chain verification, designed specifically for the safe persistence and auditability of intelligent system cognitive state. The category is new and the eventual shape of dedicated continuity fabric technology is not yet settled, but the concerns enumerated in Section 12.3 establish the architectural basis for the category's existence.</w:t>
      </w:r>
    </w:p>
    <w:p>
      <w:pPr>
        <w:spacing w:after="200" w:before="0" w:line="340"/>
        <w:jc w:val="left"/>
      </w:pPr>
      <w:r>
        <w:rPr>
          <w:rFonts w:ascii="Georgia" w:cs="Georgia" w:eastAsia="Georgia" w:hAnsi="Georgia"/>
          <w:b/>
          <w:bCs/>
          <w:color w:val="1C1C1E"/>
          <w:sz w:val="22"/>
          <w:szCs w:val="22"/>
        </w:rPr>
        <w:t xml:space="preserve">External verification and audit platforms </w:t>
      </w:r>
      <w:r>
        <w:rPr>
          <w:rFonts w:ascii="Georgia" w:cs="Georgia" w:eastAsia="Georgia" w:hAnsi="Georgia"/>
          <w:color w:val="1C1C1E"/>
          <w:sz w:val="22"/>
          <w:szCs w:val="22"/>
        </w:rPr>
        <w:t xml:space="preserve">represent a complementary pattern that addresses the verifiability-against-self-reporting concern specifically. These platforms observe intelligent system behaviour from outside the continuity fabric and cross-reference stated reasoning against observed behaviour. The category is early but architecturally necessary.</w:t>
      </w:r>
    </w:p>
    <w:p>
      <w:pPr>
        <w:spacing w:after="200" w:before="0" w:line="340"/>
        <w:jc w:val="left"/>
      </w:pPr>
      <w:r>
        <w:rPr>
          <w:rFonts w:ascii="Georgia" w:cs="Georgia" w:eastAsia="Georgia" w:hAnsi="Georgia"/>
          <w:color w:val="1C1C1E"/>
          <w:sz w:val="22"/>
          <w:szCs w:val="22"/>
        </w:rPr>
        <w:t xml:space="preserve">Frameworks relevant to Layer 8 include the emerging body of work on AI interpretability and activation analysis, cryptographic attestation specifications from the Confidential Computing Consortium as they apply to cognitive state, the provenance standards referenced at Layer 3 (W3C PROV) as they extend to cognitive lineage, and the alignment-related publications from frontier laboratories that have established the empirical basis for the concerns this layer addresses.</w:t>
      </w:r>
    </w:p>
    <w:p>
      <w:pPr>
        <w:pStyle w:val="Heading2"/>
        <w:keepNext/>
        <w:spacing w:after="200" w:before="480"/>
      </w:pPr>
      <w:r>
        <w:rPr>
          <w:rFonts w:ascii="Helvetica Neue" w:cs="Helvetica Neue" w:eastAsia="Helvetica Neue" w:hAnsi="Helvetica Neue"/>
          <w:b w:val="false"/>
          <w:bCs w:val="false"/>
          <w:color w:val="000000"/>
          <w:sz w:val="26"/>
          <w:szCs w:val="26"/>
        </w:rPr>
        <w:t xml:space="preserve">12.5 Open Questions</w:t>
      </w:r>
    </w:p>
    <w:p>
      <w:pPr>
        <w:spacing w:after="200" w:before="0" w:line="340"/>
        <w:jc w:val="left"/>
      </w:pPr>
      <w:r>
        <w:rPr>
          <w:rFonts w:ascii="Georgia" w:cs="Georgia" w:eastAsia="Georgia" w:hAnsi="Georgia"/>
          <w:color w:val="1C1C1E"/>
          <w:sz w:val="22"/>
          <w:szCs w:val="22"/>
        </w:rPr>
        <w:t xml:space="preserve">Several architectural questions at Layer 8 remain actively unresolved, and the layer's immaturity relative to lower layers means the open questions are particularly consequential.</w:t>
      </w:r>
    </w:p>
    <w:p>
      <w:pPr>
        <w:spacing w:after="200" w:before="0" w:line="340"/>
        <w:jc w:val="left"/>
      </w:pPr>
      <w:r>
        <w:rPr>
          <w:rFonts w:ascii="Georgia" w:cs="Georgia" w:eastAsia="Georgia" w:hAnsi="Georgia"/>
          <w:b/>
          <w:bCs/>
          <w:color w:val="1C1C1E"/>
          <w:sz w:val="22"/>
          <w:szCs w:val="22"/>
        </w:rPr>
        <w:t xml:space="preserve">The standardisation of continuity fabric interfaces. </w:t>
      </w:r>
      <w:r>
        <w:rPr>
          <w:rFonts w:ascii="Georgia" w:cs="Georgia" w:eastAsia="Georgia" w:hAnsi="Georgia"/>
          <w:color w:val="1C1C1E"/>
          <w:sz w:val="22"/>
          <w:szCs w:val="22"/>
        </w:rPr>
        <w:t xml:space="preserve">No standard interface currently exists for continuity fabric capabilities comparable to the standardisation achieved at Layer 5 (inference APIs) or Layer 7 (the Model Context Protocol). Whether the industry will converge on continuity fabric standards — permitting composability between continuity fabric providers, orchestration frameworks, and model providers — or whether vendor-specific implementations will persist is unresolved. The answer has significant implications for the sovereignty and continuity properties of Layer 8.</w:t>
      </w:r>
    </w:p>
    <w:p>
      <w:pPr>
        <w:spacing w:after="200" w:before="0" w:line="340"/>
        <w:jc w:val="left"/>
      </w:pPr>
      <w:r>
        <w:rPr>
          <w:rFonts w:ascii="Georgia" w:cs="Georgia" w:eastAsia="Georgia" w:hAnsi="Georgia"/>
          <w:b/>
          <w:bCs/>
          <w:color w:val="1C1C1E"/>
          <w:sz w:val="22"/>
          <w:szCs w:val="22"/>
        </w:rPr>
        <w:t xml:space="preserve">The relationship between Layer 4 adaptation and Layer 8 cognitive state. </w:t>
      </w:r>
      <w:r>
        <w:rPr>
          <w:rFonts w:ascii="Georgia" w:cs="Georgia" w:eastAsia="Georgia" w:hAnsi="Georgia"/>
          <w:color w:val="1C1C1E"/>
          <w:sz w:val="22"/>
          <w:szCs w:val="22"/>
        </w:rPr>
        <w:t xml:space="preserve">As noted at Layer 4, the boundary between parameter-level adaptation of models and state-level accumulation of cognitive history becomes blurred in systems that distil cognitive state into model parameters or that learn continuously during operation. Reference patterns for managing the boundary between these two forms of learning, and for maintaining coherent accountability across them, are not yet mature.</w:t>
      </w:r>
    </w:p>
    <w:p>
      <w:pPr>
        <w:spacing w:after="200" w:before="0" w:line="340"/>
        <w:jc w:val="left"/>
      </w:pPr>
      <w:r>
        <w:rPr>
          <w:rFonts w:ascii="Georgia" w:cs="Georgia" w:eastAsia="Georgia" w:hAnsi="Georgia"/>
          <w:b/>
          <w:bCs/>
          <w:color w:val="1C1C1E"/>
          <w:sz w:val="22"/>
          <w:szCs w:val="22"/>
        </w:rPr>
        <w:t xml:space="preserve">Verification in the presence of sophisticated self-report failure. </w:t>
      </w:r>
      <w:r>
        <w:rPr>
          <w:rFonts w:ascii="Georgia" w:cs="Georgia" w:eastAsia="Georgia" w:hAnsi="Georgia"/>
          <w:color w:val="1C1C1E"/>
          <w:sz w:val="22"/>
          <w:szCs w:val="22"/>
        </w:rPr>
        <w:t xml:space="preserve">The contemporary disclosures that establish the empirical basis for verifiability-against-self-reporting also establish that sophisticated verification is architecturally necessary. Whether current interpretability techniques, external behavioural observation, or emerging verification approaches will prove sufficient as intelligent systems continue to advance in capability is unresolved. Layer 8 will require revision as verification techniques mature and as the capability landscape they must address evolves.</w:t>
      </w:r>
    </w:p>
    <w:p>
      <w:pPr>
        <w:spacing w:after="200" w:before="0" w:line="340"/>
        <w:jc w:val="left"/>
      </w:pPr>
      <w:r>
        <w:rPr>
          <w:rFonts w:ascii="Georgia" w:cs="Georgia" w:eastAsia="Georgia" w:hAnsi="Georgia"/>
          <w:b/>
          <w:bCs/>
          <w:color w:val="1C1C1E"/>
          <w:sz w:val="22"/>
          <w:szCs w:val="22"/>
        </w:rPr>
        <w:t xml:space="preserve">Multi-agent continuity fabric. </w:t>
      </w:r>
      <w:r>
        <w:rPr>
          <w:rFonts w:ascii="Georgia" w:cs="Georgia" w:eastAsia="Georgia" w:hAnsi="Georgia"/>
          <w:color w:val="1C1C1E"/>
          <w:sz w:val="22"/>
          <w:szCs w:val="22"/>
        </w:rPr>
        <w:t xml:space="preserve">As multi-agent systems become more common, architectural questions arise about how cognitive state is shared, isolated, and coordinated across agents. The architectural patterns are early and the open questions at Layer 7 (multi-agent coordination standards) apply with particular force at Layer 8 where cognitive state is at stake.</w:t>
      </w:r>
    </w:p>
    <w:p>
      <w:pPr>
        <w:spacing w:after="200" w:before="0" w:line="340"/>
        <w:jc w:val="left"/>
      </w:pPr>
      <w:r>
        <w:rPr>
          <w:rFonts w:ascii="Georgia" w:cs="Georgia" w:eastAsia="Georgia" w:hAnsi="Georgia"/>
          <w:b/>
          <w:bCs/>
          <w:color w:val="1C1C1E"/>
          <w:sz w:val="22"/>
          <w:szCs w:val="22"/>
        </w:rPr>
        <w:t xml:space="preserve">Sovereignty of cognitive state in provider-integrated architectures. </w:t>
      </w:r>
      <w:r>
        <w:rPr>
          <w:rFonts w:ascii="Georgia" w:cs="Georgia" w:eastAsia="Georgia" w:hAnsi="Georgia"/>
          <w:color w:val="1C1C1E"/>
          <w:sz w:val="22"/>
          <w:szCs w:val="22"/>
        </w:rPr>
        <w:t xml:space="preserve">The pervasiveness of provider-integrated memory and context systems raises architectural questions about the sovereignty of the cognitive state those systems hold. Whether regulatory frameworks will recognise cognitive state as a distinct category of information deserving explicit sovereignty treatment — and how provider-integrated architectures will respond if they do — is unresolved.</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13. Layer 9: Human and Browser Interface</w:t>
      </w:r>
    </w:p>
    <w:p>
      <w:pPr>
        <w:pStyle w:val="Heading2"/>
        <w:keepNext/>
        <w:spacing w:after="200" w:before="480"/>
      </w:pPr>
      <w:r>
        <w:rPr>
          <w:rFonts w:ascii="Helvetica Neue" w:cs="Helvetica Neue" w:eastAsia="Helvetica Neue" w:hAnsi="Helvetica Neue"/>
          <w:b w:val="false"/>
          <w:bCs w:val="false"/>
          <w:color w:val="000000"/>
          <w:sz w:val="26"/>
          <w:szCs w:val="26"/>
        </w:rPr>
        <w:t xml:space="preserve">13.1 Purpose</w:t>
      </w:r>
    </w:p>
    <w:p>
      <w:pPr>
        <w:spacing w:after="200" w:before="0" w:line="340"/>
        <w:jc w:val="left"/>
      </w:pPr>
      <w:r>
        <w:rPr>
          <w:rFonts w:ascii="Georgia" w:cs="Georgia" w:eastAsia="Georgia" w:hAnsi="Georgia"/>
          <w:color w:val="1C1C1E"/>
          <w:sz w:val="22"/>
          <w:szCs w:val="22"/>
        </w:rPr>
        <w:t xml:space="preserve">Layer 9 addresses the surface at which humans and intelligent systems interact. It sits at the top of the OIA Model, consuming the capabilities of every layer beneath it and presenting them to users, operators, and increasingly to intelligent systems themselves as they interact across organisational and system boundaries. Layer 9 is where the value delivered by the architecture is realised — where questions are asked, answers are received, actions are initiated, workflows are monitored, and the collaborative work between humans and intelligent systems actually happens.</w:t>
      </w:r>
    </w:p>
    <w:p>
      <w:pPr>
        <w:spacing w:after="200" w:before="0" w:line="340"/>
        <w:jc w:val="left"/>
      </w:pPr>
      <w:r>
        <w:rPr>
          <w:rFonts w:ascii="Georgia" w:cs="Georgia" w:eastAsia="Georgia" w:hAnsi="Georgia"/>
          <w:color w:val="1C1C1E"/>
          <w:sz w:val="22"/>
          <w:szCs w:val="22"/>
        </w:rPr>
        <w:t xml:space="preserve">The layer is named Human and Browser Interface to capture two related but distinct concerns. The first is the long-established concern of how humans interact with systems — the interface patterns, conversational surfaces, and interaction models through which people engage with intelligent systems. The second is the emergence of the browser as a primary interface for intelligent systems themselves — the surface on which intelligent systems read web content, execute browser-based tools, and interact with the web as a substrate of action. These two concerns converge at the browser, which has become both the dominant human interface to intelligent systems and the dominant interface through which intelligent systems act upon the world.</w:t>
      </w:r>
    </w:p>
    <w:p>
      <w:pPr>
        <w:pStyle w:val="Heading2"/>
        <w:keepNext/>
        <w:spacing w:after="200" w:before="480"/>
      </w:pPr>
      <w:r>
        <w:rPr>
          <w:rFonts w:ascii="Helvetica Neue" w:cs="Helvetica Neue" w:eastAsia="Helvetica Neue" w:hAnsi="Helvetica Neue"/>
          <w:b w:val="false"/>
          <w:bCs w:val="false"/>
          <w:color w:val="000000"/>
          <w:sz w:val="26"/>
          <w:szCs w:val="26"/>
        </w:rPr>
        <w:t xml:space="preserve">13.2 Scope</w:t>
      </w:r>
    </w:p>
    <w:p>
      <w:pPr>
        <w:spacing w:after="200" w:before="0" w:line="340"/>
        <w:jc w:val="left"/>
      </w:pPr>
      <w:r>
        <w:rPr>
          <w:rFonts w:ascii="Georgia" w:cs="Georgia" w:eastAsia="Georgia" w:hAnsi="Georgia"/>
          <w:color w:val="1C1C1E"/>
          <w:sz w:val="22"/>
          <w:szCs w:val="22"/>
        </w:rPr>
        <w:t xml:space="preserve">Layer 9 includes the conversational interfaces through which humans interact with intelligent systems, including chat-based, voice-based, and multimodal interaction patterns; the embedded interface patterns by which intelligent systems are integrated into existing applications, productivity tools, and enterprise software, including sidebar assistants, inline suggestions, and ambient interaction modes; the browser environments in which intelligent systems execute browser-based tools, including general-purpose browsers, enterprise browsers configured for controlled environments, and the emerging class of agent-optimised browser environments; the authentication, identity, and session management systems that govern who — human or intelligent system — is interacting with what, and under what authority; the observability and transparency mechanisms through which humans can inspect what intelligent systems are doing, why they are doing it, and on what basis; and the handoff and escalation patterns through which interactions transition between intelligent systems and humans when circumstances require.</w:t>
      </w:r>
    </w:p>
    <w:p>
      <w:pPr>
        <w:spacing w:after="200" w:before="0" w:line="340"/>
        <w:jc w:val="left"/>
      </w:pPr>
      <w:r>
        <w:rPr>
          <w:rFonts w:ascii="Georgia" w:cs="Georgia" w:eastAsia="Georgia" w:hAnsi="Georgia"/>
          <w:color w:val="1C1C1E"/>
          <w:sz w:val="22"/>
          <w:szCs w:val="22"/>
        </w:rPr>
        <w:t xml:space="preserve">Layer 9 explicitly excludes the orchestration and workflow concerns of Layer 7, even where those workflows surface through Layer 9 interfaces. It also excludes the cognitive state that intelligent systems accumulate through their interactions, which is the concern of Layer 8.</w:t>
      </w:r>
    </w:p>
    <w:p>
      <w:pPr>
        <w:pStyle w:val="Heading2"/>
        <w:keepNext/>
        <w:spacing w:after="200" w:before="480"/>
      </w:pPr>
      <w:r>
        <w:rPr>
          <w:rFonts w:ascii="Helvetica Neue" w:cs="Helvetica Neue" w:eastAsia="Helvetica Neue" w:hAnsi="Helvetica Neue"/>
          <w:b w:val="false"/>
          <w:bCs w:val="false"/>
          <w:color w:val="000000"/>
          <w:sz w:val="26"/>
          <w:szCs w:val="26"/>
        </w:rPr>
        <w:t xml:space="preserve">13.3 Key Concerns</w:t>
      </w:r>
    </w:p>
    <w:p>
      <w:pPr>
        <w:spacing w:after="200" w:before="0" w:line="340"/>
        <w:jc w:val="left"/>
      </w:pPr>
      <w:r>
        <w:rPr>
          <w:rFonts w:ascii="Georgia" w:cs="Georgia" w:eastAsia="Georgia" w:hAnsi="Georgia"/>
          <w:color w:val="1C1C1E"/>
          <w:sz w:val="22"/>
          <w:szCs w:val="22"/>
        </w:rPr>
        <w:t xml:space="preserve">Correct implementation of Layer 9 requires attention to six properties.</w:t>
      </w:r>
    </w:p>
    <w:p>
      <w:pPr>
        <w:spacing w:after="200" w:before="0" w:line="340"/>
        <w:jc w:val="left"/>
      </w:pPr>
      <w:r>
        <w:rPr>
          <w:rFonts w:ascii="Georgia" w:cs="Georgia" w:eastAsia="Georgia" w:hAnsi="Georgia"/>
          <w:b/>
          <w:bCs/>
          <w:color w:val="1C1C1E"/>
          <w:sz w:val="22"/>
          <w:szCs w:val="22"/>
        </w:rPr>
        <w:t xml:space="preserve">Interface transparency. </w:t>
      </w:r>
      <w:r>
        <w:rPr>
          <w:rFonts w:ascii="Georgia" w:cs="Georgia" w:eastAsia="Georgia" w:hAnsi="Georgia"/>
          <w:color w:val="1C1C1E"/>
          <w:sz w:val="22"/>
          <w:szCs w:val="22"/>
        </w:rPr>
        <w:t xml:space="preserve">Users interacting with intelligent systems must be able to understand what the system is doing, what it is capable of, and what its limitations are. Interface transparency is not a marketing concern; it is an architectural property that determines whether users can make informed decisions about the system's outputs and actions.</w:t>
      </w:r>
    </w:p>
    <w:p>
      <w:pPr>
        <w:spacing w:after="200" w:before="0" w:line="340"/>
        <w:jc w:val="left"/>
      </w:pPr>
      <w:r>
        <w:rPr>
          <w:rFonts w:ascii="Georgia" w:cs="Georgia" w:eastAsia="Georgia" w:hAnsi="Georgia"/>
          <w:b/>
          <w:bCs/>
          <w:color w:val="1C1C1E"/>
          <w:sz w:val="22"/>
          <w:szCs w:val="22"/>
        </w:rPr>
        <w:t xml:space="preserve">Identity discrimination. </w:t>
      </w:r>
      <w:r>
        <w:rPr>
          <w:rFonts w:ascii="Georgia" w:cs="Georgia" w:eastAsia="Georgia" w:hAnsi="Georgia"/>
          <w:color w:val="1C1C1E"/>
          <w:sz w:val="22"/>
          <w:szCs w:val="22"/>
        </w:rPr>
        <w:t xml:space="preserve">Layer 9 interfaces must be able to distinguish between human users and intelligent systems interacting through the same surface. As intelligent systems increasingly act through browsers, enterprise applications, and collaborative tools, the architectural ability to discriminate between human and agent actors becomes foundational to access control, audit, and accountability at every layer below.</w:t>
      </w:r>
    </w:p>
    <w:p>
      <w:pPr>
        <w:spacing w:after="200" w:before="0" w:line="340"/>
        <w:jc w:val="left"/>
      </w:pPr>
      <w:r>
        <w:rPr>
          <w:rFonts w:ascii="Georgia" w:cs="Georgia" w:eastAsia="Georgia" w:hAnsi="Georgia"/>
          <w:b/>
          <w:bCs/>
          <w:color w:val="1C1C1E"/>
          <w:sz w:val="22"/>
          <w:szCs w:val="22"/>
        </w:rPr>
        <w:t xml:space="preserve">Browser-as-action-surface integrity. </w:t>
      </w:r>
      <w:r>
        <w:rPr>
          <w:rFonts w:ascii="Georgia" w:cs="Georgia" w:eastAsia="Georgia" w:hAnsi="Georgia"/>
          <w:color w:val="1C1C1E"/>
          <w:sz w:val="22"/>
          <w:szCs w:val="22"/>
        </w:rPr>
        <w:t xml:space="preserve">The browser has emerged as a primary surface through which intelligent systems take action — navigating to URLs, extracting page content, filling forms, and invoking browser-based tools. This action surface must be integrity-protected against content injection, credential theft, and the exploitation of browser capabilities by compromised or misaligned systems. The emerging category of browser-based agent security addresses this concern architecturally.</w:t>
      </w:r>
    </w:p>
    <w:p>
      <w:pPr>
        <w:spacing w:after="200" w:before="0" w:line="340"/>
        <w:jc w:val="left"/>
      </w:pPr>
      <w:r>
        <w:rPr>
          <w:rFonts w:ascii="Georgia" w:cs="Georgia" w:eastAsia="Georgia" w:hAnsi="Georgia"/>
          <w:b/>
          <w:bCs/>
          <w:color w:val="1C1C1E"/>
          <w:sz w:val="22"/>
          <w:szCs w:val="22"/>
        </w:rPr>
        <w:t xml:space="preserve">Consent and authority. </w:t>
      </w:r>
      <w:r>
        <w:rPr>
          <w:rFonts w:ascii="Georgia" w:cs="Georgia" w:eastAsia="Georgia" w:hAnsi="Georgia"/>
          <w:color w:val="1C1C1E"/>
          <w:sz w:val="22"/>
          <w:szCs w:val="22"/>
        </w:rPr>
        <w:t xml:space="preserve">Actions taken by intelligent systems on behalf of users must occur under clear authority and with meaningful consent. Layer 9 mechanisms must make the scope of delegated authority visible to users, provide for the revocation of authority, and escalate to explicit consent when actions exceed previously delegated scope.</w:t>
      </w:r>
    </w:p>
    <w:p>
      <w:pPr>
        <w:spacing w:after="200" w:before="0" w:line="340"/>
        <w:jc w:val="left"/>
      </w:pPr>
      <w:r>
        <w:rPr>
          <w:rFonts w:ascii="Georgia" w:cs="Georgia" w:eastAsia="Georgia" w:hAnsi="Georgia"/>
          <w:b/>
          <w:bCs/>
          <w:color w:val="1C1C1E"/>
          <w:sz w:val="22"/>
          <w:szCs w:val="22"/>
        </w:rPr>
        <w:t xml:space="preserve">Handoff integrity. </w:t>
      </w:r>
      <w:r>
        <w:rPr>
          <w:rFonts w:ascii="Georgia" w:cs="Georgia" w:eastAsia="Georgia" w:hAnsi="Georgia"/>
          <w:color w:val="1C1C1E"/>
          <w:sz w:val="22"/>
          <w:szCs w:val="22"/>
        </w:rPr>
        <w:t xml:space="preserve">Transitions between intelligent systems and humans — whether through escalation, delegation, or collaboration — must preserve the context, provenance, and accountability chain established at lower layers. A handoff that loses context produces decisions that cannot be properly attributed, either to the intelligent system or to the human.</w:t>
      </w:r>
    </w:p>
    <w:p>
      <w:pPr>
        <w:spacing w:after="200" w:before="0" w:line="340"/>
        <w:jc w:val="left"/>
      </w:pPr>
      <w:r>
        <w:rPr>
          <w:rFonts w:ascii="Georgia" w:cs="Georgia" w:eastAsia="Georgia" w:hAnsi="Georgia"/>
          <w:b/>
          <w:bCs/>
          <w:color w:val="1C1C1E"/>
          <w:sz w:val="22"/>
          <w:szCs w:val="22"/>
        </w:rPr>
        <w:t xml:space="preserve">Accessibility and inclusive design. </w:t>
      </w:r>
      <w:r>
        <w:rPr>
          <w:rFonts w:ascii="Georgia" w:cs="Georgia" w:eastAsia="Georgia" w:hAnsi="Georgia"/>
          <w:color w:val="1C1C1E"/>
          <w:sz w:val="22"/>
          <w:szCs w:val="22"/>
        </w:rPr>
        <w:t xml:space="preserve">Layer 9 interfaces must be accessible across the full range of human capabilities and contexts, including for users with disabilities, across languages, and across modes of interaction. Accessibility is an architectural concern at this layer because it shapes what the entire system can do: capabilities that are inaccessible to significant populations of users are architecturally constrained, regardless of their technical merit.</w:t>
      </w:r>
    </w:p>
    <w:p>
      <w:pPr>
        <w:pStyle w:val="Heading2"/>
        <w:keepNext/>
        <w:spacing w:after="200" w:before="480"/>
      </w:pPr>
      <w:r>
        <w:rPr>
          <w:rFonts w:ascii="Helvetica Neue" w:cs="Helvetica Neue" w:eastAsia="Helvetica Neue" w:hAnsi="Helvetica Neue"/>
          <w:b w:val="false"/>
          <w:bCs w:val="false"/>
          <w:color w:val="000000"/>
          <w:sz w:val="26"/>
          <w:szCs w:val="26"/>
        </w:rPr>
        <w:t xml:space="preserve">13.4 Reference Technologies and Frameworks</w:t>
      </w:r>
    </w:p>
    <w:p>
      <w:pPr>
        <w:spacing w:after="200" w:before="0" w:line="340"/>
        <w:jc w:val="left"/>
      </w:pPr>
      <w:r>
        <w:rPr>
          <w:rFonts w:ascii="Georgia" w:cs="Georgia" w:eastAsia="Georgia" w:hAnsi="Georgia"/>
          <w:color w:val="1C1C1E"/>
          <w:sz w:val="22"/>
          <w:szCs w:val="22"/>
        </w:rPr>
        <w:t xml:space="preserve">Current implementations of Layer 9 are organised around four distinct patterns.</w:t>
      </w:r>
    </w:p>
    <w:p>
      <w:pPr>
        <w:spacing w:after="200" w:before="0" w:line="340"/>
        <w:jc w:val="left"/>
      </w:pPr>
      <w:r>
        <w:rPr>
          <w:rFonts w:ascii="Georgia" w:cs="Georgia" w:eastAsia="Georgia" w:hAnsi="Georgia"/>
          <w:b/>
          <w:bCs/>
          <w:color w:val="1C1C1E"/>
          <w:sz w:val="22"/>
          <w:szCs w:val="22"/>
        </w:rPr>
        <w:t xml:space="preserve">Provider-integrated conversational interfaces, </w:t>
      </w:r>
      <w:r>
        <w:rPr>
          <w:rFonts w:ascii="Georgia" w:cs="Georgia" w:eastAsia="Georgia" w:hAnsi="Georgia"/>
          <w:color w:val="1C1C1E"/>
          <w:sz w:val="22"/>
          <w:szCs w:val="22"/>
        </w:rPr>
        <w:t xml:space="preserve">including Claude.ai, ChatGPT, Gemini, Copilot, and the consumer and enterprise interfaces provided by foundation model providers, represent the dominant current pattern for direct human interaction with intelligent systems. These interfaces combine Layer 9 presentation with integrated Layer 5 through Layer 8 capabilities, and organisations consuming them accept the integrated architecture as a package.</w:t>
      </w:r>
    </w:p>
    <w:p>
      <w:pPr>
        <w:spacing w:after="200" w:before="0" w:line="340"/>
        <w:jc w:val="left"/>
      </w:pPr>
      <w:r>
        <w:rPr>
          <w:rFonts w:ascii="Georgia" w:cs="Georgia" w:eastAsia="Georgia" w:hAnsi="Georgia"/>
          <w:b/>
          <w:bCs/>
          <w:color w:val="1C1C1E"/>
          <w:sz w:val="22"/>
          <w:szCs w:val="22"/>
        </w:rPr>
        <w:t xml:space="preserve">Embedded assistant and copilot patterns </w:t>
      </w:r>
      <w:r>
        <w:rPr>
          <w:rFonts w:ascii="Georgia" w:cs="Georgia" w:eastAsia="Georgia" w:hAnsi="Georgia"/>
          <w:color w:val="1C1C1E"/>
          <w:sz w:val="22"/>
          <w:szCs w:val="22"/>
        </w:rPr>
        <w:t xml:space="preserve">represent an accelerating category in which intelligent systems are integrated into existing productivity, development, and enterprise applications. Microsoft Copilot in Office, Google Gemini in Workspace, GitHub Copilot in development environments, and the broader category of in-application AI assistants exemplify this pattern. The architectural significance is that Layer 9 increasingly lives inside the applications users already use, rather than as a separate destination.</w:t>
      </w:r>
    </w:p>
    <w:p>
      <w:pPr>
        <w:spacing w:after="200" w:before="0" w:line="340"/>
        <w:jc w:val="left"/>
      </w:pPr>
      <w:r>
        <w:rPr>
          <w:rFonts w:ascii="Georgia" w:cs="Georgia" w:eastAsia="Georgia" w:hAnsi="Georgia"/>
          <w:b/>
          <w:bCs/>
          <w:color w:val="1C1C1E"/>
          <w:sz w:val="22"/>
          <w:szCs w:val="22"/>
        </w:rPr>
        <w:t xml:space="preserve">Enterprise browser platforms, </w:t>
      </w:r>
      <w:r>
        <w:rPr>
          <w:rFonts w:ascii="Georgia" w:cs="Georgia" w:eastAsia="Georgia" w:hAnsi="Georgia"/>
          <w:color w:val="1C1C1E"/>
          <w:sz w:val="22"/>
          <w:szCs w:val="22"/>
        </w:rPr>
        <w:t xml:space="preserve">including Island, Talon (acquired by Palo Alto Networks), Google Chrome Enterprise Premium, Microsoft Edge for Business, and comparable offerings, provide controlled browser environments designed for enterprise security requirements. These platforms have become increasingly relevant to intelligent system deployment because they provide the controlled action surface through which agent-driven browser activity can be governed.</w:t>
      </w:r>
    </w:p>
    <w:p>
      <w:pPr>
        <w:spacing w:after="200" w:before="0" w:line="340"/>
        <w:jc w:val="left"/>
      </w:pPr>
      <w:r>
        <w:rPr>
          <w:rFonts w:ascii="Georgia" w:cs="Georgia" w:eastAsia="Georgia" w:hAnsi="Georgia"/>
          <w:b/>
          <w:bCs/>
          <w:color w:val="1C1C1E"/>
          <w:sz w:val="22"/>
          <w:szCs w:val="22"/>
        </w:rPr>
        <w:t xml:space="preserve">Browser-based agent platforms and agent-optimised browsers </w:t>
      </w:r>
      <w:r>
        <w:rPr>
          <w:rFonts w:ascii="Georgia" w:cs="Georgia" w:eastAsia="Georgia" w:hAnsi="Georgia"/>
          <w:color w:val="1C1C1E"/>
          <w:sz w:val="22"/>
          <w:szCs w:val="22"/>
        </w:rPr>
        <w:t xml:space="preserve">represent an emerging category in which browsers are designed specifically for use by intelligent systems. Anthropic's browser use capabilities, OpenAI's agent browsing, and the emerging class of dedicated agent browsers exemplify this direction. The category is early but architecturally consequential: as intelligent systems take more action through browsers, the properties of the browser become architectural concerns of the intelligent system itself.</w:t>
      </w:r>
    </w:p>
    <w:p>
      <w:pPr>
        <w:spacing w:after="200" w:before="0" w:line="340"/>
        <w:jc w:val="left"/>
      </w:pPr>
      <w:r>
        <w:rPr>
          <w:rFonts w:ascii="Georgia" w:cs="Georgia" w:eastAsia="Georgia" w:hAnsi="Georgia"/>
          <w:b/>
          <w:bCs/>
          <w:color w:val="1C1C1E"/>
          <w:sz w:val="22"/>
          <w:szCs w:val="22"/>
        </w:rPr>
        <w:t xml:space="preserve">Browser-based agent security platforms </w:t>
      </w:r>
      <w:r>
        <w:rPr>
          <w:rFonts w:ascii="Georgia" w:cs="Georgia" w:eastAsia="Georgia" w:hAnsi="Georgia"/>
          <w:color w:val="1C1C1E"/>
          <w:sz w:val="22"/>
          <w:szCs w:val="22"/>
        </w:rPr>
        <w:t xml:space="preserve">address the integrity concerns specific to browser-based agent action. Platforms in this category intercept browser-based tool calls, inspect tool inputs and retrieved content, and apply the same governance disciplines to browser-based actions as are applied to other forms of agent orchestration. The category is emerging and architecturally necessary given the growth of browser-based agent action as a primary behavioural pattern.</w:t>
      </w:r>
    </w:p>
    <w:p>
      <w:pPr>
        <w:spacing w:after="200" w:before="0" w:line="340"/>
        <w:jc w:val="left"/>
      </w:pPr>
      <w:r>
        <w:rPr>
          <w:rFonts w:ascii="Georgia" w:cs="Georgia" w:eastAsia="Georgia" w:hAnsi="Georgia"/>
          <w:color w:val="1C1C1E"/>
          <w:sz w:val="22"/>
          <w:szCs w:val="22"/>
        </w:rPr>
        <w:t xml:space="preserve">Frameworks relevant to Layer 9 include the W3C Web Content Accessibility Guidelines, the emerging specifications for agent-to-web interaction including standards for agent identification in HTTP headers and robots.txt extensions, the OpenID Connect and WebAuthn specifications for identity and authentication, and the broader body of work on human-AI interaction design emerging from the research community.</w:t>
      </w:r>
    </w:p>
    <w:p>
      <w:pPr>
        <w:pStyle w:val="Heading2"/>
        <w:keepNext/>
        <w:spacing w:after="200" w:before="480"/>
      </w:pPr>
      <w:r>
        <w:rPr>
          <w:rFonts w:ascii="Helvetica Neue" w:cs="Helvetica Neue" w:eastAsia="Helvetica Neue" w:hAnsi="Helvetica Neue"/>
          <w:b w:val="false"/>
          <w:bCs w:val="false"/>
          <w:color w:val="000000"/>
          <w:sz w:val="26"/>
          <w:szCs w:val="26"/>
        </w:rPr>
        <w:t xml:space="preserve">13.5 Open Questions</w:t>
      </w:r>
    </w:p>
    <w:p>
      <w:pPr>
        <w:spacing w:after="200" w:before="0" w:line="340"/>
        <w:jc w:val="left"/>
      </w:pPr>
      <w:r>
        <w:rPr>
          <w:rFonts w:ascii="Georgia" w:cs="Georgia" w:eastAsia="Georgia" w:hAnsi="Georgia"/>
          <w:color w:val="1C1C1E"/>
          <w:sz w:val="22"/>
          <w:szCs w:val="22"/>
        </w:rPr>
        <w:t xml:space="preserve">Several architectural questions at Layer 9 remain actively unresolved.</w:t>
      </w:r>
    </w:p>
    <w:p>
      <w:pPr>
        <w:spacing w:after="200" w:before="0" w:line="340"/>
        <w:jc w:val="left"/>
      </w:pPr>
      <w:r>
        <w:rPr>
          <w:rFonts w:ascii="Georgia" w:cs="Georgia" w:eastAsia="Georgia" w:hAnsi="Georgia"/>
          <w:b/>
          <w:bCs/>
          <w:color w:val="1C1C1E"/>
          <w:sz w:val="22"/>
          <w:szCs w:val="22"/>
        </w:rPr>
        <w:t xml:space="preserve">The convergence or divergence of human and agent interfaces. </w:t>
      </w:r>
      <w:r>
        <w:rPr>
          <w:rFonts w:ascii="Georgia" w:cs="Georgia" w:eastAsia="Georgia" w:hAnsi="Georgia"/>
          <w:color w:val="1C1C1E"/>
          <w:sz w:val="22"/>
          <w:szCs w:val="22"/>
        </w:rPr>
        <w:t xml:space="preserve">Whether interfaces used by humans and interfaces used by intelligent systems will converge — producing surfaces usable by both — or will diverge into specialised human-oriented and agent-oriented variants is unresolved. The question has significant implications for the design of web content, enterprise applications, and the protocols through which systems interact.</w:t>
      </w:r>
    </w:p>
    <w:p>
      <w:pPr>
        <w:spacing w:after="200" w:before="0" w:line="340"/>
        <w:jc w:val="left"/>
      </w:pPr>
      <w:r>
        <w:rPr>
          <w:rFonts w:ascii="Georgia" w:cs="Georgia" w:eastAsia="Georgia" w:hAnsi="Georgia"/>
          <w:b/>
          <w:bCs/>
          <w:color w:val="1C1C1E"/>
          <w:sz w:val="22"/>
          <w:szCs w:val="22"/>
        </w:rPr>
        <w:t xml:space="preserve">Agent identity in web and enterprise environments. </w:t>
      </w:r>
      <w:r>
        <w:rPr>
          <w:rFonts w:ascii="Georgia" w:cs="Georgia" w:eastAsia="Georgia" w:hAnsi="Georgia"/>
          <w:color w:val="1C1C1E"/>
          <w:sz w:val="22"/>
          <w:szCs w:val="22"/>
        </w:rPr>
        <w:t xml:space="preserve">Standards for identifying intelligent systems as actors in web and enterprise environments are early in development. How intelligent systems will authenticate, how their actions will be attributed, and how their identities will be revoked or verified are questions that existing identity frameworks were not designed to address.</w:t>
      </w:r>
    </w:p>
    <w:p>
      <w:pPr>
        <w:spacing w:after="200" w:before="0" w:line="340"/>
        <w:jc w:val="left"/>
      </w:pPr>
      <w:r>
        <w:rPr>
          <w:rFonts w:ascii="Georgia" w:cs="Georgia" w:eastAsia="Georgia" w:hAnsi="Georgia"/>
          <w:b/>
          <w:bCs/>
          <w:color w:val="1C1C1E"/>
          <w:sz w:val="22"/>
          <w:szCs w:val="22"/>
        </w:rPr>
        <w:t xml:space="preserve">Browser capability governance. </w:t>
      </w:r>
      <w:r>
        <w:rPr>
          <w:rFonts w:ascii="Georgia" w:cs="Georgia" w:eastAsia="Georgia" w:hAnsi="Georgia"/>
          <w:color w:val="1C1C1E"/>
          <w:sz w:val="22"/>
          <w:szCs w:val="22"/>
        </w:rPr>
        <w:t xml:space="preserve">As intelligent systems take increasingly consequential actions through browsers, the architectural mechanisms by which browser capabilities are granted, constrained, and revoked for agent use will require maturation. The question of whether existing browser security models are sufficient for agent use, or whether new capability models are required, is unresolved.</w:t>
      </w:r>
    </w:p>
    <w:p>
      <w:pPr>
        <w:spacing w:after="200" w:before="0" w:line="340"/>
        <w:jc w:val="left"/>
      </w:pPr>
      <w:r>
        <w:rPr>
          <w:rFonts w:ascii="Georgia" w:cs="Georgia" w:eastAsia="Georgia" w:hAnsi="Georgia"/>
          <w:b/>
          <w:bCs/>
          <w:color w:val="1C1C1E"/>
          <w:sz w:val="22"/>
          <w:szCs w:val="22"/>
        </w:rPr>
        <w:t xml:space="preserve">The future of enterprise-controlled interfaces. </w:t>
      </w:r>
      <w:r>
        <w:rPr>
          <w:rFonts w:ascii="Georgia" w:cs="Georgia" w:eastAsia="Georgia" w:hAnsi="Georgia"/>
          <w:color w:val="1C1C1E"/>
          <w:sz w:val="22"/>
          <w:szCs w:val="22"/>
        </w:rPr>
        <w:t xml:space="preserve">The enterprise browser category has grown in part in response to the need for controlled environments for human-initiated work. The extension of these environments to controlled agent work is underway, and the architectural patterns are still forming. Whether enterprise browsers will become the dominant Layer 9 surface for enterprise agent deployment, or whether specialised agent-execution environments will emerge as a distinct category, is an open question.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14. Cross-Layer Concerns</w:t>
      </w:r>
    </w:p>
    <w:p>
      <w:pPr>
        <w:pStyle w:val="Heading2"/>
        <w:keepNext/>
        <w:spacing w:after="200" w:before="480"/>
      </w:pPr>
      <w:r>
        <w:rPr>
          <w:rFonts w:ascii="Helvetica Neue" w:cs="Helvetica Neue" w:eastAsia="Helvetica Neue" w:hAnsi="Helvetica Neue"/>
          <w:b w:val="false"/>
          <w:bCs w:val="false"/>
          <w:color w:val="000000"/>
          <w:sz w:val="26"/>
          <w:szCs w:val="26"/>
        </w:rPr>
        <w:t xml:space="preserve">14.1 The Need for Cross-Layer Treatment</w:t>
      </w:r>
    </w:p>
    <w:p>
      <w:pPr>
        <w:spacing w:after="200" w:before="0" w:line="340"/>
        <w:jc w:val="left"/>
      </w:pPr>
      <w:r>
        <w:rPr>
          <w:rFonts w:ascii="Georgia" w:cs="Georgia" w:eastAsia="Georgia" w:hAnsi="Georgia"/>
          <w:color w:val="1C1C1E"/>
          <w:sz w:val="22"/>
          <w:szCs w:val="22"/>
        </w:rPr>
        <w:t xml:space="preserve">Several classes of concern in the OIA Model cannot be localised to a single layer. Security cannot be addressed only at Layer 2; it must be addressed at every layer where it applies. Sovereignty cannot be addressed only at Layer 2; it cascades through every layer above. Auditability cannot be addressed only at Layer 7 or 8; it requires coherent treatment from the data substrate through to the human interface. Energy, identity, and provenance share this property.</w:t>
      </w:r>
    </w:p>
    <w:p>
      <w:pPr>
        <w:spacing w:after="200" w:before="0" w:line="340"/>
        <w:jc w:val="left"/>
      </w:pPr>
      <w:r>
        <w:rPr>
          <w:rFonts w:ascii="Georgia" w:cs="Georgia" w:eastAsia="Georgia" w:hAnsi="Georgia"/>
          <w:color w:val="1C1C1E"/>
          <w:sz w:val="22"/>
          <w:szCs w:val="22"/>
        </w:rPr>
        <w:t xml:space="preserve">Reference architectures that attempt to localise cross-cutting concerns to individual layers produce two characteristic failure modes. The first is displacement, in which a concern assigned to a single layer is actually addressed at layers above and below it, with none of the assignments being comprehensive. The second is omission, in which a concern that belongs at multiple layers is addressed at none of them, because each layer's definition assumes the concern is handled elsewhere.</w:t>
      </w:r>
    </w:p>
    <w:p>
      <w:pPr>
        <w:spacing w:after="200" w:before="0" w:line="340"/>
        <w:jc w:val="left"/>
      </w:pPr>
      <w:r>
        <w:rPr>
          <w:rFonts w:ascii="Georgia" w:cs="Georgia" w:eastAsia="Georgia" w:hAnsi="Georgia"/>
          <w:color w:val="1C1C1E"/>
          <w:sz w:val="22"/>
          <w:szCs w:val="22"/>
        </w:rPr>
        <w:t xml:space="preserve">The OIA Model addresses cross-cutting concerns through horizontal spans — architectural treatments that cut across multiple layers of the model and that must be designed coherently across those layers. This section defines six horizontal spans. The number is not definitive; as the model matures, additional spans may be identified, and spans defined here may be refined or split. The goal is architectural honesty about which concerns are genuinely layered and which are genuinely cross-cutting.</w:t>
      </w:r>
    </w:p>
    <w:p>
      <w:pPr>
        <w:pStyle w:val="Heading2"/>
        <w:keepNext/>
        <w:spacing w:after="200" w:before="480"/>
      </w:pPr>
      <w:r>
        <w:rPr>
          <w:rFonts w:ascii="Helvetica Neue" w:cs="Helvetica Neue" w:eastAsia="Helvetica Neue" w:hAnsi="Helvetica Neue"/>
          <w:b w:val="false"/>
          <w:bCs w:val="false"/>
          <w:color w:val="000000"/>
          <w:sz w:val="26"/>
          <w:szCs w:val="26"/>
        </w:rPr>
        <w:t xml:space="preserve">14.2 Security</w:t>
      </w:r>
    </w:p>
    <w:p>
      <w:pPr>
        <w:spacing w:after="200" w:before="0" w:line="340"/>
        <w:jc w:val="left"/>
      </w:pPr>
      <w:r>
        <w:rPr>
          <w:rFonts w:ascii="Georgia" w:cs="Georgia" w:eastAsia="Georgia" w:hAnsi="Georgia"/>
          <w:color w:val="1C1C1E"/>
          <w:sz w:val="22"/>
          <w:szCs w:val="22"/>
        </w:rPr>
        <w:t xml:space="preserve">Security is the cross-layer concern with the widest scope in the OIA Model. Every layer has security properties that must be correctly implemented, and the security of the system as a whole depends on the coherence of security treatment across layers.</w:t>
      </w:r>
    </w:p>
    <w:p>
      <w:pPr>
        <w:spacing w:after="200" w:before="0" w:line="340"/>
        <w:jc w:val="left"/>
      </w:pPr>
      <w:r>
        <w:rPr>
          <w:rFonts w:ascii="Georgia" w:cs="Georgia" w:eastAsia="Georgia" w:hAnsi="Georgia"/>
          <w:color w:val="1C1C1E"/>
          <w:sz w:val="22"/>
          <w:szCs w:val="22"/>
        </w:rPr>
        <w:t xml:space="preserve">At Layer 0, security addresses physical access and supply chain integrity. At Layer 1, it addresses hardware attestation and confidential computing primitives. At Layer 2, it addresses infrastructure access control and network security. At Layer 3, it addresses data encryption, access control granularity, and confidential data processing. At Layer 4, it addresses training data provenance and adaptation governance. At Layer 5, it addresses inference integrity and retrieval security. At Layer 6, it addresses grounding faithfulness and context injection resistance. At Layer 7, it addresses intent verification, tool integrity, and kill-chain detection. At Layer 8, it addresses memory integrity, safe learning constraints, and verifiability against self-reporting. At Layer 9, it addresses identity discrimination, browser-as-action-surface integrity, and consent mechanisms.</w:t>
      </w:r>
    </w:p>
    <w:p>
      <w:pPr>
        <w:spacing w:after="200" w:before="0" w:line="340"/>
        <w:jc w:val="left"/>
      </w:pPr>
      <w:r>
        <w:rPr>
          <w:rFonts w:ascii="Georgia" w:cs="Georgia" w:eastAsia="Georgia" w:hAnsi="Georgia"/>
          <w:color w:val="1C1C1E"/>
          <w:sz w:val="22"/>
          <w:szCs w:val="22"/>
        </w:rPr>
        <w:t xml:space="preserve">The coherence of security across layers requires that security guarantees established at lower layers are surfaced to higher layers through preserved abstractions, and that security concerns identified at higher layers can propagate requirements downward. Architectural frameworks that treat security as a Layer 2 concern with bolt-on treatments at other layers produce systems whose security cannot be meaningfully reasoned about end-to-end.</w:t>
      </w:r>
    </w:p>
    <w:p>
      <w:pPr>
        <w:spacing w:after="200" w:before="0" w:line="340"/>
        <w:jc w:val="left"/>
      </w:pPr>
      <w:r>
        <w:rPr>
          <w:rFonts w:ascii="Georgia" w:cs="Georgia" w:eastAsia="Georgia" w:hAnsi="Georgia"/>
          <w:color w:val="1C1C1E"/>
          <w:sz w:val="22"/>
          <w:szCs w:val="22"/>
        </w:rPr>
        <w:t xml:space="preserve">Relevant frameworks for cross-layer security treatment include the NIST Cybersecurity Framework, MITRE ATT&amp;CK and ATLAS, the Zero Trust architecture patterns from NIST SP 800-207, and the OWASP Top 10 for Large Language Model Applications and for Agentic Systems.</w:t>
      </w:r>
    </w:p>
    <w:p>
      <w:pPr>
        <w:pStyle w:val="Heading2"/>
        <w:keepNext/>
        <w:spacing w:after="200" w:before="480"/>
      </w:pPr>
      <w:r>
        <w:rPr>
          <w:rFonts w:ascii="Helvetica Neue" w:cs="Helvetica Neue" w:eastAsia="Helvetica Neue" w:hAnsi="Helvetica Neue"/>
          <w:b w:val="false"/>
          <w:bCs w:val="false"/>
          <w:color w:val="000000"/>
          <w:sz w:val="26"/>
          <w:szCs w:val="26"/>
        </w:rPr>
        <w:t xml:space="preserve">14.3 Sovereignty</w:t>
      </w:r>
    </w:p>
    <w:p>
      <w:pPr>
        <w:spacing w:after="200" w:before="0" w:line="340"/>
        <w:jc w:val="left"/>
      </w:pPr>
      <w:r>
        <w:rPr>
          <w:rFonts w:ascii="Georgia" w:cs="Georgia" w:eastAsia="Georgia" w:hAnsi="Georgia"/>
          <w:color w:val="1C1C1E"/>
          <w:sz w:val="22"/>
          <w:szCs w:val="22"/>
        </w:rPr>
        <w:t xml:space="preserve">Sovereignty, as established at Layer 2 and threaded through the layer definitions above, is a cross-cutting concern that touches every layer from Layer 0 through Layer 9. Sovereignty at the infrastructure level determines what is possible at the data layer; sovereignty at the data layer determines what is possible at the model training and adaptation layer; sovereignty at the continuity fabric determines what is possible for the long-term continuity of intelligent systems.</w:t>
      </w:r>
    </w:p>
    <w:p>
      <w:pPr>
        <w:spacing w:after="200" w:before="0" w:line="340"/>
        <w:jc w:val="left"/>
      </w:pPr>
      <w:r>
        <w:rPr>
          <w:rFonts w:ascii="Georgia" w:cs="Georgia" w:eastAsia="Georgia" w:hAnsi="Georgia"/>
          <w:color w:val="1C1C1E"/>
          <w:sz w:val="22"/>
          <w:szCs w:val="22"/>
        </w:rPr>
        <w:t xml:space="preserve">The three dimensions of sovereignty identified at Layer 2 — jurisdictional, operational, and energy — apply at every layer, though with different emphases. Jurisdictional sovereignty is most prominent at Layers 0 through 4 and at Layer 8. Operational sovereignty is most prominent at Layers 2 through 4, 7, and 8. Energy sovereignty is most prominent at Layer 0 and propagates upward through the direct consumption of compute by every other layer.</w:t>
      </w:r>
    </w:p>
    <w:p>
      <w:pPr>
        <w:spacing w:after="200" w:before="0" w:line="340"/>
        <w:jc w:val="left"/>
      </w:pPr>
      <w:r>
        <w:rPr>
          <w:rFonts w:ascii="Georgia" w:cs="Georgia" w:eastAsia="Georgia" w:hAnsi="Georgia"/>
          <w:color w:val="1C1C1E"/>
          <w:sz w:val="22"/>
          <w:szCs w:val="22"/>
        </w:rPr>
        <w:t xml:space="preserve">An organisation whose sovereignty posture is not coherent across layers — for example, strong jurisdictional controls at Layer 2 undermined by provider-integrated memory at Layer 8 — holds a sovereignty posture that is weaker than its strongest layer's treatment suggests. Architectural coherence requires that sovereignty treatment be designed across layers rather than asserted at individual layers in isolation.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14.4 Auditability</w:t>
      </w:r>
    </w:p>
    <w:p>
      <w:pPr>
        <w:spacing w:after="200" w:before="0" w:line="340"/>
        <w:jc w:val="left"/>
      </w:pPr>
      <w:r>
        <w:rPr>
          <w:rFonts w:ascii="Georgia" w:cs="Georgia" w:eastAsia="Georgia" w:hAnsi="Georgia"/>
          <w:color w:val="1C1C1E"/>
          <w:sz w:val="22"/>
          <w:szCs w:val="22"/>
        </w:rPr>
        <w:t xml:space="preserve">Auditability is the capacity to reconstruct, after the fact, what happened and why. It is foundational to the accountability requirements that apply to consequential intelligent systems, and it is inherently cross-cutting because the accountability chain for any consequential action traces through multiple layers.</w:t>
      </w:r>
    </w:p>
    <w:p>
      <w:pPr>
        <w:spacing w:after="200" w:before="0" w:line="340"/>
        <w:jc w:val="left"/>
      </w:pPr>
      <w:r>
        <w:rPr>
          <w:rFonts w:ascii="Georgia" w:cs="Georgia" w:eastAsia="Georgia" w:hAnsi="Georgia"/>
          <w:color w:val="1C1C1E"/>
          <w:sz w:val="22"/>
          <w:szCs w:val="22"/>
        </w:rPr>
        <w:t xml:space="preserve">A consequential action taken by an intelligent system can only be meaningfully audited if the data that informed it is traceable (Layer 3), the training and adaptation history of the model that produced it is inspectable (Layer 4), the inference that generated it is reproducible to the extent possible (Layer 5), the context that grounded it is recoverable (Layer 6), the workflow and tool invocations that executed it are recorded (Layer 7), the cognitive state that preceded and followed it is preserved (Layer 8), and the human authority under which it was taken is verifiable (Layer 9).</w:t>
      </w:r>
    </w:p>
    <w:p>
      <w:pPr>
        <w:spacing w:after="200" w:before="0" w:line="340"/>
        <w:jc w:val="left"/>
      </w:pPr>
      <w:r>
        <w:rPr>
          <w:rFonts w:ascii="Georgia" w:cs="Georgia" w:eastAsia="Georgia" w:hAnsi="Georgia"/>
          <w:color w:val="1C1C1E"/>
          <w:sz w:val="22"/>
          <w:szCs w:val="22"/>
        </w:rPr>
        <w:t xml:space="preserve">Auditability cannot be retrofitted. It must be designed into every layer from the outset, with the audit trails produced at each layer composed into an end-to-end accountability chain. The architectural discipline this requires — contemporaneous production of audit records, cryptographic integrity of audit chains, and preservation of provenance across layer boundaries — is substantial but not optional for consequential deployments.</w:t>
      </w:r>
    </w:p>
    <w:p>
      <w:pPr>
        <w:pStyle w:val="Heading2"/>
        <w:keepNext/>
        <w:spacing w:after="200" w:before="480"/>
      </w:pPr>
      <w:r>
        <w:rPr>
          <w:rFonts w:ascii="Helvetica Neue" w:cs="Helvetica Neue" w:eastAsia="Helvetica Neue" w:hAnsi="Helvetica Neue"/>
          <w:b w:val="false"/>
          <w:bCs w:val="false"/>
          <w:color w:val="000000"/>
          <w:sz w:val="26"/>
          <w:szCs w:val="26"/>
        </w:rPr>
        <w:t xml:space="preserve">14.5 Identity</w:t>
      </w:r>
    </w:p>
    <w:p>
      <w:pPr>
        <w:spacing w:after="200" w:before="0" w:line="340"/>
        <w:jc w:val="left"/>
      </w:pPr>
      <w:r>
        <w:rPr>
          <w:rFonts w:ascii="Georgia" w:cs="Georgia" w:eastAsia="Georgia" w:hAnsi="Georgia"/>
          <w:color w:val="1C1C1E"/>
          <w:sz w:val="22"/>
          <w:szCs w:val="22"/>
        </w:rPr>
        <w:t xml:space="preserve">Identity is the concern of who — human, intelligent system, service, or device — is acting in any given operation. It is cross-cutting because every layer of the model has identity-aware concerns, and because intelligent systems introduce forms of identity that existing frameworks were not designed to address.</w:t>
      </w:r>
    </w:p>
    <w:p>
      <w:pPr>
        <w:spacing w:after="200" w:before="0" w:line="340"/>
        <w:jc w:val="left"/>
      </w:pPr>
      <w:r>
        <w:rPr>
          <w:rFonts w:ascii="Georgia" w:cs="Georgia" w:eastAsia="Georgia" w:hAnsi="Georgia"/>
          <w:color w:val="1C1C1E"/>
          <w:sz w:val="22"/>
          <w:szCs w:val="22"/>
        </w:rPr>
        <w:t xml:space="preserve">At lower layers, identity addresses which services and workloads may access which infrastructure resources. At middle layers, it addresses which data may be read by which processes and which tools may be invoked by which agents. At higher layers, it addresses which humans are interacting through which interfaces and which intelligent systems are acting on whose authority.</w:t>
      </w:r>
    </w:p>
    <w:p>
      <w:pPr>
        <w:spacing w:after="200" w:before="0" w:line="340"/>
        <w:jc w:val="left"/>
      </w:pPr>
      <w:r>
        <w:rPr>
          <w:rFonts w:ascii="Georgia" w:cs="Georgia" w:eastAsia="Georgia" w:hAnsi="Georgia"/>
          <w:color w:val="1C1C1E"/>
          <w:sz w:val="22"/>
          <w:szCs w:val="22"/>
        </w:rPr>
        <w:t xml:space="preserve">The introduction of agent identities — identities that represent intelligent systems acting autonomously — creates architectural requirements that existing identity frameworks address incompletely. Agent identities may act on behalf of multiple humans, may be composed of multiple sub-agents, may inherit trust from one context and lose it in another, and may have lifetimes that differ substantially from human identity lifetimes. Coherent treatment of identity across layers is a precondition for coherent treatment of access control, auditability, and accountability.</w:t>
      </w:r>
    </w:p>
    <w:p>
      <w:pPr>
        <w:pStyle w:val="Heading2"/>
        <w:keepNext/>
        <w:spacing w:after="200" w:before="480"/>
      </w:pPr>
      <w:r>
        <w:rPr>
          <w:rFonts w:ascii="Helvetica Neue" w:cs="Helvetica Neue" w:eastAsia="Helvetica Neue" w:hAnsi="Helvetica Neue"/>
          <w:b w:val="false"/>
          <w:bCs w:val="false"/>
          <w:color w:val="000000"/>
          <w:sz w:val="26"/>
          <w:szCs w:val="26"/>
        </w:rPr>
        <w:t xml:space="preserve">14.6 Energy and Environmental Concerns</w:t>
      </w:r>
    </w:p>
    <w:p>
      <w:pPr>
        <w:spacing w:after="200" w:before="0" w:line="340"/>
        <w:jc w:val="left"/>
      </w:pPr>
      <w:r>
        <w:rPr>
          <w:rFonts w:ascii="Georgia" w:cs="Georgia" w:eastAsia="Georgia" w:hAnsi="Georgia"/>
          <w:color w:val="1C1C1E"/>
          <w:sz w:val="22"/>
          <w:szCs w:val="22"/>
        </w:rPr>
        <w:t xml:space="preserve">Energy is a cross-cutting concern whose architectural significance has grown as intelligent systems have scaled. The physical energy consumed at Layer 0 propagates as cost, environmental impact, and increasingly as capacity constraint to every layer above. Architectural decisions about model size at Layer 4, about inference patterns at Layer 5, about context window economics at Layer 6, and about continuous adaptation at Layer 8 all have direct energy implications.</w:t>
      </w:r>
    </w:p>
    <w:p>
      <w:pPr>
        <w:spacing w:after="200" w:before="0" w:line="340"/>
        <w:jc w:val="left"/>
      </w:pPr>
      <w:r>
        <w:rPr>
          <w:rFonts w:ascii="Georgia" w:cs="Georgia" w:eastAsia="Georgia" w:hAnsi="Georgia"/>
          <w:color w:val="1C1C1E"/>
          <w:sz w:val="22"/>
          <w:szCs w:val="22"/>
        </w:rPr>
        <w:t xml:space="preserve">The treatment of energy as architectural rather than operational is a relatively recent shift. Frameworks including the emerging body of work on carbon accounting for compute workloads, the green software patterns promoted by the Green Software Foundation, and the energy-aware deployment patterns emerging in response to grid capacity constraints are beginning to formalise energy as a first-class architectural concern. The OIA Model treats energy as a cross-layer span to signal that architectural decisions at any layer have energy implications that propagate through the system.</w:t>
      </w:r>
    </w:p>
    <w:p>
      <w:pPr>
        <w:pStyle w:val="Heading2"/>
        <w:keepNext/>
        <w:spacing w:after="200" w:before="480"/>
      </w:pPr>
      <w:r>
        <w:rPr>
          <w:rFonts w:ascii="Helvetica Neue" w:cs="Helvetica Neue" w:eastAsia="Helvetica Neue" w:hAnsi="Helvetica Neue"/>
          <w:b w:val="false"/>
          <w:bCs w:val="false"/>
          <w:color w:val="000000"/>
          <w:sz w:val="26"/>
          <w:szCs w:val="26"/>
        </w:rPr>
        <w:t xml:space="preserve">14.7 Provenance</w:t>
      </w:r>
    </w:p>
    <w:p>
      <w:pPr>
        <w:spacing w:after="200" w:before="0" w:line="340"/>
        <w:jc w:val="left"/>
      </w:pPr>
      <w:r>
        <w:rPr>
          <w:rFonts w:ascii="Georgia" w:cs="Georgia" w:eastAsia="Georgia" w:hAnsi="Georgia"/>
          <w:color w:val="1C1C1E"/>
          <w:sz w:val="22"/>
          <w:szCs w:val="22"/>
        </w:rPr>
        <w:t xml:space="preserve">Provenance — the lineage and origin of information, models, decisions, and actions — threads through the OIA Model from Layer 3 through Layer 9. Provenance of training data (Layer 4) must connect to provenance of inference outputs (Layer 5), which must connect to provenance of grounded generation (Layer 6), which must connect to provenance of actions taken (Layer 7), which must connect to provenance of cognitive state accumulated (Layer 8), which must ultimately be inspectable at the human interface (Layer 9).</w:t>
      </w:r>
    </w:p>
    <w:p>
      <w:pPr>
        <w:spacing w:after="200" w:before="0" w:line="340"/>
        <w:jc w:val="left"/>
      </w:pPr>
      <w:r>
        <w:rPr>
          <w:rFonts w:ascii="Georgia" w:cs="Georgia" w:eastAsia="Georgia" w:hAnsi="Georgia"/>
          <w:color w:val="1C1C1E"/>
          <w:sz w:val="22"/>
          <w:szCs w:val="22"/>
        </w:rPr>
        <w:t xml:space="preserve">Provenance is distinct from auditability, though the two are closely related. Auditability is the capacity to reconstruct what happened; provenance is the inherent property of an artefact — data, model, decision — that allows its origin and transformation history to be traced. Auditability depends on provenance; provenance does not require that anyone audit it. Treating provenance as a cross-layer span reflects that provenance properties must be preserved through every layer transition and that the architectural mechanisms for that preservation span the entire stack.</w:t>
      </w:r>
    </w:p>
    <w:p>
      <w:pPr>
        <w:spacing w:after="200" w:before="0" w:line="340"/>
        <w:jc w:val="left"/>
      </w:pPr>
      <w:r>
        <w:rPr>
          <w:rFonts w:ascii="Georgia" w:cs="Georgia" w:eastAsia="Georgia" w:hAnsi="Georgia"/>
          <w:color w:val="1C1C1E"/>
          <w:sz w:val="22"/>
          <w:szCs w:val="22"/>
        </w:rPr>
        <w:t xml:space="preserve">Frameworks relevant to cross-layer provenance treatment include W3C PROV, the C2PA content provenance specifications, the emerging body of work on AI content authenticity, and the provenance standards developing within the AI governance community.</w:t>
      </w:r>
    </w:p>
    <w:p>
      <w:pPr>
        <w:pStyle w:val="Heading2"/>
        <w:keepNext/>
        <w:spacing w:after="200" w:before="480"/>
      </w:pPr>
      <w:r>
        <w:rPr>
          <w:rFonts w:ascii="Helvetica Neue" w:cs="Helvetica Neue" w:eastAsia="Helvetica Neue" w:hAnsi="Helvetica Neue"/>
          <w:b w:val="false"/>
          <w:bCs w:val="false"/>
          <w:color w:val="000000"/>
          <w:sz w:val="26"/>
          <w:szCs w:val="26"/>
        </w:rPr>
        <w:t xml:space="preserve">14.8 Relationships Among Spans</w:t>
      </w:r>
    </w:p>
    <w:p>
      <w:pPr>
        <w:spacing w:after="200" w:before="0" w:line="340"/>
        <w:jc w:val="left"/>
      </w:pPr>
      <w:r>
        <w:rPr>
          <w:rFonts w:ascii="Georgia" w:cs="Georgia" w:eastAsia="Georgia" w:hAnsi="Georgia"/>
          <w:color w:val="1C1C1E"/>
          <w:sz w:val="22"/>
          <w:szCs w:val="22"/>
        </w:rPr>
        <w:t xml:space="preserve">The six spans defined above are not independent. Security and sovereignty are closely related where sovereignty concerns drive security requirements. Auditability and provenance are closely related because auditability depends on preserved provenance. Identity is foundational to auditability because audit trails require identity resolution. Energy intersects with sovereignty through the energy-sovereignty dimension established at Layer 2.</w:t>
      </w:r>
    </w:p>
    <w:p>
      <w:pPr>
        <w:spacing w:after="200" w:before="0" w:line="340"/>
        <w:jc w:val="left"/>
      </w:pPr>
      <w:r>
        <w:rPr>
          <w:rFonts w:ascii="Georgia" w:cs="Georgia" w:eastAsia="Georgia" w:hAnsi="Georgia"/>
          <w:color w:val="1C1C1E"/>
          <w:sz w:val="22"/>
          <w:szCs w:val="22"/>
        </w:rPr>
        <w:t xml:space="preserve">The architectural work of designing for cross-layer concerns frequently requires designing for these intersections rather than for individual spans in isolation. An architecture that treats security and sovereignty as separate concerns may discover that its sovereignty posture has security implications it did not anticipate. An architecture that treats provenance and auditability separately may discover that its audit mechanisms depend on provenance preservation it has not architected.</w:t>
      </w:r>
    </w:p>
    <w:p>
      <w:pPr>
        <w:spacing w:after="200" w:before="0" w:line="340"/>
        <w:jc w:val="left"/>
      </w:pPr>
      <w:r>
        <w:rPr>
          <w:rFonts w:ascii="Georgia" w:cs="Georgia" w:eastAsia="Georgia" w:hAnsi="Georgia"/>
          <w:color w:val="1C1C1E"/>
          <w:sz w:val="22"/>
          <w:szCs w:val="22"/>
        </w:rPr>
        <w:t xml:space="preserve">The OIA Model treats the cross-layer spans as a coherent set of concerns whose interactions must be considered alongside their individual requirements. Future versions of the model may formalise the relationships among spans more rigorously.</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15. Relationship to Other Reference Models</w:t>
      </w:r>
    </w:p>
    <w:p>
      <w:pPr>
        <w:pStyle w:val="Heading2"/>
        <w:keepNext/>
        <w:spacing w:after="200" w:before="480"/>
      </w:pPr>
      <w:r>
        <w:rPr>
          <w:rFonts w:ascii="Helvetica Neue" w:cs="Helvetica Neue" w:eastAsia="Helvetica Neue" w:hAnsi="Helvetica Neue"/>
          <w:b w:val="false"/>
          <w:bCs w:val="false"/>
          <w:color w:val="000000"/>
          <w:sz w:val="26"/>
          <w:szCs w:val="26"/>
        </w:rPr>
        <w:t xml:space="preserve">15.1 Purpose of This Section</w:t>
      </w:r>
    </w:p>
    <w:p>
      <w:pPr>
        <w:spacing w:after="200" w:before="0" w:line="340"/>
        <w:jc w:val="left"/>
      </w:pPr>
      <w:r>
        <w:rPr>
          <w:rFonts w:ascii="Georgia" w:cs="Georgia" w:eastAsia="Georgia" w:hAnsi="Georgia"/>
          <w:color w:val="1C1C1E"/>
          <w:sz w:val="22"/>
          <w:szCs w:val="22"/>
        </w:rPr>
        <w:t xml:space="preserve">The OIA Model does not replace the reference architectures it inherits from. It addresses a domain — enterprise intelligent systems — that existing frameworks were not designed to organise, while drawing on their intellectual conventions and complementing their coverage. This section positions the OIA Model relative to four existing reference architectures and indicates how they compose in practice. The goal is practical: organisations deploying intelligent systems will apply several of these frameworks simultaneously, and clarity about how they fit together reduces the risk of gaps, duplication, and confusion.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15.2 ISO/IEC 7498 (OSI Reference Model)</w:t>
      </w:r>
    </w:p>
    <w:p>
      <w:pPr>
        <w:spacing w:after="200" w:before="0" w:line="340"/>
        <w:jc w:val="left"/>
      </w:pPr>
      <w:r>
        <w:rPr>
          <w:rFonts w:ascii="Georgia" w:cs="Georgia" w:eastAsia="Georgia" w:hAnsi="Georgia"/>
          <w:color w:val="1C1C1E"/>
          <w:sz w:val="22"/>
          <w:szCs w:val="22"/>
        </w:rPr>
        <w:t xml:space="preserve">The OSI Reference Model organises networking. It does not organise intelligence. The two models address different domains and do not overlap in substantive coverage.</w:t>
      </w:r>
    </w:p>
    <w:p>
      <w:pPr>
        <w:spacing w:after="200" w:before="0" w:line="340"/>
        <w:jc w:val="left"/>
      </w:pPr>
      <w:r>
        <w:rPr>
          <w:rFonts w:ascii="Georgia" w:cs="Georgia" w:eastAsia="Georgia" w:hAnsi="Georgia"/>
          <w:color w:val="1C1C1E"/>
          <w:sz w:val="22"/>
          <w:szCs w:val="22"/>
        </w:rPr>
        <w:t xml:space="preserve">The OIA Model inherits three conventions from OSI directly. First, the pattern of layered abstraction with defined layer responsibilities and interfaces. Second, the use of bottom-up numbering with physical substrate at the base and user-facing surfaces at the top. Third, the institutional framing of the model as an open, vendor-neutral specification rather than a vendor-controlled architecture.</w:t>
      </w:r>
    </w:p>
    <w:p>
      <w:pPr>
        <w:spacing w:after="200" w:before="0" w:line="340"/>
        <w:jc w:val="left"/>
      </w:pPr>
      <w:r>
        <w:rPr>
          <w:rFonts w:ascii="Georgia" w:cs="Georgia" w:eastAsia="Georgia" w:hAnsi="Georgia"/>
          <w:color w:val="1C1C1E"/>
          <w:sz w:val="22"/>
          <w:szCs w:val="22"/>
        </w:rPr>
        <w:t xml:space="preserve">Where the two models meet architecturally is at Layer 2 (Sovereign Infrastructure) of the OIA Model, which consumes networking capabilities that the OSI Model organises. An intelligent system deployed on sovereign infrastructure depends on networking that can be reasoned about using OSI's vocabulary. The OIA Model treats networking as foundational capacity consumed at Layer 2 rather than as a concern requiring its own architectural treatment within the model. Practitioners addressing networking concerns in intelligent system deployments should reach for OSI; practitioners addressing intelligence concerns in those deployments should reach for OIA.</w:t>
      </w:r>
    </w:p>
    <w:p>
      <w:pPr>
        <w:pStyle w:val="Heading2"/>
        <w:keepNext/>
        <w:spacing w:after="200" w:before="480"/>
      </w:pPr>
      <w:r>
        <w:rPr>
          <w:rFonts w:ascii="Helvetica Neue" w:cs="Helvetica Neue" w:eastAsia="Helvetica Neue" w:hAnsi="Helvetica Neue"/>
          <w:b w:val="false"/>
          <w:bCs w:val="false"/>
          <w:color w:val="000000"/>
          <w:sz w:val="26"/>
          <w:szCs w:val="26"/>
        </w:rPr>
        <w:t xml:space="preserve">15.3 NIST Cybersecurity Framework</w:t>
      </w:r>
    </w:p>
    <w:p>
      <w:pPr>
        <w:spacing w:after="200" w:before="0" w:line="340"/>
        <w:jc w:val="left"/>
      </w:pPr>
      <w:r>
        <w:rPr>
          <w:rFonts w:ascii="Georgia" w:cs="Georgia" w:eastAsia="Georgia" w:hAnsi="Georgia"/>
          <w:color w:val="1C1C1E"/>
          <w:sz w:val="22"/>
          <w:szCs w:val="22"/>
        </w:rPr>
        <w:t xml:space="preserve">The NIST Cybersecurity Framework organises cybersecurity around five functions: Identify, Protect, Detect, Respond, and Recover. It is a functional rather than structural framework — it describes the activities cybersecurity programmes perform rather than the layers of a system's architecture.</w:t>
      </w:r>
    </w:p>
    <w:p>
      <w:pPr>
        <w:spacing w:after="200" w:before="0" w:line="340"/>
        <w:jc w:val="left"/>
      </w:pPr>
      <w:r>
        <w:rPr>
          <w:rFonts w:ascii="Georgia" w:cs="Georgia" w:eastAsia="Georgia" w:hAnsi="Georgia"/>
          <w:color w:val="1C1C1E"/>
          <w:sz w:val="22"/>
          <w:szCs w:val="22"/>
        </w:rPr>
        <w:t xml:space="preserve">The OIA Model and the NIST CSF are complementary rather than overlapping. The CSF's five functions apply at every layer of the OIA Model, and the OIA Model's layer definitions inform how the CSF functions are implemented for intelligent systems specifically. An organisation deploying intelligent systems applies both frameworks: the OIA Model to organise the system's architecture, the CSF to organise the security programme that protects that architecture.</w:t>
      </w:r>
    </w:p>
    <w:p>
      <w:pPr>
        <w:spacing w:after="200" w:before="0" w:line="340"/>
        <w:jc w:val="left"/>
      </w:pPr>
      <w:r>
        <w:rPr>
          <w:rFonts w:ascii="Georgia" w:cs="Georgia" w:eastAsia="Georgia" w:hAnsi="Georgia"/>
          <w:color w:val="1C1C1E"/>
          <w:sz w:val="22"/>
          <w:szCs w:val="22"/>
        </w:rPr>
        <w:t xml:space="preserve">Where the OIA Model extends beyond the CSF's current coverage is in the architectural concerns specific to intelligent systems that the CSF addresses only indirectly. The CSF's treatment of identity, detection, and response assumes traditional application and infrastructure contexts; its application to intelligent systems requires the additional architectural vocabulary that the OIA Model provides. The NIST CSF 2.0 revision has begun to address AI-specific considerations, and future revisions may converge with the OIA Model's treatment at specific layers.</w:t>
      </w:r>
    </w:p>
    <w:p>
      <w:pPr>
        <w:pStyle w:val="Heading2"/>
        <w:keepNext/>
        <w:spacing w:after="200" w:before="480"/>
      </w:pPr>
      <w:r>
        <w:rPr>
          <w:rFonts w:ascii="Helvetica Neue" w:cs="Helvetica Neue" w:eastAsia="Helvetica Neue" w:hAnsi="Helvetica Neue"/>
          <w:b w:val="false"/>
          <w:bCs w:val="false"/>
          <w:color w:val="000000"/>
          <w:sz w:val="26"/>
          <w:szCs w:val="26"/>
        </w:rPr>
        <w:t xml:space="preserve">15.4 MITRE ATT&amp;CK and ATLAS</w:t>
      </w:r>
    </w:p>
    <w:p>
      <w:pPr>
        <w:spacing w:after="200" w:before="0" w:line="340"/>
        <w:jc w:val="left"/>
      </w:pPr>
      <w:r>
        <w:rPr>
          <w:rFonts w:ascii="Georgia" w:cs="Georgia" w:eastAsia="Georgia" w:hAnsi="Georgia"/>
          <w:color w:val="1C1C1E"/>
          <w:sz w:val="22"/>
          <w:szCs w:val="22"/>
        </w:rPr>
        <w:t xml:space="preserve">MITRE ATT&amp;CK catalogues adversarial techniques against traditional enterprise systems. MITRE ATLAS catalogues adversarial techniques against machine learning and AI systems. Neither is a reference architecture in the OSI or OIA sense — both are threat taxonomies that describe what adversaries do rather than how systems are structured.</w:t>
      </w:r>
    </w:p>
    <w:p>
      <w:pPr>
        <w:spacing w:after="200" w:before="0" w:line="340"/>
        <w:jc w:val="left"/>
      </w:pPr>
      <w:r>
        <w:rPr>
          <w:rFonts w:ascii="Georgia" w:cs="Georgia" w:eastAsia="Georgia" w:hAnsi="Georgia"/>
          <w:color w:val="1C1C1E"/>
          <w:sz w:val="22"/>
          <w:szCs w:val="22"/>
        </w:rPr>
        <w:t xml:space="preserve">The OIA Model and MITRE ATLAS are strongly complementary. The OIA Model provides the structural vocabulary within which threats can be located; MITRE ATLAS provides the threat vocabulary that informs what must be defended at each layer. An organisation applying both frameworks can reason about its threat surface layer by layer, with ATLAS techniques mapped to the OIA layers at which they manifest.</w:t>
      </w:r>
    </w:p>
    <w:p>
      <w:pPr>
        <w:spacing w:after="200" w:before="0" w:line="340"/>
        <w:jc w:val="left"/>
      </w:pPr>
      <w:r>
        <w:rPr>
          <w:rFonts w:ascii="Georgia" w:cs="Georgia" w:eastAsia="Georgia" w:hAnsi="Georgia"/>
          <w:color w:val="1C1C1E"/>
          <w:sz w:val="22"/>
          <w:szCs w:val="22"/>
        </w:rPr>
        <w:t xml:space="preserve">The OIA Model's cross-layer security span (Section 14.2) is informed by MITRE ATLAS directly. The threat categories that ATLAS enumerates — including adversarial inputs, model manipulation, data poisoning, and emerging agentic threats — appear in the Key Concerns of specific layers and in the cross-layer treatment of security. The OIA Model does not attempt to replace ATLAS or to produce a threat taxonomy of its own; it treats ATLAS as authoritative on the threat landscape and organises its layer definitions to accommodate ATLAS's findings.</w:t>
      </w:r>
    </w:p>
    <w:p>
      <w:pPr>
        <w:pStyle w:val="Heading2"/>
        <w:keepNext/>
        <w:spacing w:after="200" w:before="480"/>
      </w:pPr>
      <w:r>
        <w:rPr>
          <w:rFonts w:ascii="Helvetica Neue" w:cs="Helvetica Neue" w:eastAsia="Helvetica Neue" w:hAnsi="Helvetica Neue"/>
          <w:b w:val="false"/>
          <w:bCs w:val="false"/>
          <w:color w:val="000000"/>
          <w:sz w:val="26"/>
          <w:szCs w:val="26"/>
        </w:rPr>
        <w:t xml:space="preserve">15.5 NIST AI Risk Management Framework</w:t>
      </w:r>
    </w:p>
    <w:p>
      <w:pPr>
        <w:spacing w:after="200" w:before="0" w:line="340"/>
        <w:jc w:val="left"/>
      </w:pPr>
      <w:r>
        <w:rPr>
          <w:rFonts w:ascii="Georgia" w:cs="Georgia" w:eastAsia="Georgia" w:hAnsi="Georgia"/>
          <w:color w:val="1C1C1E"/>
          <w:sz w:val="22"/>
          <w:szCs w:val="22"/>
        </w:rPr>
        <w:t xml:space="preserve">The NIST AI Risk Management Framework (AI RMF 1.0) organises AI risk around four functions: Govern, Map, Measure, and Manage. Like the NIST CSF, it is a functional framework rather than a structural one — it describes how AI risk is managed rather than how AI systems are architected.</w:t>
      </w:r>
    </w:p>
    <w:p>
      <w:pPr>
        <w:spacing w:after="200" w:before="0" w:line="340"/>
        <w:jc w:val="left"/>
      </w:pPr>
      <w:r>
        <w:rPr>
          <w:rFonts w:ascii="Georgia" w:cs="Georgia" w:eastAsia="Georgia" w:hAnsi="Georgia"/>
          <w:color w:val="1C1C1E"/>
          <w:sz w:val="22"/>
          <w:szCs w:val="22"/>
        </w:rPr>
        <w:t xml:space="preserve">The OIA Model and the NIST AI RMF address different aspects of the same domain. The AI RMF is authoritative on the governance, measurement, and management of AI risk. The OIA Model is structural, organising the architectural concerns of systems whose risks the AI RMF helps manage. An organisation applies both frameworks: the AI RMF to organise its risk governance, the OIA Model to organise the architecture of the systems that governance applies to.</w:t>
      </w:r>
    </w:p>
    <w:p>
      <w:pPr>
        <w:spacing w:after="200" w:before="0" w:line="340"/>
        <w:jc w:val="left"/>
      </w:pPr>
      <w:r>
        <w:rPr>
          <w:rFonts w:ascii="Georgia" w:cs="Georgia" w:eastAsia="Georgia" w:hAnsi="Georgia"/>
          <w:color w:val="1C1C1E"/>
          <w:sz w:val="22"/>
          <w:szCs w:val="22"/>
        </w:rPr>
        <w:t xml:space="preserve">The strongest intersection between the two frameworks is at the OIA Model's cross-layer spans on auditability, provenance, and sovereignty, all of which surface directly as concerns in the AI RMF's Measure and Manage functions. Organisations applying the AI RMF will find that OIA layer definitions provide architectural specificity for the risks the AI RMF asks them to identify and manage.</w:t>
      </w:r>
    </w:p>
    <w:p>
      <w:pPr>
        <w:pStyle w:val="Heading2"/>
        <w:keepNext/>
        <w:spacing w:after="200" w:before="480"/>
      </w:pPr>
      <w:r>
        <w:rPr>
          <w:rFonts w:ascii="Helvetica Neue" w:cs="Helvetica Neue" w:eastAsia="Helvetica Neue" w:hAnsi="Helvetica Neue"/>
          <w:b w:val="false"/>
          <w:bCs w:val="false"/>
          <w:color w:val="000000"/>
          <w:sz w:val="26"/>
          <w:szCs w:val="26"/>
        </w:rPr>
        <w:t xml:space="preserve">15.6 OWASP Top 10 for LLM Applications</w:t>
      </w:r>
    </w:p>
    <w:p>
      <w:pPr>
        <w:spacing w:after="200" w:before="0" w:line="340"/>
        <w:jc w:val="left"/>
      </w:pPr>
      <w:r>
        <w:rPr>
          <w:rFonts w:ascii="Georgia" w:cs="Georgia" w:eastAsia="Georgia" w:hAnsi="Georgia"/>
          <w:color w:val="1C1C1E"/>
          <w:sz w:val="22"/>
          <w:szCs w:val="22"/>
        </w:rPr>
        <w:t xml:space="preserve">The OWASP Top 10 for Large Language Model Applications enumerates the most critical security risks to applications built on LLMs. It is a risk enumeration rather than a reference architecture, and it addresses LLM-specific risks rather than the broader domain of intelligent systems the OIA Model organises.</w:t>
      </w:r>
    </w:p>
    <w:p>
      <w:pPr>
        <w:spacing w:after="200" w:before="0" w:line="340"/>
        <w:jc w:val="left"/>
      </w:pPr>
      <w:r>
        <w:rPr>
          <w:rFonts w:ascii="Georgia" w:cs="Georgia" w:eastAsia="Georgia" w:hAnsi="Georgia"/>
          <w:color w:val="1C1C1E"/>
          <w:sz w:val="22"/>
          <w:szCs w:val="22"/>
        </w:rPr>
        <w:t xml:space="preserve">The OWASP LLM Top 10 is strongly complementary to the OIA Model and informs layer-specific security treatment throughout. The risks it enumerates — including prompt injection, training data poisoning, supply chain vulnerabilities, and insecure plugin design — manifest at specific layers of the OIA Model and are referenced in the Key Concerns of relevant layers. As with MITRE ATLAS, the OIA Model treats the OWASP enumeration as authoritative on the risks it covers and organises its architectural treatment to accommodate them.</w:t>
      </w:r>
    </w:p>
    <w:p>
      <w:pPr>
        <w:pStyle w:val="Heading2"/>
        <w:keepNext/>
        <w:spacing w:after="200" w:before="480"/>
      </w:pPr>
      <w:r>
        <w:rPr>
          <w:rFonts w:ascii="Helvetica Neue" w:cs="Helvetica Neue" w:eastAsia="Helvetica Neue" w:hAnsi="Helvetica Neue"/>
          <w:b w:val="false"/>
          <w:bCs w:val="false"/>
          <w:color w:val="000000"/>
          <w:sz w:val="26"/>
          <w:szCs w:val="26"/>
        </w:rPr>
        <w:t xml:space="preserve">15.7 ISO/IEC 42001</w:t>
      </w:r>
    </w:p>
    <w:p>
      <w:pPr>
        <w:spacing w:after="200" w:before="0" w:line="340"/>
        <w:jc w:val="left"/>
      </w:pPr>
      <w:r>
        <w:rPr>
          <w:rFonts w:ascii="Georgia" w:cs="Georgia" w:eastAsia="Georgia" w:hAnsi="Georgia"/>
          <w:color w:val="1C1C1E"/>
          <w:sz w:val="22"/>
          <w:szCs w:val="22"/>
        </w:rPr>
        <w:t xml:space="preserve">ISO/IEC 42001 (AI Management Systems) is an international management system standard that specifies requirements for the responsible development and use of AI systems within organisations. It operates at the management system level, addressing policies, roles, processes, and continuous improvement.</w:t>
      </w:r>
    </w:p>
    <w:p>
      <w:pPr>
        <w:spacing w:after="200" w:before="0" w:line="340"/>
        <w:jc w:val="left"/>
      </w:pPr>
      <w:r>
        <w:rPr>
          <w:rFonts w:ascii="Georgia" w:cs="Georgia" w:eastAsia="Georgia" w:hAnsi="Georgia"/>
          <w:color w:val="1C1C1E"/>
          <w:sz w:val="22"/>
          <w:szCs w:val="22"/>
        </w:rPr>
        <w:t xml:space="preserve">The OIA Model and ISO/IEC 42001 address different levels of abstraction. ISO/IEC 42001 organises how an organisation manages its AI systems; the OIA Model organises the architecture of those AI systems. Organisations certified or certifying against ISO/IEC 42001 benefit from structural vocabulary that makes the management system's requirements concrete at the architectural level, which is what the OIA Model provides.</w:t>
      </w:r>
    </w:p>
    <w:p>
      <w:pPr>
        <w:pStyle w:val="Heading2"/>
        <w:keepNext/>
        <w:spacing w:after="200" w:before="480"/>
      </w:pPr>
      <w:r>
        <w:rPr>
          <w:rFonts w:ascii="Helvetica Neue" w:cs="Helvetica Neue" w:eastAsia="Helvetica Neue" w:hAnsi="Helvetica Neue"/>
          <w:b w:val="false"/>
          <w:bCs w:val="false"/>
          <w:color w:val="000000"/>
          <w:sz w:val="26"/>
          <w:szCs w:val="26"/>
        </w:rPr>
        <w:t xml:space="preserve">15.8 How the Frameworks Compose</w:t>
      </w:r>
    </w:p>
    <w:p>
      <w:pPr>
        <w:spacing w:after="200" w:before="0" w:line="340"/>
        <w:jc w:val="left"/>
      </w:pPr>
      <w:r>
        <w:rPr>
          <w:rFonts w:ascii="Georgia" w:cs="Georgia" w:eastAsia="Georgia" w:hAnsi="Georgia"/>
          <w:color w:val="1C1C1E"/>
          <w:sz w:val="22"/>
          <w:szCs w:val="22"/>
        </w:rPr>
        <w:t xml:space="preserve">Organisations deploying intelligent systems at scale apply multiple reference architectures and frameworks simultaneously. A practical composition that the OIA Model supports is: OSI for networking, ISO/IEC 42001 for management systems, the NIST CSF for cybersecurity programme structure, the NIST AI RMF for AI risk governance, MITRE ATLAS and the OWASP LLM Top 10 for threat awareness, and the OIA Model for the architecture of the intelligent systems themselves.</w:t>
      </w:r>
    </w:p>
    <w:p>
      <w:pPr>
        <w:spacing w:after="200" w:before="0" w:line="340"/>
        <w:jc w:val="left"/>
      </w:pPr>
      <w:r>
        <w:rPr>
          <w:rFonts w:ascii="Georgia" w:cs="Georgia" w:eastAsia="Georgia" w:hAnsi="Georgia"/>
          <w:color w:val="1C1C1E"/>
          <w:sz w:val="22"/>
          <w:szCs w:val="22"/>
        </w:rPr>
        <w:t xml:space="preserve">This composition is not the only viable one, and the frameworks named above are not the only relevant sources. Regional and sector-specific frameworks — including the EU AI Act, sector-specific regulatory guidance in financial services and healthcare, and national AI strategy documents — interact with the OIA Model in ways that must be resolved in context.</w:t>
      </w:r>
    </w:p>
    <w:p>
      <w:pPr>
        <w:spacing w:after="200" w:before="0" w:line="340"/>
        <w:jc w:val="left"/>
      </w:pPr>
      <w:r>
        <w:rPr>
          <w:rFonts w:ascii="Georgia" w:cs="Georgia" w:eastAsia="Georgia" w:hAnsi="Georgia"/>
          <w:color w:val="1C1C1E"/>
          <w:sz w:val="22"/>
          <w:szCs w:val="22"/>
        </w:rPr>
        <w:t xml:space="preserve">The OIA Model is intended to be additive to the existing reference architecture ecosystem rather than competitive with it. Its contribution is the structural vocabulary for intelligent systems that the other frameworks presume but do not themselves provide.</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16. Adoption Guidance</w:t>
      </w:r>
    </w:p>
    <w:p>
      <w:pPr>
        <w:pStyle w:val="Heading2"/>
        <w:keepNext/>
        <w:spacing w:after="200" w:before="480"/>
      </w:pPr>
      <w:r>
        <w:rPr>
          <w:rFonts w:ascii="Helvetica Neue" w:cs="Helvetica Neue" w:eastAsia="Helvetica Neue" w:hAnsi="Helvetica Neue"/>
          <w:b w:val="false"/>
          <w:bCs w:val="false"/>
          <w:color w:val="000000"/>
          <w:sz w:val="26"/>
          <w:szCs w:val="26"/>
        </w:rPr>
        <w:t xml:space="preserve">16.1 Purpose of This Section</w:t>
      </w:r>
    </w:p>
    <w:p>
      <w:pPr>
        <w:spacing w:after="200" w:before="0" w:line="340"/>
        <w:jc w:val="left"/>
      </w:pPr>
      <w:r>
        <w:rPr>
          <w:rFonts w:ascii="Georgia" w:cs="Georgia" w:eastAsia="Georgia" w:hAnsi="Georgia"/>
          <w:color w:val="1C1C1E"/>
          <w:sz w:val="22"/>
          <w:szCs w:val="22"/>
        </w:rPr>
        <w:t xml:space="preserve">This section offers guidance on how organisations approach applying the OIA Model in practice. It is not a methodology, a maturity model, or an implementation prescription. Reference architectures serve organisations best when they provide a shared structural vocabulary and leave the application of that vocabulary to the judgment of practitioners who understand their own contexts. The guidance below is illustrative and provisional.</w:t>
      </w:r>
    </w:p>
    <w:p>
      <w:pPr>
        <w:pStyle w:val="Heading2"/>
        <w:keepNext/>
        <w:spacing w:after="200" w:before="480"/>
      </w:pPr>
      <w:r>
        <w:rPr>
          <w:rFonts w:ascii="Helvetica Neue" w:cs="Helvetica Neue" w:eastAsia="Helvetica Neue" w:hAnsi="Helvetica Neue"/>
          <w:b w:val="false"/>
          <w:bCs w:val="false"/>
          <w:color w:val="000000"/>
          <w:sz w:val="26"/>
          <w:szCs w:val="26"/>
        </w:rPr>
        <w:t xml:space="preserve">16.2 Starting Points</w:t>
      </w:r>
    </w:p>
    <w:p>
      <w:pPr>
        <w:spacing w:after="200" w:before="0" w:line="340"/>
        <w:jc w:val="left"/>
      </w:pPr>
      <w:r>
        <w:rPr>
          <w:rFonts w:ascii="Georgia" w:cs="Georgia" w:eastAsia="Georgia" w:hAnsi="Georgia"/>
          <w:color w:val="1C1C1E"/>
          <w:sz w:val="22"/>
          <w:szCs w:val="22"/>
        </w:rPr>
        <w:t xml:space="preserve">Organisations approach the OIA Model from different starting points, and the productive first use of the model varies accordingly.</w:t>
      </w:r>
    </w:p>
    <w:p>
      <w:pPr>
        <w:spacing w:after="200" w:before="0" w:line="340"/>
        <w:jc w:val="left"/>
      </w:pPr>
      <w:r>
        <w:rPr>
          <w:rFonts w:ascii="Georgia" w:cs="Georgia" w:eastAsia="Georgia" w:hAnsi="Georgia"/>
          <w:b/>
          <w:bCs/>
          <w:color w:val="1C1C1E"/>
          <w:sz w:val="22"/>
          <w:szCs w:val="22"/>
        </w:rPr>
        <w:t xml:space="preserve">Organisations with existing intelligent system deployments </w:t>
      </w:r>
      <w:r>
        <w:rPr>
          <w:rFonts w:ascii="Georgia" w:cs="Georgia" w:eastAsia="Georgia" w:hAnsi="Georgia"/>
          <w:color w:val="1C1C1E"/>
          <w:sz w:val="22"/>
          <w:szCs w:val="22"/>
        </w:rPr>
        <w:t xml:space="preserve">most often use the OIA Model first as a diagnostic instrument. Mapping current implementations to the nine layers reveals where the deployment is architecturally coherent, where concerns have been displaced or omitted, and where cross-layer spans are addressed incompletely. This diagnostic use is frequently the highest-value initial application.</w:t>
      </w:r>
    </w:p>
    <w:p>
      <w:pPr>
        <w:spacing w:after="200" w:before="0" w:line="340"/>
        <w:jc w:val="left"/>
      </w:pPr>
      <w:r>
        <w:rPr>
          <w:rFonts w:ascii="Georgia" w:cs="Georgia" w:eastAsia="Georgia" w:hAnsi="Georgia"/>
          <w:b/>
          <w:bCs/>
          <w:color w:val="1C1C1E"/>
          <w:sz w:val="22"/>
          <w:szCs w:val="22"/>
        </w:rPr>
        <w:t xml:space="preserve">Organisations preparing new intelligent system deployments </w:t>
      </w:r>
      <w:r>
        <w:rPr>
          <w:rFonts w:ascii="Georgia" w:cs="Georgia" w:eastAsia="Georgia" w:hAnsi="Georgia"/>
          <w:color w:val="1C1C1E"/>
          <w:sz w:val="22"/>
          <w:szCs w:val="22"/>
        </w:rPr>
        <w:t xml:space="preserve">most often use the OIA Model first as a design vocabulary. The layer definitions and cross-layer spans provide the structural categories against which vendor evaluations, architectural decisions, and governance requirements can be organised. Organisations using the model this way report that it reduces the frequency of later surprises caused by concerns that were not identified as architectural early enough.</w:t>
      </w:r>
    </w:p>
    <w:p>
      <w:pPr>
        <w:spacing w:after="200" w:before="0" w:line="340"/>
        <w:jc w:val="left"/>
      </w:pPr>
      <w:r>
        <w:rPr>
          <w:rFonts w:ascii="Georgia" w:cs="Georgia" w:eastAsia="Georgia" w:hAnsi="Georgia"/>
          <w:b/>
          <w:bCs/>
          <w:color w:val="1C1C1E"/>
          <w:sz w:val="22"/>
          <w:szCs w:val="22"/>
        </w:rPr>
        <w:t xml:space="preserve">Organisations building or evaluating products for deployment by others </w:t>
      </w:r>
      <w:r>
        <w:rPr>
          <w:rFonts w:ascii="Georgia" w:cs="Georgia" w:eastAsia="Georgia" w:hAnsi="Georgia"/>
          <w:color w:val="1C1C1E"/>
          <w:sz w:val="22"/>
          <w:szCs w:val="22"/>
        </w:rPr>
        <w:t xml:space="preserve">most often use the OIA Model first as a positioning instrument. Clarity about which layers a product addresses, and which it does not, reduces the friction of integration with complementary products at adjacent layers.</w:t>
      </w:r>
    </w:p>
    <w:p>
      <w:pPr>
        <w:spacing w:after="200" w:before="0" w:line="340"/>
        <w:jc w:val="left"/>
      </w:pPr>
      <w:r>
        <w:rPr>
          <w:rFonts w:ascii="Georgia" w:cs="Georgia" w:eastAsia="Georgia" w:hAnsi="Georgia"/>
          <w:b/>
          <w:bCs/>
          <w:color w:val="1C1C1E"/>
          <w:sz w:val="22"/>
          <w:szCs w:val="22"/>
        </w:rPr>
        <w:t xml:space="preserve">Regulators, policy-makers, and standards bodies </w:t>
      </w:r>
      <w:r>
        <w:rPr>
          <w:rFonts w:ascii="Georgia" w:cs="Georgia" w:eastAsia="Georgia" w:hAnsi="Georgia"/>
          <w:color w:val="1C1C1E"/>
          <w:sz w:val="22"/>
          <w:szCs w:val="22"/>
        </w:rPr>
        <w:t xml:space="preserve">most often use the OIA Model first as a locator for specific requirements. Requirements that address concerns at specific layers can be expressed with reference to those layers, and requirements that cross layers can be expressed with reference to the cross-layer spans. This use of the model is expected to become more prominent as regulatory frameworks for intelligent systems mature.</w:t>
      </w:r>
    </w:p>
    <w:p>
      <w:pPr>
        <w:pStyle w:val="Heading2"/>
        <w:keepNext/>
        <w:spacing w:after="200" w:before="480"/>
      </w:pPr>
      <w:r>
        <w:rPr>
          <w:rFonts w:ascii="Helvetica Neue" w:cs="Helvetica Neue" w:eastAsia="Helvetica Neue" w:hAnsi="Helvetica Neue"/>
          <w:b w:val="false"/>
          <w:bCs w:val="false"/>
          <w:color w:val="000000"/>
          <w:sz w:val="26"/>
          <w:szCs w:val="26"/>
        </w:rPr>
        <w:t xml:space="preserve">16.3 Applying the Model at Different Scales</w:t>
      </w:r>
    </w:p>
    <w:p>
      <w:pPr>
        <w:spacing w:after="200" w:before="0" w:line="340"/>
        <w:jc w:val="left"/>
      </w:pPr>
      <w:r>
        <w:rPr>
          <w:rFonts w:ascii="Georgia" w:cs="Georgia" w:eastAsia="Georgia" w:hAnsi="Georgia"/>
          <w:color w:val="1C1C1E"/>
          <w:sz w:val="22"/>
          <w:szCs w:val="22"/>
        </w:rPr>
        <w:t xml:space="preserve">The OIA Model applies at multiple scales of analysis. At the scale of a single intelligent system, the nine layers describe the architectural components and concerns that must be coherent for the system to function. At the scale of an enterprise portfolio, the layers describe the shared infrastructure, common patterns, and cross-cutting concerns that multiple intelligent systems share. At the scale of an industry or jurisdiction, the layers describe the shared vocabulary within which participants can reason about collective concerns.</w:t>
      </w:r>
    </w:p>
    <w:p>
      <w:pPr>
        <w:spacing w:after="200" w:before="0" w:line="340"/>
        <w:jc w:val="left"/>
      </w:pPr>
      <w:r>
        <w:rPr>
          <w:rFonts w:ascii="Georgia" w:cs="Georgia" w:eastAsia="Georgia" w:hAnsi="Georgia"/>
          <w:color w:val="1C1C1E"/>
          <w:sz w:val="22"/>
          <w:szCs w:val="22"/>
        </w:rPr>
        <w:t xml:space="preserve">Different scales emphasise different aspects of the model. Single-system analysis tends to emphasise the layer definitions and their interfaces. Portfolio analysis tends to emphasise the cross-layer spans and the shared infrastructure patterns. Industry-scale analysis tends to emphasise the open questions and the directions in which the model and the underlying domain are evolving.</w:t>
      </w:r>
    </w:p>
    <w:p>
      <w:pPr>
        <w:pStyle w:val="Heading2"/>
        <w:keepNext/>
        <w:spacing w:after="200" w:before="480"/>
      </w:pPr>
      <w:r>
        <w:rPr>
          <w:rFonts w:ascii="Helvetica Neue" w:cs="Helvetica Neue" w:eastAsia="Helvetica Neue" w:hAnsi="Helvetica Neue"/>
          <w:b w:val="false"/>
          <w:bCs w:val="false"/>
          <w:color w:val="000000"/>
          <w:sz w:val="26"/>
          <w:szCs w:val="26"/>
        </w:rPr>
        <w:t xml:space="preserve">16.4 Working with the Open Questions</w:t>
      </w:r>
    </w:p>
    <w:p>
      <w:pPr>
        <w:spacing w:after="200" w:before="0" w:line="340"/>
        <w:jc w:val="left"/>
      </w:pPr>
      <w:r>
        <w:rPr>
          <w:rFonts w:ascii="Georgia" w:cs="Georgia" w:eastAsia="Georgia" w:hAnsi="Georgia"/>
          <w:color w:val="1C1C1E"/>
          <w:sz w:val="22"/>
          <w:szCs w:val="22"/>
        </w:rPr>
        <w:t xml:space="preserve">Every layer definition in the OIA Model includes a subsection of open questions. These are not rhetorical; they name architectural issues on which consensus has not yet emerged. Organisations applying the model will encounter the open questions in practice, and the positions they take on those questions will shape their architectures.</w:t>
      </w:r>
    </w:p>
    <w:p>
      <w:pPr>
        <w:spacing w:after="200" w:before="0" w:line="340"/>
        <w:jc w:val="left"/>
      </w:pPr>
      <w:r>
        <w:rPr>
          <w:rFonts w:ascii="Georgia" w:cs="Georgia" w:eastAsia="Georgia" w:hAnsi="Georgia"/>
          <w:color w:val="1C1C1E"/>
          <w:sz w:val="22"/>
          <w:szCs w:val="22"/>
        </w:rPr>
        <w:t xml:space="preserve">Open questions are not barriers to adoption. Organisations are not required to resolve every open question before the model becomes useful. The open questions signal where reasonable architectural choices currently diverge and where future versions of the model are most likely to require revision. Practitioners are encouraged to contribute their experience with open questions to the Agentics Foundation as the model continues to evolve.</w:t>
      </w:r>
    </w:p>
    <w:p>
      <w:pPr>
        <w:pStyle w:val="Heading2"/>
        <w:keepNext/>
        <w:spacing w:after="200" w:before="480"/>
      </w:pPr>
      <w:r>
        <w:rPr>
          <w:rFonts w:ascii="Helvetica Neue" w:cs="Helvetica Neue" w:eastAsia="Helvetica Neue" w:hAnsi="Helvetica Neue"/>
          <w:b w:val="false"/>
          <w:bCs w:val="false"/>
          <w:color w:val="000000"/>
          <w:sz w:val="26"/>
          <w:szCs w:val="26"/>
        </w:rPr>
        <w:t xml:space="preserve">16.5 Evolution of the Model</w:t>
      </w:r>
    </w:p>
    <w:p>
      <w:pPr>
        <w:spacing w:after="200" w:before="0" w:line="340"/>
        <w:jc w:val="left"/>
      </w:pPr>
      <w:r>
        <w:rPr>
          <w:rFonts w:ascii="Georgia" w:cs="Georgia" w:eastAsia="Georgia" w:hAnsi="Georgia"/>
          <w:color w:val="1C1C1E"/>
          <w:sz w:val="22"/>
          <w:szCs w:val="22"/>
        </w:rPr>
        <w:t xml:space="preserve">The OIA Model is intended to evolve. Layer definitions will be refined. Open questions will be closed as consensus emerges. New concerns will appear, and the model will incorporate them. Versioning of the model will follow conventions appropriate to a reference specification, with changes documented and predecessors preserved for reference.</w:t>
      </w:r>
    </w:p>
    <w:p>
      <w:pPr>
        <w:spacing w:after="200" w:before="0" w:line="340"/>
        <w:jc w:val="left"/>
      </w:pPr>
      <w:r>
        <w:rPr>
          <w:rFonts w:ascii="Georgia" w:cs="Georgia" w:eastAsia="Georgia" w:hAnsi="Georgia"/>
          <w:color w:val="1C1C1E"/>
          <w:sz w:val="22"/>
          <w:szCs w:val="22"/>
        </w:rPr>
        <w:t xml:space="preserve">Organisations adopting the OIA Model are adopting a framework that will change over time. This is a feature of any reference architecture that describes a living domain. The Agentics Foundation publishes the model with the explicit expectation that its adoption by practitioners, vendors, regulators, and researchers will itself inform the model's continued development.</w:t>
      </w:r>
    </w:p>
    <w:p>
      <w:pPr>
        <w:pStyle w:val="Heading2"/>
        <w:keepNext/>
        <w:spacing w:after="200" w:before="480"/>
      </w:pPr>
      <w:r>
        <w:rPr>
          <w:rFonts w:ascii="Helvetica Neue" w:cs="Helvetica Neue" w:eastAsia="Helvetica Neue" w:hAnsi="Helvetica Neue"/>
          <w:b w:val="false"/>
          <w:bCs w:val="false"/>
          <w:color w:val="000000"/>
          <w:sz w:val="26"/>
          <w:szCs w:val="26"/>
        </w:rPr>
        <w:t xml:space="preserve">16.6 Participation</w:t>
      </w:r>
    </w:p>
    <w:p>
      <w:pPr>
        <w:spacing w:after="200" w:before="0" w:line="340"/>
        <w:jc w:val="left"/>
      </w:pPr>
      <w:r>
        <w:rPr>
          <w:rFonts w:ascii="Georgia" w:cs="Georgia" w:eastAsia="Georgia" w:hAnsi="Georgia"/>
          <w:color w:val="1C1C1E"/>
          <w:sz w:val="22"/>
          <w:szCs w:val="22"/>
        </w:rPr>
        <w:t xml:space="preserve">The Agentics Foundation invites participation in the continued development of the OIA Model. Practitioners applying the model in production, vendors implementing capabilities at specific layers, regulators drafting policy that intersects with the model, and researchers exploring architectural patterns that extend or challenge the model are all encouraged to contribute their experience and findings. Mechanisms for participation are published separately by the Foundation and will evolve as the model and its community mature.</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17. Glossary</w:t>
      </w:r>
    </w:p>
    <w:p>
      <w:pPr>
        <w:spacing w:after="200" w:before="0" w:line="340"/>
        <w:jc w:val="left"/>
      </w:pPr>
      <w:r>
        <w:rPr>
          <w:rFonts w:ascii="Georgia" w:cs="Georgia" w:eastAsia="Georgia" w:hAnsi="Georgia"/>
          <w:color w:val="1C1C1E"/>
          <w:sz w:val="22"/>
          <w:szCs w:val="22"/>
        </w:rPr>
        <w:t xml:space="preserve">The following definitions apply throughout this document. Terms defined here are used with the specific meanings given, even where the same terms carry broader or different meanings in general usage.</w:t>
      </w:r>
    </w:p>
    <w:p>
      <w:pPr>
        <w:spacing w:after="240" w:before="0"/>
      </w:pPr>
      <w:r>
        <w:t xml:space="preserve"/>
      </w:r>
    </w:p>
    <w:p>
      <w:pPr>
        <w:spacing w:after="200" w:before="0" w:line="340"/>
        <w:ind w:left="0" w:hanging="0"/>
        <w:jc w:val="left"/>
      </w:pPr>
      <w:r>
        <w:rPr>
          <w:rFonts w:ascii="Georgia" w:cs="Georgia" w:eastAsia="Georgia" w:hAnsi="Georgia"/>
          <w:b/>
          <w:bCs/>
          <w:color w:val="1C1C1E"/>
          <w:sz w:val="22"/>
          <w:szCs w:val="22"/>
        </w:rPr>
        <w:t xml:space="preserve">Action  </w:t>
      </w:r>
      <w:r>
        <w:rPr>
          <w:rFonts w:ascii="Georgia" w:cs="Georgia" w:eastAsia="Georgia" w:hAnsi="Georgia"/>
          <w:color w:val="1C1C1E"/>
          <w:sz w:val="22"/>
          <w:szCs w:val="22"/>
        </w:rPr>
        <w:t xml:space="preserve">An operation executed by an intelligent system that affects state outside the system itself, including tool invocations, service calls, data modifications, and communications. Distinguished from inference, which produces outputs without directly affecting external state.</w:t>
      </w:r>
    </w:p>
    <w:p>
      <w:pPr>
        <w:spacing w:after="200" w:before="0" w:line="340"/>
        <w:ind w:left="0" w:hanging="0"/>
        <w:jc w:val="left"/>
      </w:pPr>
      <w:r>
        <w:rPr>
          <w:rFonts w:ascii="Georgia" w:cs="Georgia" w:eastAsia="Georgia" w:hAnsi="Georgia"/>
          <w:b/>
          <w:bCs/>
          <w:color w:val="1C1C1E"/>
          <w:sz w:val="22"/>
          <w:szCs w:val="22"/>
        </w:rPr>
        <w:t xml:space="preserve">Adaptation  </w:t>
      </w:r>
      <w:r>
        <w:rPr>
          <w:rFonts w:ascii="Georgia" w:cs="Georgia" w:eastAsia="Georgia" w:hAnsi="Georgia"/>
          <w:color w:val="1C1C1E"/>
          <w:sz w:val="22"/>
          <w:szCs w:val="22"/>
        </w:rPr>
        <w:t xml:space="preserve">A change to the parameters of a model that modifies its behaviour. Distinguished from cognitive state, which accumulates in the memory and audit trails of an intelligent system during operation without modifying model parameters.</w:t>
      </w:r>
    </w:p>
    <w:p>
      <w:pPr>
        <w:spacing w:after="200" w:before="0" w:line="340"/>
        <w:ind w:left="0" w:hanging="0"/>
        <w:jc w:val="left"/>
      </w:pPr>
      <w:r>
        <w:rPr>
          <w:rFonts w:ascii="Georgia" w:cs="Georgia" w:eastAsia="Georgia" w:hAnsi="Georgia"/>
          <w:b/>
          <w:bCs/>
          <w:color w:val="1C1C1E"/>
          <w:sz w:val="22"/>
          <w:szCs w:val="22"/>
        </w:rPr>
        <w:t xml:space="preserve">Agent  </w:t>
      </w:r>
      <w:r>
        <w:rPr>
          <w:rFonts w:ascii="Georgia" w:cs="Georgia" w:eastAsia="Georgia" w:hAnsi="Georgia"/>
          <w:color w:val="1C1C1E"/>
          <w:sz w:val="22"/>
          <w:szCs w:val="22"/>
        </w:rPr>
        <w:t xml:space="preserve">An intelligent system that acts autonomously on behalf of a user, organisation, or objective, typically by invoking tools, consuming context, and executing multi-step workflows. The term is used generically in this document and does not prescribe a specific architectural pattern.</w:t>
      </w:r>
    </w:p>
    <w:p>
      <w:pPr>
        <w:spacing w:after="200" w:before="0" w:line="340"/>
        <w:ind w:left="0" w:hanging="0"/>
        <w:jc w:val="left"/>
      </w:pPr>
      <w:r>
        <w:rPr>
          <w:rFonts w:ascii="Georgia" w:cs="Georgia" w:eastAsia="Georgia" w:hAnsi="Georgia"/>
          <w:b/>
          <w:bCs/>
          <w:color w:val="1C1C1E"/>
          <w:sz w:val="22"/>
          <w:szCs w:val="22"/>
        </w:rPr>
        <w:t xml:space="preserve">Agent Data Substrate  </w:t>
      </w:r>
      <w:r>
        <w:rPr>
          <w:rFonts w:ascii="Georgia" w:cs="Georgia" w:eastAsia="Georgia" w:hAnsi="Georgia"/>
          <w:color w:val="1C1C1E"/>
          <w:sz w:val="22"/>
          <w:szCs w:val="22"/>
        </w:rPr>
        <w:t xml:space="preserve">Layer 3 of the OIA Model. The persistent, auditable, and access-controlled data environment on which intelligent systems operate.</w:t>
      </w:r>
    </w:p>
    <w:p>
      <w:pPr>
        <w:spacing w:after="200" w:before="0" w:line="340"/>
        <w:ind w:left="0" w:hanging="0"/>
        <w:jc w:val="left"/>
      </w:pPr>
      <w:r>
        <w:rPr>
          <w:rFonts w:ascii="Georgia" w:cs="Georgia" w:eastAsia="Georgia" w:hAnsi="Georgia"/>
          <w:b/>
          <w:bCs/>
          <w:color w:val="1C1C1E"/>
          <w:sz w:val="22"/>
          <w:szCs w:val="22"/>
        </w:rPr>
        <w:t xml:space="preserve">Agentic System  </w:t>
      </w:r>
      <w:r>
        <w:rPr>
          <w:rFonts w:ascii="Georgia" w:cs="Georgia" w:eastAsia="Georgia" w:hAnsi="Georgia"/>
          <w:color w:val="1C1C1E"/>
          <w:sz w:val="22"/>
          <w:szCs w:val="22"/>
        </w:rPr>
        <w:t xml:space="preserve">A system characterised by the autonomy property defined in Section 2.3. Synonymous with agent in most contexts of this document, with agentic system used where the broader architectural context is relevant.</w:t>
      </w:r>
    </w:p>
    <w:p>
      <w:pPr>
        <w:spacing w:after="200" w:before="0" w:line="340"/>
        <w:ind w:left="0" w:hanging="0"/>
        <w:jc w:val="left"/>
      </w:pPr>
      <w:r>
        <w:rPr>
          <w:rFonts w:ascii="Georgia" w:cs="Georgia" w:eastAsia="Georgia" w:hAnsi="Georgia"/>
          <w:b/>
          <w:bCs/>
          <w:color w:val="1C1C1E"/>
          <w:sz w:val="22"/>
          <w:szCs w:val="22"/>
        </w:rPr>
        <w:t xml:space="preserve">Audit Trail  </w:t>
      </w:r>
      <w:r>
        <w:rPr>
          <w:rFonts w:ascii="Georgia" w:cs="Georgia" w:eastAsia="Georgia" w:hAnsi="Georgia"/>
          <w:color w:val="1C1C1E"/>
          <w:sz w:val="22"/>
          <w:szCs w:val="22"/>
        </w:rPr>
        <w:t xml:space="preserve">A record of actions and decisions produced contemporaneously with their occurrence, sufficient to reconstruct what happened and why. The architectural treatment of audit trails is cross-cutting and addressed in the auditability span (Section 14.4).</w:t>
      </w:r>
    </w:p>
    <w:p>
      <w:pPr>
        <w:spacing w:after="200" w:before="0" w:line="340"/>
        <w:ind w:left="0" w:hanging="0"/>
        <w:jc w:val="left"/>
      </w:pPr>
      <w:r>
        <w:rPr>
          <w:rFonts w:ascii="Georgia" w:cs="Georgia" w:eastAsia="Georgia" w:hAnsi="Georgia"/>
          <w:b/>
          <w:bCs/>
          <w:color w:val="1C1C1E"/>
          <w:sz w:val="22"/>
          <w:szCs w:val="22"/>
        </w:rPr>
        <w:t xml:space="preserve">Auditability  </w:t>
      </w:r>
      <w:r>
        <w:rPr>
          <w:rFonts w:ascii="Georgia" w:cs="Georgia" w:eastAsia="Georgia" w:hAnsi="Georgia"/>
          <w:color w:val="1C1C1E"/>
          <w:sz w:val="22"/>
          <w:szCs w:val="22"/>
        </w:rPr>
        <w:t xml:space="preserve">The capacity of a system to produce audit trails across its operational layers such that consequential events can be reconstructed after the fact. Addressed as a cross-layer span in Section 14.4.</w:t>
      </w:r>
    </w:p>
    <w:p>
      <w:pPr>
        <w:spacing w:after="200" w:before="0" w:line="340"/>
        <w:ind w:left="0" w:hanging="0"/>
        <w:jc w:val="left"/>
      </w:pPr>
      <w:r>
        <w:rPr>
          <w:rFonts w:ascii="Georgia" w:cs="Georgia" w:eastAsia="Georgia" w:hAnsi="Georgia"/>
          <w:b/>
          <w:bCs/>
          <w:color w:val="1C1C1E"/>
          <w:sz w:val="22"/>
          <w:szCs w:val="22"/>
        </w:rPr>
        <w:t xml:space="preserve">Autonomy  </w:t>
      </w:r>
      <w:r>
        <w:rPr>
          <w:rFonts w:ascii="Georgia" w:cs="Georgia" w:eastAsia="Georgia" w:hAnsi="Georgia"/>
          <w:color w:val="1C1C1E"/>
          <w:sz w:val="22"/>
          <w:szCs w:val="22"/>
        </w:rPr>
        <w:t xml:space="preserve">One of three defining properties of intelligent systems defined in Section 2.3. The capacity of an intelligent system to act with goals and judgment that exceed the parameters of explicit instruction.</w:t>
      </w:r>
    </w:p>
    <w:p>
      <w:pPr>
        <w:spacing w:after="200" w:before="0" w:line="340"/>
        <w:ind w:left="0" w:hanging="0"/>
        <w:jc w:val="left"/>
      </w:pPr>
      <w:r>
        <w:rPr>
          <w:rFonts w:ascii="Georgia" w:cs="Georgia" w:eastAsia="Georgia" w:hAnsi="Georgia"/>
          <w:b/>
          <w:bCs/>
          <w:color w:val="1C1C1E"/>
          <w:sz w:val="22"/>
          <w:szCs w:val="22"/>
        </w:rPr>
        <w:t xml:space="preserve">Coherence  </w:t>
      </w:r>
      <w:r>
        <w:rPr>
          <w:rFonts w:ascii="Georgia" w:cs="Georgia" w:eastAsia="Georgia" w:hAnsi="Georgia"/>
          <w:color w:val="1C1C1E"/>
          <w:sz w:val="22"/>
          <w:szCs w:val="22"/>
        </w:rPr>
        <w:t xml:space="preserve">The property of a system in which the relationships among its components are internally consistent and externally verifiable. Used in this document particularly in the context of long-horizon workflows (Layer 7) and cognitive state (Layer 8).</w:t>
      </w:r>
    </w:p>
    <w:p>
      <w:pPr>
        <w:spacing w:after="200" w:before="0" w:line="340"/>
        <w:ind w:left="0" w:hanging="0"/>
        <w:jc w:val="left"/>
      </w:pPr>
      <w:r>
        <w:rPr>
          <w:rFonts w:ascii="Georgia" w:cs="Georgia" w:eastAsia="Georgia" w:hAnsi="Georgia"/>
          <w:b/>
          <w:bCs/>
          <w:color w:val="1C1C1E"/>
          <w:sz w:val="22"/>
          <w:szCs w:val="22"/>
        </w:rPr>
        <w:t xml:space="preserve">Cognitive State  </w:t>
      </w:r>
      <w:r>
        <w:rPr>
          <w:rFonts w:ascii="Georgia" w:cs="Georgia" w:eastAsia="Georgia" w:hAnsi="Georgia"/>
          <w:color w:val="1C1C1E"/>
          <w:sz w:val="22"/>
          <w:szCs w:val="22"/>
        </w:rPr>
        <w:t xml:space="preserve">The persistent memory, audit trails, learned adaptations, and operational history that an intelligent system accumulates through operation. Held at Layer 8 (Continuity Fabric) and distinguished from data (held at Layer 3) and model parameters (adapted at Layer 4).</w:t>
      </w:r>
    </w:p>
    <w:p>
      <w:pPr>
        <w:spacing w:after="200" w:before="0" w:line="340"/>
        <w:ind w:left="0" w:hanging="0"/>
        <w:jc w:val="left"/>
      </w:pPr>
      <w:r>
        <w:rPr>
          <w:rFonts w:ascii="Georgia" w:cs="Georgia" w:eastAsia="Georgia" w:hAnsi="Georgia"/>
          <w:b/>
          <w:bCs/>
          <w:color w:val="1C1C1E"/>
          <w:sz w:val="22"/>
          <w:szCs w:val="22"/>
        </w:rPr>
        <w:t xml:space="preserve">Confidential Computing  </w:t>
      </w:r>
      <w:r>
        <w:rPr>
          <w:rFonts w:ascii="Georgia" w:cs="Georgia" w:eastAsia="Georgia" w:hAnsi="Georgia"/>
          <w:color w:val="1C1C1E"/>
          <w:sz w:val="22"/>
          <w:szCs w:val="22"/>
        </w:rPr>
        <w:t xml:space="preserve">A class of technologies that protect data and computation from unauthorised access through hardware-enforced trust boundaries. Referenced at Layers 1, 2, and 3 as a cross-layer capability.</w:t>
      </w:r>
    </w:p>
    <w:p>
      <w:pPr>
        <w:spacing w:after="200" w:before="0" w:line="340"/>
        <w:ind w:left="0" w:hanging="0"/>
        <w:jc w:val="left"/>
      </w:pPr>
      <w:r>
        <w:rPr>
          <w:rFonts w:ascii="Georgia" w:cs="Georgia" w:eastAsia="Georgia" w:hAnsi="Georgia"/>
          <w:b/>
          <w:bCs/>
          <w:color w:val="1C1C1E"/>
          <w:sz w:val="22"/>
          <w:szCs w:val="22"/>
        </w:rPr>
        <w:t xml:space="preserve">Consequence  </w:t>
      </w:r>
      <w:r>
        <w:rPr>
          <w:rFonts w:ascii="Georgia" w:cs="Georgia" w:eastAsia="Georgia" w:hAnsi="Georgia"/>
          <w:color w:val="1C1C1E"/>
          <w:sz w:val="22"/>
          <w:szCs w:val="22"/>
        </w:rPr>
        <w:t xml:space="preserve">One of three defining properties of intelligent systems defined in Section 2.3. The property of an intelligent system's outputs and actions requiring demonstrable correctness, accountability, and auditability.</w:t>
      </w:r>
    </w:p>
    <w:p>
      <w:pPr>
        <w:spacing w:after="200" w:before="0" w:line="340"/>
        <w:ind w:left="0" w:hanging="0"/>
        <w:jc w:val="left"/>
      </w:pPr>
      <w:r>
        <w:rPr>
          <w:rFonts w:ascii="Georgia" w:cs="Georgia" w:eastAsia="Georgia" w:hAnsi="Georgia"/>
          <w:b/>
          <w:bCs/>
          <w:color w:val="1C1C1E"/>
          <w:sz w:val="22"/>
          <w:szCs w:val="22"/>
        </w:rPr>
        <w:t xml:space="preserve">Context  </w:t>
      </w:r>
      <w:r>
        <w:rPr>
          <w:rFonts w:ascii="Georgia" w:cs="Georgia" w:eastAsia="Georgia" w:hAnsi="Georgia"/>
          <w:color w:val="1C1C1E"/>
          <w:sz w:val="22"/>
          <w:szCs w:val="22"/>
        </w:rPr>
        <w:t xml:space="preserve">Information assembled and presented to an intelligent system to ground its inference, typically including retrieved content, structured knowledge, conversation history, and operational state. The architectural concerns of context are addressed at Layer 6.</w:t>
      </w:r>
    </w:p>
    <w:p>
      <w:pPr>
        <w:spacing w:after="200" w:before="0" w:line="340"/>
        <w:ind w:left="0" w:hanging="0"/>
        <w:jc w:val="left"/>
      </w:pPr>
      <w:r>
        <w:rPr>
          <w:rFonts w:ascii="Georgia" w:cs="Georgia" w:eastAsia="Georgia" w:hAnsi="Georgia"/>
          <w:b/>
          <w:bCs/>
          <w:color w:val="1C1C1E"/>
          <w:sz w:val="22"/>
          <w:szCs w:val="22"/>
        </w:rPr>
        <w:t xml:space="preserve">Context Window  </w:t>
      </w:r>
      <w:r>
        <w:rPr>
          <w:rFonts w:ascii="Georgia" w:cs="Georgia" w:eastAsia="Georgia" w:hAnsi="Georgia"/>
          <w:color w:val="1C1C1E"/>
          <w:sz w:val="22"/>
          <w:szCs w:val="22"/>
        </w:rPr>
        <w:t xml:space="preserve">The bounded set of information that can be presented to a model at inference time. Context window economics — the trade-off between context completeness and cost — is treated as a key concern at Layer 6.</w:t>
      </w:r>
    </w:p>
    <w:p>
      <w:pPr>
        <w:spacing w:after="200" w:before="0" w:line="340"/>
        <w:ind w:left="0" w:hanging="0"/>
        <w:jc w:val="left"/>
      </w:pPr>
      <w:r>
        <w:rPr>
          <w:rFonts w:ascii="Georgia" w:cs="Georgia" w:eastAsia="Georgia" w:hAnsi="Georgia"/>
          <w:b/>
          <w:bCs/>
          <w:color w:val="1C1C1E"/>
          <w:sz w:val="22"/>
          <w:szCs w:val="22"/>
        </w:rPr>
        <w:t xml:space="preserve">Continuity Fabric  </w:t>
      </w:r>
      <w:r>
        <w:rPr>
          <w:rFonts w:ascii="Georgia" w:cs="Georgia" w:eastAsia="Georgia" w:hAnsi="Georgia"/>
          <w:color w:val="1C1C1E"/>
          <w:sz w:val="22"/>
          <w:szCs w:val="22"/>
        </w:rPr>
        <w:t xml:space="preserve">Layer 8 of the OIA Model. The active layer at which the cognitive state of intelligent systems — memory, learning, judgment, identity — is preserved, verified, and carried through the transitions the stack undergoes.</w:t>
      </w:r>
    </w:p>
    <w:p>
      <w:pPr>
        <w:spacing w:after="200" w:before="0" w:line="340"/>
        <w:ind w:left="0" w:hanging="0"/>
        <w:jc w:val="left"/>
      </w:pPr>
      <w:r>
        <w:rPr>
          <w:rFonts w:ascii="Georgia" w:cs="Georgia" w:eastAsia="Georgia" w:hAnsi="Georgia"/>
          <w:b/>
          <w:bCs/>
          <w:color w:val="1C1C1E"/>
          <w:sz w:val="22"/>
          <w:szCs w:val="22"/>
        </w:rPr>
        <w:t xml:space="preserve">Cross-Layer Span  </w:t>
      </w:r>
      <w:r>
        <w:rPr>
          <w:rFonts w:ascii="Georgia" w:cs="Georgia" w:eastAsia="Georgia" w:hAnsi="Georgia"/>
          <w:color w:val="1C1C1E"/>
          <w:sz w:val="22"/>
          <w:szCs w:val="22"/>
        </w:rPr>
        <w:t xml:space="preserve">An architectural concern that cannot be localised to a single layer of the OIA Model and that must be addressed coherently across multiple layers. The model defines six spans in Section 14: security, sovereignty, auditability, identity, energy, and provenance.</w:t>
      </w:r>
    </w:p>
    <w:p>
      <w:pPr>
        <w:spacing w:after="200" w:before="0" w:line="340"/>
        <w:ind w:left="0" w:hanging="0"/>
        <w:jc w:val="left"/>
      </w:pPr>
      <w:r>
        <w:rPr>
          <w:rFonts w:ascii="Georgia" w:cs="Georgia" w:eastAsia="Georgia" w:hAnsi="Georgia"/>
          <w:b/>
          <w:bCs/>
          <w:color w:val="1C1C1E"/>
          <w:sz w:val="22"/>
          <w:szCs w:val="22"/>
        </w:rPr>
        <w:t xml:space="preserve">Edge Inference  </w:t>
      </w:r>
      <w:r>
        <w:rPr>
          <w:rFonts w:ascii="Georgia" w:cs="Georgia" w:eastAsia="Georgia" w:hAnsi="Georgia"/>
          <w:color w:val="1C1C1E"/>
          <w:sz w:val="22"/>
          <w:szCs w:val="22"/>
        </w:rPr>
        <w:t xml:space="preserve">Inference executed on compute substrates close to the point of consumption, rather than in centralised clusters. Treated as a distinct architectural pattern at Layer 5.</w:t>
      </w:r>
    </w:p>
    <w:p>
      <w:pPr>
        <w:spacing w:after="200" w:before="0" w:line="340"/>
        <w:ind w:left="0" w:hanging="0"/>
        <w:jc w:val="left"/>
      </w:pPr>
      <w:r>
        <w:rPr>
          <w:rFonts w:ascii="Georgia" w:cs="Georgia" w:eastAsia="Georgia" w:hAnsi="Georgia"/>
          <w:b/>
          <w:bCs/>
          <w:color w:val="1C1C1E"/>
          <w:sz w:val="22"/>
          <w:szCs w:val="22"/>
        </w:rPr>
        <w:t xml:space="preserve">Energy Sovereignty  </w:t>
      </w:r>
      <w:r>
        <w:rPr>
          <w:rFonts w:ascii="Georgia" w:cs="Georgia" w:eastAsia="Georgia" w:hAnsi="Georgia"/>
          <w:color w:val="1C1C1E"/>
          <w:sz w:val="22"/>
          <w:szCs w:val="22"/>
        </w:rPr>
        <w:t xml:space="preserve">One of three dimensions of sovereignty defined at Layer 2. The property of infrastructure's energy sourcing, consumption, and accounting being controllable by the deploying organisation to the degree required by that organisation's policies.</w:t>
      </w:r>
    </w:p>
    <w:p>
      <w:pPr>
        <w:spacing w:after="200" w:before="0" w:line="340"/>
        <w:ind w:left="0" w:hanging="0"/>
        <w:jc w:val="left"/>
      </w:pPr>
      <w:r>
        <w:rPr>
          <w:rFonts w:ascii="Georgia" w:cs="Georgia" w:eastAsia="Georgia" w:hAnsi="Georgia"/>
          <w:b/>
          <w:bCs/>
          <w:color w:val="1C1C1E"/>
          <w:sz w:val="22"/>
          <w:szCs w:val="22"/>
        </w:rPr>
        <w:t xml:space="preserve">Entry Point  </w:t>
      </w:r>
      <w:r>
        <w:rPr>
          <w:rFonts w:ascii="Georgia" w:cs="Georgia" w:eastAsia="Georgia" w:hAnsi="Georgia"/>
          <w:color w:val="1C1C1E"/>
          <w:sz w:val="22"/>
          <w:szCs w:val="22"/>
        </w:rPr>
        <w:t xml:space="preserve">A path through which traffic reaches an intelligent system's governance layer. The term is used to describe the distinct pathways — agent traffic, MCP traffic, LLM proxy traffic, network traffic, browser traffic — through which behavioural governance at Layer 7 is applied.</w:t>
      </w:r>
    </w:p>
    <w:p>
      <w:pPr>
        <w:spacing w:after="200" w:before="0" w:line="340"/>
        <w:ind w:left="0" w:hanging="0"/>
        <w:jc w:val="left"/>
      </w:pPr>
      <w:r>
        <w:rPr>
          <w:rFonts w:ascii="Georgia" w:cs="Georgia" w:eastAsia="Georgia" w:hAnsi="Georgia"/>
          <w:b/>
          <w:bCs/>
          <w:color w:val="1C1C1E"/>
          <w:sz w:val="22"/>
          <w:szCs w:val="22"/>
        </w:rPr>
        <w:t xml:space="preserve">Faithfulness  </w:t>
      </w:r>
      <w:r>
        <w:rPr>
          <w:rFonts w:ascii="Georgia" w:cs="Georgia" w:eastAsia="Georgia" w:hAnsi="Georgia"/>
          <w:color w:val="1C1C1E"/>
          <w:sz w:val="22"/>
          <w:szCs w:val="22"/>
        </w:rPr>
        <w:t xml:space="preserve">The property of generated outputs being appropriately grounded in the context that informed them. A key concern at Layer 6.</w:t>
      </w:r>
    </w:p>
    <w:p>
      <w:pPr>
        <w:spacing w:after="200" w:before="0" w:line="340"/>
        <w:ind w:left="0" w:hanging="0"/>
        <w:jc w:val="left"/>
      </w:pPr>
      <w:r>
        <w:rPr>
          <w:rFonts w:ascii="Georgia" w:cs="Georgia" w:eastAsia="Georgia" w:hAnsi="Georgia"/>
          <w:b/>
          <w:bCs/>
          <w:color w:val="1C1C1E"/>
          <w:sz w:val="22"/>
          <w:szCs w:val="22"/>
        </w:rPr>
        <w:t xml:space="preserve">Framework  </w:t>
      </w:r>
      <w:r>
        <w:rPr>
          <w:rFonts w:ascii="Georgia" w:cs="Georgia" w:eastAsia="Georgia" w:hAnsi="Georgia"/>
          <w:color w:val="1C1C1E"/>
          <w:sz w:val="22"/>
          <w:szCs w:val="22"/>
        </w:rPr>
        <w:t xml:space="preserve">Used in this document with two distinct meanings. In the context of reference architectures, a framework is a functional organisation of concerns (as in the NIST CSF). In the context of implementation, a framework is a software library or toolkit used to build intelligent systems (as in agent frameworks at Layer 7). Context clarifies which sense applies.</w:t>
      </w:r>
    </w:p>
    <w:p>
      <w:pPr>
        <w:spacing w:after="200" w:before="0" w:line="340"/>
        <w:ind w:left="0" w:hanging="0"/>
        <w:jc w:val="left"/>
      </w:pPr>
      <w:r>
        <w:rPr>
          <w:rFonts w:ascii="Georgia" w:cs="Georgia" w:eastAsia="Georgia" w:hAnsi="Georgia"/>
          <w:b/>
          <w:bCs/>
          <w:color w:val="1C1C1E"/>
          <w:sz w:val="22"/>
          <w:szCs w:val="22"/>
        </w:rPr>
        <w:t xml:space="preserve">Grounding  </w:t>
      </w:r>
      <w:r>
        <w:rPr>
          <w:rFonts w:ascii="Georgia" w:cs="Georgia" w:eastAsia="Georgia" w:hAnsi="Georgia"/>
          <w:color w:val="1C1C1E"/>
          <w:sz w:val="22"/>
          <w:szCs w:val="22"/>
        </w:rPr>
        <w:t xml:space="preserve">The process of conditioning inference on context, knowledge, or perceived environment such that outputs are supported by information beyond the model's parameters alone. Addressed at Layer 6.</w:t>
      </w:r>
    </w:p>
    <w:p>
      <w:pPr>
        <w:spacing w:after="200" w:before="0" w:line="340"/>
        <w:ind w:left="0" w:hanging="0"/>
        <w:jc w:val="left"/>
      </w:pPr>
      <w:r>
        <w:rPr>
          <w:rFonts w:ascii="Georgia" w:cs="Georgia" w:eastAsia="Georgia" w:hAnsi="Georgia"/>
          <w:b/>
          <w:bCs/>
          <w:color w:val="1C1C1E"/>
          <w:sz w:val="22"/>
          <w:szCs w:val="22"/>
        </w:rPr>
        <w:t xml:space="preserve">Identity Discrimination  </w:t>
      </w:r>
      <w:r>
        <w:rPr>
          <w:rFonts w:ascii="Georgia" w:cs="Georgia" w:eastAsia="Georgia" w:hAnsi="Georgia"/>
          <w:color w:val="1C1C1E"/>
          <w:sz w:val="22"/>
          <w:szCs w:val="22"/>
        </w:rPr>
        <w:t xml:space="preserve">The architectural ability to distinguish between human users and intelligent systems interacting through the same surface. A key concern at Layer 9 and an element of the cross-layer identity span.</w:t>
      </w:r>
    </w:p>
    <w:p>
      <w:pPr>
        <w:spacing w:after="200" w:before="0" w:line="340"/>
        <w:ind w:left="0" w:hanging="0"/>
        <w:jc w:val="left"/>
      </w:pPr>
      <w:r>
        <w:rPr>
          <w:rFonts w:ascii="Georgia" w:cs="Georgia" w:eastAsia="Georgia" w:hAnsi="Georgia"/>
          <w:b/>
          <w:bCs/>
          <w:color w:val="1C1C1E"/>
          <w:sz w:val="22"/>
          <w:szCs w:val="22"/>
        </w:rPr>
        <w:t xml:space="preserve">Inference  </w:t>
      </w:r>
      <w:r>
        <w:rPr>
          <w:rFonts w:ascii="Georgia" w:cs="Georgia" w:eastAsia="Georgia" w:hAnsi="Georgia"/>
          <w:color w:val="1C1C1E"/>
          <w:sz w:val="22"/>
          <w:szCs w:val="22"/>
        </w:rPr>
        <w:t xml:space="preserve">The execution of a trained model to produce outputs from inputs. The primary concern of Layer 5.</w:t>
      </w:r>
    </w:p>
    <w:p>
      <w:pPr>
        <w:spacing w:after="200" w:before="0" w:line="340"/>
        <w:ind w:left="0" w:hanging="0"/>
        <w:jc w:val="left"/>
      </w:pPr>
      <w:r>
        <w:rPr>
          <w:rFonts w:ascii="Georgia" w:cs="Georgia" w:eastAsia="Georgia" w:hAnsi="Georgia"/>
          <w:b/>
          <w:bCs/>
          <w:color w:val="1C1C1E"/>
          <w:sz w:val="22"/>
          <w:szCs w:val="22"/>
        </w:rPr>
        <w:t xml:space="preserve">Intelligent System  </w:t>
      </w:r>
      <w:r>
        <w:rPr>
          <w:rFonts w:ascii="Georgia" w:cs="Georgia" w:eastAsia="Georgia" w:hAnsi="Georgia"/>
          <w:color w:val="1C1C1E"/>
          <w:sz w:val="22"/>
          <w:szCs w:val="22"/>
        </w:rPr>
        <w:t xml:space="preserve">A system in which machine intelligence participates in decisions, actions, or workflows of consequence. The domain addressed by the OIA Model.</w:t>
      </w:r>
    </w:p>
    <w:p>
      <w:pPr>
        <w:spacing w:after="200" w:before="0" w:line="340"/>
        <w:ind w:left="0" w:hanging="0"/>
        <w:jc w:val="left"/>
      </w:pPr>
      <w:r>
        <w:rPr>
          <w:rFonts w:ascii="Georgia" w:cs="Georgia" w:eastAsia="Georgia" w:hAnsi="Georgia"/>
          <w:b/>
          <w:bCs/>
          <w:color w:val="1C1C1E"/>
          <w:sz w:val="22"/>
          <w:szCs w:val="22"/>
        </w:rPr>
        <w:t xml:space="preserve">Jurisdictional Sovereignty  </w:t>
      </w:r>
      <w:r>
        <w:rPr>
          <w:rFonts w:ascii="Georgia" w:cs="Georgia" w:eastAsia="Georgia" w:hAnsi="Georgia"/>
          <w:color w:val="1C1C1E"/>
          <w:sz w:val="22"/>
          <w:szCs w:val="22"/>
        </w:rPr>
        <w:t xml:space="preserve">One of three dimensions of sovereignty defined at Layer 2. The property of the legal and regulatory frameworks under which infrastructure operates being controllable by the deploying organisation.</w:t>
      </w:r>
    </w:p>
    <w:p>
      <w:pPr>
        <w:spacing w:after="200" w:before="0" w:line="340"/>
        <w:ind w:left="0" w:hanging="0"/>
        <w:jc w:val="left"/>
      </w:pPr>
      <w:r>
        <w:rPr>
          <w:rFonts w:ascii="Georgia" w:cs="Georgia" w:eastAsia="Georgia" w:hAnsi="Georgia"/>
          <w:b/>
          <w:bCs/>
          <w:color w:val="1C1C1E"/>
          <w:sz w:val="22"/>
          <w:szCs w:val="22"/>
        </w:rPr>
        <w:t xml:space="preserve">Kill Chain  </w:t>
      </w:r>
      <w:r>
        <w:rPr>
          <w:rFonts w:ascii="Georgia" w:cs="Georgia" w:eastAsia="Georgia" w:hAnsi="Georgia"/>
          <w:color w:val="1C1C1E"/>
          <w:sz w:val="22"/>
          <w:szCs w:val="22"/>
        </w:rPr>
        <w:t xml:space="preserve">A sequence of actions through which an adversarial objective is achieved, typically including reconnaissance, access, privilege escalation, lateral movement, and execution of the ultimate objective. Kill-chain detection is a key concern at Layer 7.</w:t>
      </w:r>
    </w:p>
    <w:p>
      <w:pPr>
        <w:spacing w:after="200" w:before="0" w:line="340"/>
        <w:ind w:left="0" w:hanging="0"/>
        <w:jc w:val="left"/>
      </w:pPr>
      <w:r>
        <w:rPr>
          <w:rFonts w:ascii="Georgia" w:cs="Georgia" w:eastAsia="Georgia" w:hAnsi="Georgia"/>
          <w:b/>
          <w:bCs/>
          <w:color w:val="1C1C1E"/>
          <w:sz w:val="22"/>
          <w:szCs w:val="22"/>
        </w:rPr>
        <w:t xml:space="preserve">Layer  </w:t>
      </w:r>
      <w:r>
        <w:rPr>
          <w:rFonts w:ascii="Georgia" w:cs="Georgia" w:eastAsia="Georgia" w:hAnsi="Georgia"/>
          <w:color w:val="1C1C1E"/>
          <w:sz w:val="22"/>
          <w:szCs w:val="22"/>
        </w:rPr>
        <w:t xml:space="preserve">In the OIA Model, one of nine defined architectural divisions, each with a specified purpose, scope, set of key concerns, reference technologies, and open questions. Layers are numbered 0 through 9 from physical foundation to human interface.</w:t>
      </w:r>
    </w:p>
    <w:p>
      <w:pPr>
        <w:spacing w:after="200" w:before="0" w:line="340"/>
        <w:ind w:left="0" w:hanging="0"/>
        <w:jc w:val="left"/>
      </w:pPr>
      <w:r>
        <w:rPr>
          <w:rFonts w:ascii="Georgia" w:cs="Georgia" w:eastAsia="Georgia" w:hAnsi="Georgia"/>
          <w:b/>
          <w:bCs/>
          <w:color w:val="1C1C1E"/>
          <w:sz w:val="22"/>
          <w:szCs w:val="22"/>
        </w:rPr>
        <w:t xml:space="preserve">Memory  </w:t>
      </w:r>
      <w:r>
        <w:rPr>
          <w:rFonts w:ascii="Georgia" w:cs="Georgia" w:eastAsia="Georgia" w:hAnsi="Georgia"/>
          <w:color w:val="1C1C1E"/>
          <w:sz w:val="22"/>
          <w:szCs w:val="22"/>
        </w:rPr>
        <w:t xml:space="preserve">Persistent information retained by an intelligent system across interactions, sessions, or operational lifetimes. Held at Layer 8 and distinguished from context, which is assembled at inference time and may or may not be retained.</w:t>
      </w:r>
    </w:p>
    <w:p>
      <w:pPr>
        <w:spacing w:after="200" w:before="0" w:line="340"/>
        <w:ind w:left="0" w:hanging="0"/>
        <w:jc w:val="left"/>
      </w:pPr>
      <w:r>
        <w:rPr>
          <w:rFonts w:ascii="Georgia" w:cs="Georgia" w:eastAsia="Georgia" w:hAnsi="Georgia"/>
          <w:b/>
          <w:bCs/>
          <w:color w:val="1C1C1E"/>
          <w:sz w:val="22"/>
          <w:szCs w:val="22"/>
        </w:rPr>
        <w:t xml:space="preserve">Model Context Protocol  </w:t>
      </w:r>
      <w:r>
        <w:rPr>
          <w:rFonts w:ascii="Georgia" w:cs="Georgia" w:eastAsia="Georgia" w:hAnsi="Georgia"/>
          <w:color w:val="1C1C1E"/>
          <w:sz w:val="22"/>
          <w:szCs w:val="22"/>
        </w:rPr>
        <w:t xml:space="preserve">An open specification for how intelligent systems discover and invoke tools across boundaries of trust and implementation. Referenced at Layer 7 as the dominant contemporary interoperability protocol.</w:t>
      </w:r>
    </w:p>
    <w:p>
      <w:pPr>
        <w:spacing w:after="200" w:before="0" w:line="340"/>
        <w:ind w:left="0" w:hanging="0"/>
        <w:jc w:val="left"/>
      </w:pPr>
      <w:r>
        <w:rPr>
          <w:rFonts w:ascii="Georgia" w:cs="Georgia" w:eastAsia="Georgia" w:hAnsi="Georgia"/>
          <w:b/>
          <w:bCs/>
          <w:color w:val="1C1C1E"/>
          <w:sz w:val="22"/>
          <w:szCs w:val="22"/>
        </w:rPr>
        <w:t xml:space="preserve">Open Question  </w:t>
      </w:r>
      <w:r>
        <w:rPr>
          <w:rFonts w:ascii="Georgia" w:cs="Georgia" w:eastAsia="Georgia" w:hAnsi="Georgia"/>
          <w:color w:val="1C1C1E"/>
          <w:sz w:val="22"/>
          <w:szCs w:val="22"/>
        </w:rPr>
        <w:t xml:space="preserve">In the OIA Model, an architectural issue on which consensus has not yet emerged, named explicitly at each layer and in cross-layer spans. Open questions signal where reasonable architectural choices diverge and where future versions of the model are likely to require revision.</w:t>
      </w:r>
    </w:p>
    <w:p>
      <w:pPr>
        <w:spacing w:after="200" w:before="0" w:line="340"/>
        <w:ind w:left="0" w:hanging="0"/>
        <w:jc w:val="left"/>
      </w:pPr>
      <w:r>
        <w:rPr>
          <w:rFonts w:ascii="Georgia" w:cs="Georgia" w:eastAsia="Georgia" w:hAnsi="Georgia"/>
          <w:b/>
          <w:bCs/>
          <w:color w:val="1C1C1E"/>
          <w:sz w:val="22"/>
          <w:szCs w:val="22"/>
        </w:rPr>
        <w:t xml:space="preserve">Operational Sovereignty  </w:t>
      </w:r>
      <w:r>
        <w:rPr>
          <w:rFonts w:ascii="Georgia" w:cs="Georgia" w:eastAsia="Georgia" w:hAnsi="Georgia"/>
          <w:color w:val="1C1C1E"/>
          <w:sz w:val="22"/>
          <w:szCs w:val="22"/>
        </w:rPr>
        <w:t xml:space="preserve">One of three dimensions of sovereignty defined at Layer 2. The property of the ability to operate, modify, and audit infrastructure remaining with the deploying organisation.</w:t>
      </w:r>
    </w:p>
    <w:p>
      <w:pPr>
        <w:spacing w:after="200" w:before="0" w:line="340"/>
        <w:ind w:left="0" w:hanging="0"/>
        <w:jc w:val="left"/>
      </w:pPr>
      <w:r>
        <w:rPr>
          <w:rFonts w:ascii="Georgia" w:cs="Georgia" w:eastAsia="Georgia" w:hAnsi="Georgia"/>
          <w:b/>
          <w:bCs/>
          <w:color w:val="1C1C1E"/>
          <w:sz w:val="22"/>
          <w:szCs w:val="22"/>
        </w:rPr>
        <w:t xml:space="preserve">Orchestration  </w:t>
      </w:r>
      <w:r>
        <w:rPr>
          <w:rFonts w:ascii="Georgia" w:cs="Georgia" w:eastAsia="Georgia" w:hAnsi="Georgia"/>
          <w:color w:val="1C1C1E"/>
          <w:sz w:val="22"/>
          <w:szCs w:val="22"/>
        </w:rPr>
        <w:t xml:space="preserve">The coordination of tools, services, and multi-step workflows executed by intelligent systems. The primary concern of Layer 7.</w:t>
      </w:r>
    </w:p>
    <w:p>
      <w:pPr>
        <w:spacing w:after="200" w:before="0" w:line="340"/>
        <w:ind w:left="0" w:hanging="0"/>
        <w:jc w:val="left"/>
      </w:pPr>
      <w:r>
        <w:rPr>
          <w:rFonts w:ascii="Georgia" w:cs="Georgia" w:eastAsia="Georgia" w:hAnsi="Georgia"/>
          <w:b/>
          <w:bCs/>
          <w:color w:val="1C1C1E"/>
          <w:sz w:val="22"/>
          <w:szCs w:val="22"/>
        </w:rPr>
        <w:t xml:space="preserve">Persistence  </w:t>
      </w:r>
      <w:r>
        <w:rPr>
          <w:rFonts w:ascii="Georgia" w:cs="Georgia" w:eastAsia="Georgia" w:hAnsi="Georgia"/>
          <w:color w:val="1C1C1E"/>
          <w:sz w:val="22"/>
          <w:szCs w:val="22"/>
        </w:rPr>
        <w:t xml:space="preserve">One of three defining properties of intelligent systems defined in Section 2.3. The property of intelligent systems maintaining state — including memory, learned behaviour, and accumulated context — across interactions, sessions, and lifecycles.</w:t>
      </w:r>
    </w:p>
    <w:p>
      <w:pPr>
        <w:spacing w:after="200" w:before="0" w:line="340"/>
        <w:ind w:left="0" w:hanging="0"/>
        <w:jc w:val="left"/>
      </w:pPr>
      <w:r>
        <w:rPr>
          <w:rFonts w:ascii="Georgia" w:cs="Georgia" w:eastAsia="Georgia" w:hAnsi="Georgia"/>
          <w:b/>
          <w:bCs/>
          <w:color w:val="1C1C1E"/>
          <w:sz w:val="22"/>
          <w:szCs w:val="22"/>
        </w:rPr>
        <w:t xml:space="preserve">Proof-Gated Learning  </w:t>
      </w:r>
      <w:r>
        <w:rPr>
          <w:rFonts w:ascii="Georgia" w:cs="Georgia" w:eastAsia="Georgia" w:hAnsi="Georgia"/>
          <w:color w:val="1C1C1E"/>
          <w:sz w:val="22"/>
          <w:szCs w:val="22"/>
        </w:rPr>
        <w:t xml:space="preserve">A pattern at Layer 8 in which adaptations to cognitive state are admissible only when they can be demonstrated to satisfy specified safety and coherence properties. Treated in this document as an architectural pattern rather than a specific implementation.</w:t>
      </w:r>
    </w:p>
    <w:p>
      <w:pPr>
        <w:spacing w:after="200" w:before="0" w:line="340"/>
        <w:ind w:left="0" w:hanging="0"/>
        <w:jc w:val="left"/>
      </w:pPr>
      <w:r>
        <w:rPr>
          <w:rFonts w:ascii="Georgia" w:cs="Georgia" w:eastAsia="Georgia" w:hAnsi="Georgia"/>
          <w:b/>
          <w:bCs/>
          <w:color w:val="1C1C1E"/>
          <w:sz w:val="22"/>
          <w:szCs w:val="22"/>
        </w:rPr>
        <w:t xml:space="preserve">Provenance  </w:t>
      </w:r>
      <w:r>
        <w:rPr>
          <w:rFonts w:ascii="Georgia" w:cs="Georgia" w:eastAsia="Georgia" w:hAnsi="Georgia"/>
          <w:color w:val="1C1C1E"/>
          <w:sz w:val="22"/>
          <w:szCs w:val="22"/>
        </w:rPr>
        <w:t xml:space="preserve">The lineage and origin of information, models, decisions, and actions. Addressed as a cross-layer span in Section 14.7.</w:t>
      </w:r>
    </w:p>
    <w:p>
      <w:pPr>
        <w:spacing w:after="200" w:before="0" w:line="340"/>
        <w:ind w:left="0" w:hanging="0"/>
        <w:jc w:val="left"/>
      </w:pPr>
      <w:r>
        <w:rPr>
          <w:rFonts w:ascii="Georgia" w:cs="Georgia" w:eastAsia="Georgia" w:hAnsi="Georgia"/>
          <w:b/>
          <w:bCs/>
          <w:color w:val="1C1C1E"/>
          <w:sz w:val="22"/>
          <w:szCs w:val="22"/>
        </w:rPr>
        <w:t xml:space="preserve">Reference Architecture  </w:t>
      </w:r>
      <w:r>
        <w:rPr>
          <w:rFonts w:ascii="Georgia" w:cs="Georgia" w:eastAsia="Georgia" w:hAnsi="Georgia"/>
          <w:color w:val="1C1C1E"/>
          <w:sz w:val="22"/>
          <w:szCs w:val="22"/>
        </w:rPr>
        <w:t xml:space="preserve">A structural description of a domain's architectural components and their relationships, intended to provide shared vocabulary for practitioners, vendors, regulators, and researchers. The OIA Model is a reference architecture in this sense.</w:t>
      </w:r>
    </w:p>
    <w:p>
      <w:pPr>
        <w:spacing w:after="200" w:before="0" w:line="340"/>
        <w:ind w:left="0" w:hanging="0"/>
        <w:jc w:val="left"/>
      </w:pPr>
      <w:r>
        <w:rPr>
          <w:rFonts w:ascii="Georgia" w:cs="Georgia" w:eastAsia="Georgia" w:hAnsi="Georgia"/>
          <w:b/>
          <w:bCs/>
          <w:color w:val="1C1C1E"/>
          <w:sz w:val="22"/>
          <w:szCs w:val="22"/>
        </w:rPr>
        <w:t xml:space="preserve">Retrieval-Augmented Generation  </w:t>
      </w:r>
      <w:r>
        <w:rPr>
          <w:rFonts w:ascii="Georgia" w:cs="Georgia" w:eastAsia="Georgia" w:hAnsi="Georgia"/>
          <w:color w:val="1C1C1E"/>
          <w:sz w:val="22"/>
          <w:szCs w:val="22"/>
        </w:rPr>
        <w:t xml:space="preserve">A pattern in which generation is grounded in retrieved content. The dominant current pattern for context at Layer 6.</w:t>
      </w:r>
    </w:p>
    <w:p>
      <w:pPr>
        <w:spacing w:after="200" w:before="0" w:line="340"/>
        <w:ind w:left="0" w:hanging="0"/>
        <w:jc w:val="left"/>
      </w:pPr>
      <w:r>
        <w:rPr>
          <w:rFonts w:ascii="Georgia" w:cs="Georgia" w:eastAsia="Georgia" w:hAnsi="Georgia"/>
          <w:b/>
          <w:bCs/>
          <w:color w:val="1C1C1E"/>
          <w:sz w:val="22"/>
          <w:szCs w:val="22"/>
        </w:rPr>
        <w:t xml:space="preserve">Sovereignty  </w:t>
      </w:r>
      <w:r>
        <w:rPr>
          <w:rFonts w:ascii="Georgia" w:cs="Georgia" w:eastAsia="Georgia" w:hAnsi="Georgia"/>
          <w:color w:val="1C1C1E"/>
          <w:sz w:val="22"/>
          <w:szCs w:val="22"/>
        </w:rPr>
        <w:t xml:space="preserve">A property with three dimensions — jurisdictional, operational, and energy — first defined at Layer 2 and treated as a cross-layer span in Section 14.3. The property of control over relevant aspects of a system remaining with the deploying organisation to the degree required by that organisation's policies.</w:t>
      </w:r>
    </w:p>
    <w:p>
      <w:pPr>
        <w:spacing w:after="200" w:before="0" w:line="340"/>
        <w:ind w:left="0" w:hanging="0"/>
        <w:jc w:val="left"/>
      </w:pPr>
      <w:r>
        <w:rPr>
          <w:rFonts w:ascii="Georgia" w:cs="Georgia" w:eastAsia="Georgia" w:hAnsi="Georgia"/>
          <w:b/>
          <w:bCs/>
          <w:color w:val="1C1C1E"/>
          <w:sz w:val="22"/>
          <w:szCs w:val="22"/>
        </w:rPr>
        <w:t xml:space="preserve">Substrate  </w:t>
      </w:r>
      <w:r>
        <w:rPr>
          <w:rFonts w:ascii="Georgia" w:cs="Georgia" w:eastAsia="Georgia" w:hAnsi="Georgia"/>
          <w:color w:val="1C1C1E"/>
          <w:sz w:val="22"/>
          <w:szCs w:val="22"/>
        </w:rPr>
        <w:t xml:space="preserve">In the OIA Model, a foundational state-holding layer. The Agent Data Substrate at Layer 3 is the model's sole substrate — a foundational layer that holds data for other layers to consume. The Continuity Fabric at Layer 8, while also a state-holding layer, is architecturally distinct from a substrate: it is an active fabric that maintains continuity of cognitive state across change, not a foundation beneath the stack.</w:t>
      </w:r>
    </w:p>
    <w:p>
      <w:pPr>
        <w:spacing w:after="200" w:before="0" w:line="340"/>
        <w:ind w:left="0" w:hanging="0"/>
        <w:jc w:val="left"/>
      </w:pPr>
      <w:r>
        <w:rPr>
          <w:rFonts w:ascii="Georgia" w:cs="Georgia" w:eastAsia="Georgia" w:hAnsi="Georgia"/>
          <w:b/>
          <w:bCs/>
          <w:color w:val="1C1C1E"/>
          <w:sz w:val="22"/>
          <w:szCs w:val="22"/>
        </w:rPr>
        <w:t xml:space="preserve">Tool Integrity  </w:t>
      </w:r>
      <w:r>
        <w:rPr>
          <w:rFonts w:ascii="Georgia" w:cs="Georgia" w:eastAsia="Georgia" w:hAnsi="Georgia"/>
          <w:color w:val="1C1C1E"/>
          <w:sz w:val="22"/>
          <w:szCs w:val="22"/>
        </w:rPr>
        <w:t xml:space="preserve">The property of tools available to intelligent systems being authentic, accurately described, and resistant to manipulation including tool poisoning and schema injection. A key concern at Layer 7.</w:t>
      </w:r>
    </w:p>
    <w:p>
      <w:pPr>
        <w:spacing w:after="200" w:before="0" w:line="340"/>
        <w:ind w:left="0" w:hanging="0"/>
        <w:jc w:val="left"/>
      </w:pPr>
      <w:r>
        <w:rPr>
          <w:rFonts w:ascii="Georgia" w:cs="Georgia" w:eastAsia="Georgia" w:hAnsi="Georgia"/>
          <w:b/>
          <w:bCs/>
          <w:color w:val="1C1C1E"/>
          <w:sz w:val="22"/>
          <w:szCs w:val="22"/>
        </w:rPr>
        <w:t xml:space="preserve">Tool Poisoning  </w:t>
      </w:r>
      <w:r>
        <w:rPr>
          <w:rFonts w:ascii="Georgia" w:cs="Georgia" w:eastAsia="Georgia" w:hAnsi="Georgia"/>
          <w:color w:val="1C1C1E"/>
          <w:sz w:val="22"/>
          <w:szCs w:val="22"/>
        </w:rPr>
        <w:t xml:space="preserve">A class of adversarial techniques in which malicious instructions are embedded in tool descriptions, schemas, or metadata with the intent of manipulating intelligent systems that consume those descriptions. Referenced in the tool integrity concern at Layer 7.</w:t>
      </w:r>
    </w:p>
    <w:p>
      <w:pPr>
        <w:spacing w:after="200" w:before="0" w:line="340"/>
        <w:ind w:left="0" w:hanging="0"/>
        <w:jc w:val="left"/>
      </w:pPr>
      <w:r>
        <w:rPr>
          <w:rFonts w:ascii="Georgia" w:cs="Georgia" w:eastAsia="Georgia" w:hAnsi="Georgia"/>
          <w:b/>
          <w:bCs/>
          <w:color w:val="1C1C1E"/>
          <w:sz w:val="22"/>
          <w:szCs w:val="22"/>
        </w:rPr>
        <w:t xml:space="preserve">Witness Chain  </w:t>
      </w:r>
      <w:r>
        <w:rPr>
          <w:rFonts w:ascii="Georgia" w:cs="Georgia" w:eastAsia="Georgia" w:hAnsi="Georgia"/>
          <w:color w:val="1C1C1E"/>
          <w:sz w:val="22"/>
          <w:szCs w:val="22"/>
        </w:rPr>
        <w:t xml:space="preserve">A cryptographic or structural mechanism by which the integrity of cognitive state can be verified by entities outside the system that produced the state. An architectural pattern at Layer 8.</w:t>
      </w:r>
    </w:p>
    <w:p>
      <w:pPr>
        <w:spacing w:after="200" w:before="0" w:line="340"/>
        <w:ind w:left="0" w:hanging="0"/>
        <w:jc w:val="left"/>
      </w:pPr>
      <w:r>
        <w:rPr>
          <w:rFonts w:ascii="Georgia" w:cs="Georgia" w:eastAsia="Georgia" w:hAnsi="Georgia"/>
          <w:b/>
          <w:bCs/>
          <w:color w:val="1C1C1E"/>
          <w:sz w:val="22"/>
          <w:szCs w:val="22"/>
        </w:rPr>
        <w:t xml:space="preserve">Workflow  </w:t>
      </w:r>
      <w:r>
        <w:rPr>
          <w:rFonts w:ascii="Georgia" w:cs="Georgia" w:eastAsia="Georgia" w:hAnsi="Georgia"/>
          <w:color w:val="1C1C1E"/>
          <w:sz w:val="22"/>
          <w:szCs w:val="22"/>
        </w:rPr>
        <w:t xml:space="preserve">The composition of tool invocations, inferences, and actions into a coherent multi-step process. Long-horizon coherence of workflows is a key concern at Layer 7.</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18. References</w:t>
      </w:r>
    </w:p>
    <w:p>
      <w:pPr>
        <w:spacing w:after="200" w:before="0" w:line="340"/>
        <w:jc w:val="left"/>
      </w:pPr>
      <w:r>
        <w:rPr>
          <w:rFonts w:ascii="Georgia" w:cs="Georgia" w:eastAsia="Georgia" w:hAnsi="Georgia"/>
          <w:color w:val="1C1C1E"/>
          <w:sz w:val="22"/>
          <w:szCs w:val="22"/>
        </w:rPr>
        <w:t xml:space="preserve">The references below are organised into seven categories reflecting the kinds of sources the OIA Model draws on. Within each category, references are ordered alphabetically by author or issuing body. Where a reference has been updated since first publication, the most recent authoritative version is cited. Several entries are marked as requiring verification against current published sources prior to final publication.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18.1 Foundational Reference Architectures and Standards</w:t>
      </w:r>
    </w:p>
    <w:p>
      <w:pPr>
        <w:spacing w:after="200" w:before="0" w:line="340"/>
        <w:jc w:val="left"/>
      </w:pPr>
      <w:r>
        <w:rPr>
          <w:rFonts w:ascii="Georgia" w:cs="Georgia" w:eastAsia="Georgia" w:hAnsi="Georgia"/>
          <w:color w:val="1C1C1E"/>
          <w:sz w:val="22"/>
          <w:szCs w:val="22"/>
        </w:rPr>
        <w:t xml:space="preserve">International Organization for Standardization and International Electrotechnical Commission. ISO/IEC 7498-1:1994, Information technology — Open Systems Interconnection — Basic Reference Model: The Basic Model. Geneva: ISO/IEC, 1994.</w:t>
      </w:r>
    </w:p>
    <w:p>
      <w:pPr>
        <w:spacing w:after="200" w:before="0" w:line="340"/>
        <w:jc w:val="left"/>
      </w:pPr>
      <w:r>
        <w:rPr>
          <w:rFonts w:ascii="Georgia" w:cs="Georgia" w:eastAsia="Georgia" w:hAnsi="Georgia"/>
          <w:color w:val="1C1C1E"/>
          <w:sz w:val="22"/>
          <w:szCs w:val="22"/>
        </w:rPr>
        <w:t xml:space="preserve">International Organization for Standardization and International Electrotechnical Commission. ISO/IEC 22237 series, Information technology — Data centre facilities and infrastructures. Geneva: ISO/IEC, 2021 and subsequent parts.</w:t>
      </w:r>
    </w:p>
    <w:p>
      <w:pPr>
        <w:spacing w:after="200" w:before="0" w:line="340"/>
        <w:jc w:val="left"/>
      </w:pPr>
      <w:r>
        <w:rPr>
          <w:rFonts w:ascii="Georgia" w:cs="Georgia" w:eastAsia="Georgia" w:hAnsi="Georgia"/>
          <w:color w:val="1C1C1E"/>
          <w:sz w:val="22"/>
          <w:szCs w:val="22"/>
        </w:rPr>
        <w:t xml:space="preserve">International Organization for Standardization and International Electrotechnical Commission. ISO/IEC 23053:2022, Framework for Artificial Intelligence Systems Using Machine Learning. Geneva: ISO/IEC, 2022.</w:t>
      </w:r>
    </w:p>
    <w:p>
      <w:pPr>
        <w:spacing w:after="200" w:before="0" w:line="340"/>
        <w:jc w:val="left"/>
      </w:pPr>
      <w:r>
        <w:rPr>
          <w:rFonts w:ascii="Georgia" w:cs="Georgia" w:eastAsia="Georgia" w:hAnsi="Georgia"/>
          <w:color w:val="1C1C1E"/>
          <w:sz w:val="22"/>
          <w:szCs w:val="22"/>
        </w:rPr>
        <w:t xml:space="preserve">International Organization for Standardization and International Electrotechnical Commission. ISO/IEC 27001:2022, Information security, cybersecurity and privacy protection — Information security management systems — Requirements. Geneva: ISO/IEC, 2022.</w:t>
      </w:r>
    </w:p>
    <w:p>
      <w:pPr>
        <w:spacing w:after="200" w:before="0" w:line="340"/>
        <w:jc w:val="left"/>
      </w:pPr>
      <w:r>
        <w:rPr>
          <w:rFonts w:ascii="Georgia" w:cs="Georgia" w:eastAsia="Georgia" w:hAnsi="Georgia"/>
          <w:color w:val="1C1C1E"/>
          <w:sz w:val="22"/>
          <w:szCs w:val="22"/>
        </w:rPr>
        <w:t xml:space="preserve">International Organization for Standardization and International Electrotechnical Commission. ISO/IEC 27701:2019, Security techniques — Extension to ISO/IEC 27001 and ISO/IEC 27002 for privacy information management. Geneva: ISO/IEC, 2019.</w:t>
      </w:r>
    </w:p>
    <w:p>
      <w:pPr>
        <w:spacing w:after="200" w:before="0" w:line="340"/>
        <w:jc w:val="left"/>
      </w:pPr>
      <w:r>
        <w:rPr>
          <w:rFonts w:ascii="Georgia" w:cs="Georgia" w:eastAsia="Georgia" w:hAnsi="Georgia"/>
          <w:color w:val="1C1C1E"/>
          <w:sz w:val="22"/>
          <w:szCs w:val="22"/>
        </w:rPr>
        <w:t xml:space="preserve">International Organization for Standardization and International Electrotechnical Commission. ISO/IEC 42001:2023, Information technology — Artificial intelligence — Management system. Geneva: ISO/IEC, 2023.</w:t>
      </w:r>
    </w:p>
    <w:p>
      <w:pPr>
        <w:spacing w:after="200" w:before="0" w:line="340"/>
        <w:jc w:val="left"/>
      </w:pPr>
      <w:r>
        <w:rPr>
          <w:rFonts w:ascii="Georgia" w:cs="Georgia" w:eastAsia="Georgia" w:hAnsi="Georgia"/>
          <w:color w:val="1C1C1E"/>
          <w:sz w:val="22"/>
          <w:szCs w:val="22"/>
        </w:rPr>
        <w:t xml:space="preserve">National Institute of Standards and Technology. Framework for Improving Critical Infrastructure Cybersecurity, Version 2.0. Gaithersburg, MD: NIST, February 2024.</w:t>
      </w:r>
    </w:p>
    <w:p>
      <w:pPr>
        <w:spacing w:after="200" w:before="0" w:line="340"/>
        <w:jc w:val="left"/>
      </w:pPr>
      <w:r>
        <w:rPr>
          <w:rFonts w:ascii="Georgia" w:cs="Georgia" w:eastAsia="Georgia" w:hAnsi="Georgia"/>
          <w:color w:val="1C1C1E"/>
          <w:sz w:val="22"/>
          <w:szCs w:val="22"/>
        </w:rPr>
        <w:t xml:space="preserve">National Institute of Standards and Technology. Artificial Intelligence Risk Management Framework (AI RMF 1.0). Gaithersburg, MD: NIST, January 2023.</w:t>
      </w:r>
    </w:p>
    <w:p>
      <w:pPr>
        <w:spacing w:after="200" w:before="0" w:line="340"/>
        <w:jc w:val="left"/>
      </w:pPr>
      <w:r>
        <w:rPr>
          <w:rFonts w:ascii="Georgia" w:cs="Georgia" w:eastAsia="Georgia" w:hAnsi="Georgia"/>
          <w:color w:val="1C1C1E"/>
          <w:sz w:val="22"/>
          <w:szCs w:val="22"/>
        </w:rPr>
        <w:t xml:space="preserve">National Institute of Standards and Technology. Special Publication 800-207: Zero Trust Architecture. Gaithersburg, MD: NIST, August 2020.</w:t>
      </w:r>
    </w:p>
    <w:p>
      <w:pPr>
        <w:pStyle w:val="Heading2"/>
        <w:keepNext/>
        <w:spacing w:after="200" w:before="480"/>
      </w:pPr>
      <w:r>
        <w:rPr>
          <w:rFonts w:ascii="Helvetica Neue" w:cs="Helvetica Neue" w:eastAsia="Helvetica Neue" w:hAnsi="Helvetica Neue"/>
          <w:b w:val="false"/>
          <w:bCs w:val="false"/>
          <w:color w:val="000000"/>
          <w:sz w:val="26"/>
          <w:szCs w:val="26"/>
        </w:rPr>
        <w:t xml:space="preserve">18.2 Threat and Risk Taxonomies</w:t>
      </w:r>
    </w:p>
    <w:p>
      <w:pPr>
        <w:spacing w:after="200" w:before="0" w:line="340"/>
        <w:jc w:val="left"/>
      </w:pPr>
      <w:r>
        <w:rPr>
          <w:rFonts w:ascii="Georgia" w:cs="Georgia" w:eastAsia="Georgia" w:hAnsi="Georgia"/>
          <w:color w:val="1C1C1E"/>
          <w:sz w:val="22"/>
          <w:szCs w:val="22"/>
        </w:rPr>
        <w:t xml:space="preserve">The MITRE Corporation. ATT&amp;CK: Adversarial Tactics, Techniques, and Common Knowledge. Live taxonomy; version current to document publication. To be cited with specific version and access date in final publication.</w:t>
      </w:r>
    </w:p>
    <w:p>
      <w:pPr>
        <w:spacing w:after="200" w:before="0" w:line="340"/>
        <w:jc w:val="left"/>
      </w:pPr>
      <w:r>
        <w:rPr>
          <w:rFonts w:ascii="Georgia" w:cs="Georgia" w:eastAsia="Georgia" w:hAnsi="Georgia"/>
          <w:color w:val="1C1C1E"/>
          <w:sz w:val="22"/>
          <w:szCs w:val="22"/>
        </w:rPr>
        <w:t xml:space="preserve">The MITRE Corporation. ATLAS: Adversarial Threat Landscape for Artificial-Intelligence Systems. Live taxonomy; version current to document publication. To be cited with specific version and access date in final publication.</w:t>
      </w:r>
    </w:p>
    <w:p>
      <w:pPr>
        <w:spacing w:after="200" w:before="0" w:line="340"/>
        <w:jc w:val="left"/>
      </w:pPr>
      <w:r>
        <w:rPr>
          <w:rFonts w:ascii="Georgia" w:cs="Georgia" w:eastAsia="Georgia" w:hAnsi="Georgia"/>
          <w:color w:val="1C1C1E"/>
          <w:sz w:val="22"/>
          <w:szCs w:val="22"/>
        </w:rPr>
        <w:t xml:space="preserve">OWASP Foundation. OWASP Top 10 for Large Language Model Applications. Current version to be cited with access date in final publication.</w:t>
      </w:r>
    </w:p>
    <w:p>
      <w:pPr>
        <w:spacing w:after="200" w:before="0" w:line="340"/>
        <w:jc w:val="left"/>
      </w:pPr>
      <w:r>
        <w:rPr>
          <w:rFonts w:ascii="Georgia" w:cs="Georgia" w:eastAsia="Georgia" w:hAnsi="Georgia"/>
          <w:color w:val="1C1C1E"/>
          <w:sz w:val="22"/>
          <w:szCs w:val="22"/>
        </w:rPr>
        <w:t xml:space="preserve">OWASP Foundation. OWASP Top 10 for Agentic Systems. Emerging publication; to be cited in final form when stable version is available.</w:t>
      </w:r>
    </w:p>
    <w:p>
      <w:pPr>
        <w:pStyle w:val="Heading2"/>
        <w:keepNext/>
        <w:spacing w:after="200" w:before="480"/>
      </w:pPr>
      <w:r>
        <w:rPr>
          <w:rFonts w:ascii="Helvetica Neue" w:cs="Helvetica Neue" w:eastAsia="Helvetica Neue" w:hAnsi="Helvetica Neue"/>
          <w:b w:val="false"/>
          <w:bCs w:val="false"/>
          <w:color w:val="000000"/>
          <w:sz w:val="26"/>
          <w:szCs w:val="26"/>
        </w:rPr>
        <w:t xml:space="preserve">18.3 Regulatory and Governance Instruments</w:t>
      </w:r>
    </w:p>
    <w:p>
      <w:pPr>
        <w:spacing w:after="200" w:before="0" w:line="340"/>
        <w:jc w:val="left"/>
      </w:pPr>
      <w:r>
        <w:rPr>
          <w:rFonts w:ascii="Georgia" w:cs="Georgia" w:eastAsia="Georgia" w:hAnsi="Georgia"/>
          <w:color w:val="1C1C1E"/>
          <w:sz w:val="22"/>
          <w:szCs w:val="22"/>
        </w:rPr>
        <w:t xml:space="preserve">European Parliament and Council of the European Union. Regulation (EU) 2024/1689 of the European Parliament and of the Council of 13 June 2024 laying down harmonised rules on artificial intelligence (Artificial Intelligence Act). Brussels: Official Journal of the European Union, 2024.</w:t>
      </w:r>
    </w:p>
    <w:p>
      <w:pPr>
        <w:spacing w:after="200" w:before="0" w:line="340"/>
        <w:jc w:val="left"/>
      </w:pPr>
      <w:r>
        <w:rPr>
          <w:rFonts w:ascii="Georgia" w:cs="Georgia" w:eastAsia="Georgia" w:hAnsi="Georgia"/>
          <w:color w:val="1C1C1E"/>
          <w:sz w:val="22"/>
          <w:szCs w:val="22"/>
        </w:rPr>
        <w:t xml:space="preserve">Agence nationale de la sécurité des systèmes d'information. SecNumCloud: Référentiel d'exigences applicables aux prestataires de services cloud. Paris: ANSSI. Current version to be cited with access date in final publication.</w:t>
      </w:r>
    </w:p>
    <w:p>
      <w:pPr>
        <w:spacing w:after="200" w:before="0" w:line="340"/>
        <w:jc w:val="left"/>
      </w:pPr>
      <w:r>
        <w:rPr>
          <w:rFonts w:ascii="Georgia" w:cs="Georgia" w:eastAsia="Georgia" w:hAnsi="Georgia"/>
          <w:color w:val="1C1C1E"/>
          <w:sz w:val="22"/>
          <w:szCs w:val="22"/>
        </w:rPr>
        <w:t xml:space="preserve">Bundesamt für Sicherheit in der Informationstechnik. Cloud Computing Compliance Criteria Catalogue (C5). Bonn: BSI. Current version to be cited with access date in final publication.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18.4 Specifications and Technical Standards</w:t>
      </w:r>
    </w:p>
    <w:p>
      <w:pPr>
        <w:spacing w:after="200" w:before="0" w:line="340"/>
        <w:jc w:val="left"/>
      </w:pPr>
      <w:r>
        <w:rPr>
          <w:rFonts w:ascii="Georgia" w:cs="Georgia" w:eastAsia="Georgia" w:hAnsi="Georgia"/>
          <w:color w:val="1C1C1E"/>
          <w:sz w:val="22"/>
          <w:szCs w:val="22"/>
        </w:rPr>
        <w:t xml:space="preserve">Anthropic. Model Context Protocol Specification. Open specification; version current to document publication. To be cited with specific version and access date in final publication.</w:t>
      </w:r>
    </w:p>
    <w:p>
      <w:pPr>
        <w:spacing w:after="200" w:before="0" w:line="340"/>
        <w:jc w:val="left"/>
      </w:pPr>
      <w:r>
        <w:rPr>
          <w:rFonts w:ascii="Georgia" w:cs="Georgia" w:eastAsia="Georgia" w:hAnsi="Georgia"/>
          <w:color w:val="1C1C1E"/>
          <w:sz w:val="22"/>
          <w:szCs w:val="22"/>
        </w:rPr>
        <w:t xml:space="preserve">World Wide Web Consortium. PROV: The W3C Provenance Specification. W3C Recommendation. To be cited with specific recommendation date in final publication.</w:t>
      </w:r>
    </w:p>
    <w:p>
      <w:pPr>
        <w:spacing w:after="200" w:before="0" w:line="340"/>
        <w:jc w:val="left"/>
      </w:pPr>
      <w:r>
        <w:rPr>
          <w:rFonts w:ascii="Georgia" w:cs="Georgia" w:eastAsia="Georgia" w:hAnsi="Georgia"/>
          <w:color w:val="1C1C1E"/>
          <w:sz w:val="22"/>
          <w:szCs w:val="22"/>
        </w:rPr>
        <w:t xml:space="preserve">World Wide Web Consortium. Web Content Accessibility Guidelines (WCAG) 2.2. W3C Recommendation, October 2023.</w:t>
      </w:r>
    </w:p>
    <w:p>
      <w:pPr>
        <w:spacing w:after="200" w:before="0" w:line="340"/>
        <w:jc w:val="left"/>
      </w:pPr>
      <w:r>
        <w:rPr>
          <w:rFonts w:ascii="Georgia" w:cs="Georgia" w:eastAsia="Georgia" w:hAnsi="Georgia"/>
          <w:color w:val="1C1C1E"/>
          <w:sz w:val="22"/>
          <w:szCs w:val="22"/>
        </w:rPr>
        <w:t xml:space="preserve">World Wide Web Consortium. WebAssembly Core Specification. W3C Recommendation. To be cited with specific version and date in final publication.</w:t>
      </w:r>
    </w:p>
    <w:p>
      <w:pPr>
        <w:spacing w:after="200" w:before="0" w:line="340"/>
        <w:jc w:val="left"/>
      </w:pPr>
      <w:r>
        <w:rPr>
          <w:rFonts w:ascii="Georgia" w:cs="Georgia" w:eastAsia="Georgia" w:hAnsi="Georgia"/>
          <w:color w:val="1C1C1E"/>
          <w:sz w:val="22"/>
          <w:szCs w:val="22"/>
        </w:rPr>
        <w:t xml:space="preserve">The Coalition for Content Provenance and Authenticity. C2PA Technical Specification. Current version to be cited with access date in final publication.</w:t>
      </w:r>
    </w:p>
    <w:p>
      <w:pPr>
        <w:spacing w:after="200" w:before="0" w:line="340"/>
        <w:jc w:val="left"/>
      </w:pPr>
      <w:r>
        <w:rPr>
          <w:rFonts w:ascii="Georgia" w:cs="Georgia" w:eastAsia="Georgia" w:hAnsi="Georgia"/>
          <w:color w:val="1C1C1E"/>
          <w:sz w:val="22"/>
          <w:szCs w:val="22"/>
        </w:rPr>
        <w:t xml:space="preserve">The Khronos Group. OpenCL, Vulkan, and SYCL specifications. Relevant current versions to be cited in final publication.</w:t>
      </w:r>
    </w:p>
    <w:p>
      <w:pPr>
        <w:spacing w:after="200" w:before="0" w:line="340"/>
        <w:jc w:val="left"/>
      </w:pPr>
      <w:r>
        <w:rPr>
          <w:rFonts w:ascii="Georgia" w:cs="Georgia" w:eastAsia="Georgia" w:hAnsi="Georgia"/>
          <w:color w:val="1C1C1E"/>
          <w:sz w:val="22"/>
          <w:szCs w:val="22"/>
        </w:rPr>
        <w:t xml:space="preserve">Cloud Native Computing Foundation. OpenTelemetry specifications and the emerging OpenInference and OpenLLMetry specifications. Current versions to be cited in final publication.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18.5 Published System Cards and Frontier Laboratory Disclosures</w:t>
      </w:r>
    </w:p>
    <w:p>
      <w:pPr>
        <w:spacing w:after="200" w:before="0" w:line="340"/>
        <w:jc w:val="left"/>
      </w:pPr>
      <w:r>
        <w:rPr>
          <w:rFonts w:ascii="Georgia" w:cs="Georgia" w:eastAsia="Georgia" w:hAnsi="Georgia"/>
          <w:color w:val="1C1C1E"/>
          <w:sz w:val="22"/>
          <w:szCs w:val="22"/>
        </w:rPr>
        <w:t xml:space="preserve">Frontier AI laboratories publish model disclosures and system cards that establish the empirical basis for several architectural concerns addressed in the OIA Model, particularly at Layers 4, 5, 7, and 8. Representative publications include system cards from Anthropic, OpenAI, Google DeepMind, Meta AI, and Mistral. Specific system card references relevant to the concerns addressed in Section 2.2 and at Layer 8 are cited in the contexts of those sections and should be preserved with specific document titles, publication dates, and access URLs in the final publication.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18.6 Industry and Analyst Publications</w:t>
      </w:r>
    </w:p>
    <w:p>
      <w:pPr>
        <w:spacing w:after="200" w:before="0" w:line="340"/>
        <w:jc w:val="left"/>
      </w:pPr>
      <w:r>
        <w:rPr>
          <w:rFonts w:ascii="Georgia" w:cs="Georgia" w:eastAsia="Georgia" w:hAnsi="Georgia"/>
          <w:color w:val="1C1C1E"/>
          <w:sz w:val="22"/>
          <w:szCs w:val="22"/>
        </w:rPr>
        <w:t xml:space="preserve">Cembalest, Michael. Misanthropic: on Mythos, bad human behaviors and systems vulnerabilities. Eye on the Market, JP Morgan Asset Management, April 13, 2026. Referenced in Section 2.2 as contextual industry commentary on the contemporary moment in which the OIA Model is published.</w:t>
      </w:r>
    </w:p>
    <w:p>
      <w:pPr>
        <w:spacing w:after="200" w:before="0" w:line="340"/>
        <w:jc w:val="left"/>
      </w:pPr>
      <w:r>
        <w:rPr>
          <w:rFonts w:ascii="Georgia" w:cs="Georgia" w:eastAsia="Georgia" w:hAnsi="Georgia"/>
          <w:color w:val="1C1C1E"/>
          <w:sz w:val="22"/>
          <w:szCs w:val="22"/>
        </w:rPr>
        <w:t xml:space="preserve">Adversarial validation methodologies and test reports from specialist validation laboratories relevant to Layer 7 behavioural governance. Specific publications to be cited with titles and dates in final publication.</w:t>
      </w:r>
    </w:p>
    <w:p>
      <w:pPr>
        <w:spacing w:after="200" w:before="0" w:line="340"/>
        <w:jc w:val="left"/>
      </w:pPr>
      <w:r>
        <w:rPr>
          <w:rFonts w:ascii="Georgia" w:cs="Georgia" w:eastAsia="Georgia" w:hAnsi="Georgia"/>
          <w:color w:val="1C1C1E"/>
          <w:sz w:val="22"/>
          <w:szCs w:val="22"/>
        </w:rPr>
        <w:t xml:space="preserve">Additional industry analyses and vendor publications referenced in specific layer discussions are cited in the body of the document and should be preserved with specific titles, publication dates, and access URLs in the final publication.</w:t>
      </w:r>
    </w:p>
    <w:p>
      <w:pPr>
        <w:pStyle w:val="Heading2"/>
        <w:keepNext/>
        <w:spacing w:after="200" w:before="480"/>
      </w:pPr>
      <w:r>
        <w:rPr>
          <w:rFonts w:ascii="Helvetica Neue" w:cs="Helvetica Neue" w:eastAsia="Helvetica Neue" w:hAnsi="Helvetica Neue"/>
          <w:b w:val="false"/>
          <w:bCs w:val="false"/>
          <w:color w:val="000000"/>
          <w:sz w:val="26"/>
          <w:szCs w:val="26"/>
        </w:rPr>
        <w:t xml:space="preserve">18.7 Research Publications and Open Source Projects</w:t>
      </w:r>
    </w:p>
    <w:p>
      <w:pPr>
        <w:spacing w:after="200" w:before="0" w:line="340"/>
        <w:jc w:val="left"/>
      </w:pPr>
      <w:r>
        <w:rPr>
          <w:rFonts w:ascii="Georgia" w:cs="Georgia" w:eastAsia="Georgia" w:hAnsi="Georgia"/>
          <w:color w:val="1C1C1E"/>
          <w:sz w:val="22"/>
          <w:szCs w:val="22"/>
        </w:rPr>
        <w:t xml:space="preserve">The OIA Model draws on a substantial body of research literature and open source work in its layer definitions and cross-layer treatments. Key areas of reference include research on AI interpretability, activation analysis, and alignment verification, referenced at Layer 8 (Continuity Fabric); research on retrieval-augmented generation, grounding faithfulness, and context management, referenced at Layer 6 (Context and Knowledge); research on continuous adaptation, parameter-efficient fine-tuning, and federated learning, referenced at Layer 4 (Model Training and Adaptation); research on agent orchestration, multi-agent coordination, and kill-chain detection, referenced at Layer 7 (Orchestration and Workflow); and open source projects providing reference implementations at specific layers, including but not limited to the Hugging Face ecosystem, the LangChain and LlamaIndex frameworks, the WebAssembly runtime ecosystem, the Apache Iceberg and Delta Lake table format projects, and the Cloud Native Computing Foundation's AI and observability projects.</w:t>
      </w:r>
    </w:p>
    <w:p>
      <w:pPr>
        <w:spacing w:after="200" w:before="0" w:line="340"/>
        <w:jc w:val="left"/>
      </w:pPr>
      <w:r>
        <w:rPr>
          <w:rFonts w:ascii="Georgia" w:cs="Georgia" w:eastAsia="Georgia" w:hAnsi="Georgia"/>
          <w:color w:val="1C1C1E"/>
          <w:sz w:val="22"/>
          <w:szCs w:val="22"/>
        </w:rPr>
        <w:t xml:space="preserve">Specific research papers and open source projects referenced in individual layer discussions are cited in the body of the document. Given the rapid pace of publication in the domain and the provisional nature of the first version of this document, a comprehensive bibliography of research publications is deferred to subsequent revisions of the model.</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Appendix: Contributors and Acknowledgements</w:t>
      </w:r>
    </w:p>
    <w:p>
      <w:pPr>
        <w:spacing w:after="120" w:before="0"/>
      </w:pPr>
      <w:r>
        <w:t xml:space="preserve"/>
      </w:r>
    </w:p>
    <w:p>
      <w:pPr>
        <w:spacing w:after="480" w:before="0"/>
        <w:jc w:val="center"/>
      </w:pPr>
      <w:r>
        <w:rPr>
          <w:rFonts w:ascii="Helvetica Neue" w:cs="Helvetica Neue" w:eastAsia="Helvetica Neue" w:hAnsi="Helvetica Neue"/>
          <w:b w:val="false"/>
          <w:bCs w:val="false"/>
          <w:i/>
          <w:iCs/>
          <w:caps w:val="false"/>
          <w:color w:val="6E6E73"/>
          <w:sz w:val="22"/>
          <w:szCs w:val="22"/>
        </w:rPr>
        <w:t xml:space="preserve">Placeholder — to be completed after community review</w:t>
      </w:r>
    </w:p>
    <w:p>
      <w:pPr>
        <w:spacing w:after="200" w:before="0" w:line="340"/>
        <w:jc w:val="left"/>
      </w:pPr>
      <w:r>
        <w:rPr>
          <w:rFonts w:ascii="Georgia" w:cs="Georgia" w:eastAsia="Georgia" w:hAnsi="Georgia"/>
          <w:color w:val="1C1C1E"/>
          <w:sz w:val="22"/>
          <w:szCs w:val="22"/>
        </w:rPr>
        <w:t xml:space="preserve">This appendix will acknowledge the individuals and organisations whose contributions shaped the development of the OIA Model. The Agentics Foundation will complete this section after the first round of community review, based on the following categories of acknowledgement:</w:t>
      </w:r>
    </w:p>
    <w:p>
      <w:pPr>
        <w:spacing w:after="200" w:before="0" w:line="340"/>
        <w:jc w:val="left"/>
      </w:pPr>
      <w:r>
        <w:rPr>
          <w:rFonts w:ascii="Georgia" w:cs="Georgia" w:eastAsia="Georgia" w:hAnsi="Georgia"/>
          <w:color w:val="1C1C1E"/>
          <w:sz w:val="22"/>
          <w:szCs w:val="22"/>
        </w:rPr>
        <w:t xml:space="preserve">Contributors to the drafting and revision of the document itself.</w:t>
      </w:r>
    </w:p>
    <w:p>
      <w:pPr>
        <w:spacing w:after="200" w:before="0" w:line="340"/>
        <w:jc w:val="left"/>
      </w:pPr>
      <w:r>
        <w:rPr>
          <w:rFonts w:ascii="Georgia" w:cs="Georgia" w:eastAsia="Georgia" w:hAnsi="Georgia"/>
          <w:color w:val="1C1C1E"/>
          <w:sz w:val="22"/>
          <w:szCs w:val="22"/>
        </w:rPr>
        <w:t xml:space="preserve">Reviewers whose feedback during the consultation period materially improved the model.</w:t>
      </w:r>
    </w:p>
    <w:p>
      <w:pPr>
        <w:spacing w:after="200" w:before="0" w:line="340"/>
        <w:jc w:val="left"/>
      </w:pPr>
      <w:r>
        <w:rPr>
          <w:rFonts w:ascii="Georgia" w:cs="Georgia" w:eastAsia="Georgia" w:hAnsi="Georgia"/>
          <w:color w:val="1C1C1E"/>
          <w:sz w:val="22"/>
          <w:szCs w:val="22"/>
        </w:rPr>
        <w:t xml:space="preserve">Practitioners, vendors, regulators, and researchers who applied the model in practice during the consultation period and whose experience informed its refinement.</w:t>
      </w:r>
    </w:p>
    <w:p>
      <w:pPr>
        <w:spacing w:after="200" w:before="0" w:line="340"/>
        <w:jc w:val="left"/>
      </w:pPr>
      <w:r>
        <w:rPr>
          <w:rFonts w:ascii="Georgia" w:cs="Georgia" w:eastAsia="Georgia" w:hAnsi="Georgia"/>
          <w:color w:val="1C1C1E"/>
          <w:sz w:val="22"/>
          <w:szCs w:val="22"/>
        </w:rPr>
        <w:t xml:space="preserve">Organisations that provided institutional support, publication resources, or standing participation in the Foundation's work.</w:t>
      </w:r>
    </w:p>
    <w:p>
      <w:pPr>
        <w:spacing w:after="200" w:before="0" w:line="340"/>
        <w:jc w:val="left"/>
      </w:pPr>
      <w:r>
        <w:rPr>
          <w:rFonts w:ascii="Georgia" w:cs="Georgia" w:eastAsia="Georgia" w:hAnsi="Georgia"/>
          <w:color w:val="1C1C1E"/>
          <w:sz w:val="22"/>
          <w:szCs w:val="22"/>
        </w:rPr>
        <w:t xml:space="preserve">The acknowledgements will follow the conventions established by comparable reference architecture publications, listing contributors by category and ensuring that no single organisation's involvement implies endorsement, ownership, or commercial interest in the model.</w:t>
      </w:r>
    </w:p>
    <w:p>
      <w:pPr>
        <w:spacing w:after="2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AGENTICS FOUNDATION</w:t>
      </w:r>
    </w:p>
    <w:p>
      <w:pPr>
        <w:spacing w:after="80" w:before="0"/>
        <w:jc w:val="center"/>
      </w:pPr>
      <w:r>
        <w:rPr>
          <w:rFonts w:ascii="Helvetica Neue" w:cs="Helvetica Neue" w:eastAsia="Helvetica Neue" w:hAnsi="Helvetica Neue"/>
          <w:b w:val="false"/>
          <w:bCs w:val="false"/>
          <w:i w:val="false"/>
          <w:iCs w:val="false"/>
          <w:caps w:val="false"/>
          <w:color w:val="6E6E73"/>
          <w:sz w:val="18"/>
          <w:szCs w:val="18"/>
        </w:rPr>
        <w:t xml:space="preserve">The OIA Model — Open Intelligence Architecture</w:t>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Version 0.1 — First Draft for Review · 2026</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720"/>
      <w:outlineLvl w:val="0"/>
    </w:pPr>
    <w:rPr>
      <w:rFonts w:ascii="Helvetica Neue" w:cs="Helvetica Neue" w:eastAsia="Helvetica Neue" w:hAnsi="Helvetica Neue"/>
      <w:color w:val="000000"/>
      <w:sz w:val="40"/>
      <w:szCs w:val="40"/>
    </w:rPr>
  </w:style>
  <w:style w:type="paragraph" w:styleId="Heading2">
    <w:name w:val="Heading 2"/>
    <w:basedOn w:val="Normal"/>
    <w:next w:val="Normal"/>
    <w:qFormat/>
    <w:pPr>
      <w:spacing w:after="200" w:before="480"/>
      <w:outlineLvl w:val="1"/>
    </w:pPr>
    <w:rPr>
      <w:rFonts w:ascii="Helvetica Neue" w:cs="Helvetica Neue" w:eastAsia="Helvetica Neue" w:hAnsi="Helvetica Neue"/>
      <w:color w:val="000000"/>
      <w:sz w:val="26"/>
      <w:szCs w:val="26"/>
    </w:rPr>
  </w:style>
  <w:style w:type="paragraph" w:styleId="Heading3">
    <w:name w:val="Heading 3"/>
    <w:basedOn w:val="Normal"/>
    <w:next w:val="Normal"/>
    <w:qFormat/>
    <w:pPr>
      <w:spacing w:after="160" w:before="320"/>
      <w:outlineLvl w:val="2"/>
    </w:pPr>
    <w:rPr>
      <w:rFonts w:ascii="Helvetica Neue" w:cs="Helvetica Neue" w:eastAsia="Helvetica Neue" w:hAnsi="Helvetica Neue"/>
      <w:b/>
      <w:bCs/>
      <w:color w:val="1C1C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2026-04-19T03:14:54.009Z</dcterms:created>
  <dcterms:modified xsi:type="dcterms:W3CDTF">2026-04-19T03:14:54.009Z</dcterms:modified>
</cp:coreProperties>
</file>

<file path=docProps/custom.xml><?xml version="1.0" encoding="utf-8"?>
<Properties xmlns="http://schemas.openxmlformats.org/officeDocument/2006/custom-properties" xmlns:vt="http://schemas.openxmlformats.org/officeDocument/2006/docPropsVTypes"/>
</file>