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COMPANION TO THE OIA MODEL — VERSION 0.1</w:t>
      </w:r>
    </w:p>
    <w:p>
      <w:pPr>
        <w:spacing w:after="3600" w:before="0"/>
      </w:pPr>
      <w:r>
        <w:t xml:space="preserve"/>
      </w:r>
    </w:p>
    <w:p>
      <w:pPr>
        <w:spacing w:after="360" w:before="0"/>
        <w:jc w:val="center"/>
      </w:pPr>
      <w:r>
        <w:rPr>
          <w:rFonts w:ascii="Helvetica Neue" w:cs="Helvetica Neue" w:eastAsia="Helvetica Neue" w:hAnsi="Helvetica Neue"/>
          <w:b w:val="false"/>
          <w:bCs w:val="false"/>
          <w:i w:val="false"/>
          <w:iCs w:val="false"/>
          <w:caps w:val="false"/>
          <w:color w:val="000000"/>
          <w:sz w:val="64"/>
          <w:szCs w:val="64"/>
        </w:rPr>
        <w:t xml:space="preserve">Decision Log</w:t>
      </w:r>
    </w:p>
    <w:p>
      <w:pPr>
        <w:spacing w:after="160" w:before="0"/>
        <w:jc w:val="center"/>
      </w:pPr>
      <w:r>
        <w:rPr>
          <w:rFonts w:ascii="Helvetica Neue" w:cs="Helvetica Neue" w:eastAsia="Helvetica Neue" w:hAnsi="Helvetica Neue"/>
          <w:b w:val="false"/>
          <w:bCs w:val="false"/>
          <w:i w:val="false"/>
          <w:iCs w:val="false"/>
          <w:caps w:val="false"/>
          <w:color w:val="1C1C1E"/>
          <w:sz w:val="28"/>
          <w:szCs w:val="28"/>
        </w:rPr>
        <w:t xml:space="preserve">Architectural and Editorial Decisions</w:t>
      </w:r>
    </w:p>
    <w:p>
      <w:pPr>
        <w:spacing w:after="240" w:before="0"/>
      </w:pPr>
      <w:r>
        <w:t xml:space="preserve"/>
      </w:r>
    </w:p>
    <w:p>
      <w:pPr>
        <w:spacing w:after="120" w:before="0"/>
        <w:jc w:val="center"/>
      </w:pPr>
      <w:r>
        <w:rPr>
          <w:rFonts w:ascii="Helvetica Neue" w:cs="Helvetica Neue" w:eastAsia="Helvetica Neue" w:hAnsi="Helvetica Neue"/>
          <w:b w:val="false"/>
          <w:bCs w:val="false"/>
          <w:i w:val="false"/>
          <w:iCs w:val="false"/>
          <w:caps w:val="false"/>
          <w:color w:val="6E6E73"/>
          <w:sz w:val="22"/>
          <w:szCs w:val="22"/>
        </w:rPr>
        <w:t xml:space="preserve">Made During the Drafting of the First Version</w:t>
      </w:r>
    </w:p>
    <w:p>
      <w:pPr>
        <w:spacing w:after="4800" w:before="0"/>
      </w:pPr>
      <w:r>
        <w:t xml:space="preserve"/>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Agentics Foundation · 2026</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Purpose</w:t>
      </w:r>
    </w:p>
    <w:p>
      <w:pPr>
        <w:spacing w:after="200" w:before="0" w:line="340"/>
        <w:jc w:val="left"/>
      </w:pPr>
      <w:r>
        <w:rPr>
          <w:rFonts w:ascii="Georgia" w:cs="Georgia" w:eastAsia="Georgia" w:hAnsi="Georgia"/>
          <w:color w:val="1C1C1E"/>
          <w:sz w:val="22"/>
          <w:szCs w:val="22"/>
        </w:rPr>
        <w:t xml:space="preserve">This document accompanies the first draft of the OIA Model. It records the architectural and editorial decisions made during the drafting process, the alternatives that were considered, and the reasoning behind what was chosen.</w:t>
      </w:r>
    </w:p>
    <w:p>
      <w:pPr>
        <w:spacing w:after="200" w:before="0" w:line="340"/>
        <w:jc w:val="left"/>
      </w:pPr>
      <w:r>
        <w:rPr>
          <w:rFonts w:ascii="Georgia" w:cs="Georgia" w:eastAsia="Georgia" w:hAnsi="Georgia"/>
          <w:color w:val="1C1C1E"/>
          <w:sz w:val="22"/>
          <w:szCs w:val="22"/>
        </w:rPr>
        <w:t xml:space="preserve">Its purpose is twofold. First, to help readers understand the shape of the draft without retracing the thinking that produced it — the decisions below took weeks of iteration, and most of the reasoning is not visible in the finished text. Second, to give reviewers a clean way to reopen a decision if they believe we got it wrong. Rather than sending marginalia that tangle with line-edit feedback during review, a reviewer can point at a numbered decision and say reopen this, and the reasoning for the original choice is already on the page.</w:t>
      </w:r>
    </w:p>
    <w:p>
      <w:pPr>
        <w:spacing w:after="200" w:before="0" w:line="340"/>
        <w:jc w:val="left"/>
      </w:pPr>
      <w:r>
        <w:rPr>
          <w:rFonts w:ascii="Georgia" w:cs="Georgia" w:eastAsia="Georgia" w:hAnsi="Georgia"/>
          <w:color w:val="1C1C1E"/>
          <w:sz w:val="22"/>
          <w:szCs w:val="22"/>
        </w:rPr>
        <w:t xml:space="preserve">The decisions are organised into five sections: naming, structure, editorial voice, explicit deferrals, and design. Within each section, decisions are ordered roughly by consequence to the draft as a whole — the decisions that shape the most of the document come first. Where a decision has a specific condition that would cause us to reopen it, the condition is named explicitly as a revisit trigger.</w:t>
      </w:r>
    </w:p>
    <w:p>
      <w:pPr>
        <w:spacing w:after="200" w:before="0" w:line="340"/>
        <w:jc w:val="left"/>
      </w:pPr>
      <w:r>
        <w:rPr>
          <w:rFonts w:ascii="Georgia" w:cs="Georgia" w:eastAsia="Georgia" w:hAnsi="Georgia"/>
          <w:color w:val="1C1C1E"/>
          <w:sz w:val="22"/>
          <w:szCs w:val="22"/>
        </w:rPr>
        <w:t xml:space="preserve">The decisions here are not presented as final. They are presented as deliberate — we considered alternatives, we weighed them, and we chose. Anything we chose can be unchosen if the reasoning that supported it no longer holds.</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I. Naming Decisions</w:t>
      </w:r>
    </w:p>
    <w:p>
      <w:pPr>
        <w:keepNext/>
        <w:spacing w:after="200" w:before="420"/>
        <w:jc w:val="left"/>
      </w:pPr>
      <w:r>
        <w:rPr>
          <w:rFonts w:ascii="Helvetica Neue" w:cs="Helvetica Neue" w:eastAsia="Helvetica Neue" w:hAnsi="Helvetica Neue"/>
          <w:color w:val="6E6E73"/>
          <w:sz w:val="22"/>
          <w:szCs w:val="22"/>
        </w:rPr>
        <w:t xml:space="preserve">01  </w:t>
      </w:r>
      <w:r>
        <w:rPr>
          <w:rFonts w:ascii="Helvetica Neue" w:cs="Helvetica Neue" w:eastAsia="Helvetica Neue" w:hAnsi="Helvetica Neue"/>
          <w:b/>
          <w:bCs/>
          <w:color w:val="1C1C1E"/>
          <w:sz w:val="22"/>
          <w:szCs w:val="22"/>
        </w:rPr>
        <w:t xml:space="preserve">The model is called the OIA Model — Open Intelligence Architecture.</w:t>
      </w:r>
    </w:p>
    <w:p>
      <w:pPr>
        <w:spacing w:after="200" w:before="0" w:line="340"/>
        <w:jc w:val="left"/>
      </w:pPr>
      <w:r>
        <w:rPr>
          <w:rFonts w:ascii="Georgia" w:cs="Georgia" w:eastAsia="Georgia" w:hAnsi="Georgia"/>
          <w:color w:val="1C1C1E"/>
          <w:sz w:val="22"/>
          <w:szCs w:val="22"/>
        </w:rPr>
        <w:t xml:space="preserve">Earlier iterations proposed Sovereign Agentic Architecture (SAA) and Sovereign Agentic Architecture Reference (SAAR). Both were set aside. SAA and SAAR front-loaded the sovereign and agentic qualifiers into the name itself, which bakes in a moment-in-time framing: today's intelligent systems happen to be agentic, and sovereignty is a pressing concern in today's regulatory climate, but reference models that over-commit to the vocabulary of their publication moment age poorly. OSI did not put packet-switched or IP-era in its name. A durable reference architecture names its domain (intelligence) and its posture (open), and leaves the current properties of that domain — agentic, sovereign, autonomous, persistent — to live in the body of the document where they can be refined as the domain evolves. OIA is also shorter, pronounceable as an acronym or expanded, and does not carry unintended associations that the longer candidates did.</w:t>
      </w:r>
    </w:p>
    <w:p>
      <w:pPr>
        <w:spacing w:after="240" w:before="0" w:line="320"/>
        <w:jc w:val="left"/>
      </w:pPr>
      <w:r>
        <w:rPr>
          <w:rFonts w:ascii="Georgia" w:cs="Georgia" w:eastAsia="Georgia" w:hAnsi="Georgia"/>
          <w:i/>
          <w:iCs/>
          <w:color w:val="6E6E73"/>
          <w:sz w:val="20"/>
          <w:szCs w:val="20"/>
        </w:rPr>
        <w:t xml:space="preserve">Revisit trigger. </w:t>
      </w:r>
      <w:r>
        <w:rPr>
          <w:rFonts w:ascii="Georgia" w:cs="Georgia" w:eastAsia="Georgia" w:hAnsi="Georgia"/>
          <w:color w:val="6E6E73"/>
          <w:sz w:val="20"/>
          <w:szCs w:val="20"/>
        </w:rPr>
        <w:t xml:space="preserve">Strong evidence that Open Intelligence Architecture has an existing specific usage in a related domain that would create confusion.</w:t>
      </w:r>
    </w:p>
    <w:p>
      <w:pPr>
        <w:keepNext/>
        <w:spacing w:after="200" w:before="420"/>
        <w:jc w:val="left"/>
      </w:pPr>
      <w:r>
        <w:rPr>
          <w:rFonts w:ascii="Helvetica Neue" w:cs="Helvetica Neue" w:eastAsia="Helvetica Neue" w:hAnsi="Helvetica Neue"/>
          <w:color w:val="6E6E73"/>
          <w:sz w:val="22"/>
          <w:szCs w:val="22"/>
        </w:rPr>
        <w:t xml:space="preserve">02  </w:t>
      </w:r>
      <w:r>
        <w:rPr>
          <w:rFonts w:ascii="Helvetica Neue" w:cs="Helvetica Neue" w:eastAsia="Helvetica Neue" w:hAnsi="Helvetica Neue"/>
          <w:b/>
          <w:bCs/>
          <w:color w:val="1C1C1E"/>
          <w:sz w:val="22"/>
          <w:szCs w:val="22"/>
        </w:rPr>
        <w:t xml:space="preserve">Intelligence is a noun, not an adjective.</w:t>
      </w:r>
    </w:p>
    <w:p>
      <w:pPr>
        <w:spacing w:after="200" w:before="0" w:line="340"/>
        <w:jc w:val="left"/>
      </w:pPr>
      <w:r>
        <w:rPr>
          <w:rFonts w:ascii="Georgia" w:cs="Georgia" w:eastAsia="Georgia" w:hAnsi="Georgia"/>
          <w:color w:val="1C1C1E"/>
          <w:sz w:val="22"/>
          <w:szCs w:val="22"/>
        </w:rPr>
        <w:t xml:space="preserve">The alternative was Open Intelligent Architecture. Rejected for two reasons. First, it mirrors OSI's noun-noun-noun structure poorly — Open Systems Interconnection parses as three nouns, and the OIA expansion should do the same. Second, intelligent as an adjective describes the architecture itself — implying that the architecture is smart — rather than naming the domain the architecture organises. The architecture is not intelligent. The systems it organises exhibit intelligence. The noun form preserves that distinction cleanly and reads as a more mature framing.</w:t>
      </w:r>
    </w:p>
    <w:p>
      <w:pPr>
        <w:keepNext/>
        <w:spacing w:after="200" w:before="420"/>
        <w:jc w:val="left"/>
      </w:pPr>
      <w:r>
        <w:rPr>
          <w:rFonts w:ascii="Helvetica Neue" w:cs="Helvetica Neue" w:eastAsia="Helvetica Neue" w:hAnsi="Helvetica Neue"/>
          <w:color w:val="6E6E73"/>
          <w:sz w:val="22"/>
          <w:szCs w:val="22"/>
        </w:rPr>
        <w:t xml:space="preserve">03  </w:t>
      </w:r>
      <w:r>
        <w:rPr>
          <w:rFonts w:ascii="Helvetica Neue" w:cs="Helvetica Neue" w:eastAsia="Helvetica Neue" w:hAnsi="Helvetica Neue"/>
          <w:b/>
          <w:bCs/>
          <w:color w:val="1C1C1E"/>
          <w:sz w:val="22"/>
          <w:szCs w:val="22"/>
        </w:rPr>
        <w:t xml:space="preserve">Open is the first word, and load-bearing.</w:t>
      </w:r>
    </w:p>
    <w:p>
      <w:pPr>
        <w:spacing w:after="200" w:before="0" w:line="340"/>
        <w:jc w:val="left"/>
      </w:pPr>
      <w:r>
        <w:rPr>
          <w:rFonts w:ascii="Georgia" w:cs="Georgia" w:eastAsia="Georgia" w:hAnsi="Georgia"/>
          <w:color w:val="1C1C1E"/>
          <w:sz w:val="22"/>
          <w:szCs w:val="22"/>
        </w:rPr>
        <w:t xml:space="preserve">Open signals three properties simultaneously: vendor-neutral (no single vendor owns the specification), institutionally published (the Agentics Foundation as the issuing body, parallel to ISO for OSI), and community-extensible (future versions informed by adoption and contribution). The alternative of naming the model without Open — Intelligence Architecture Model or similar — loses all three signals. The word is short enough to carry its weight and has a strong precedent in Open Systems Interconnection, which is part of why the OSI pattern is immediately recognisable in the OIA framing.</w:t>
      </w:r>
    </w:p>
    <w:p>
      <w:pPr>
        <w:keepNext/>
        <w:spacing w:after="200" w:before="420"/>
        <w:jc w:val="left"/>
      </w:pPr>
      <w:r>
        <w:rPr>
          <w:rFonts w:ascii="Helvetica Neue" w:cs="Helvetica Neue" w:eastAsia="Helvetica Neue" w:hAnsi="Helvetica Neue"/>
          <w:color w:val="6E6E73"/>
          <w:sz w:val="22"/>
          <w:szCs w:val="22"/>
        </w:rPr>
        <w:t xml:space="preserve">04  </w:t>
      </w:r>
      <w:r>
        <w:rPr>
          <w:rFonts w:ascii="Helvetica Neue" w:cs="Helvetica Neue" w:eastAsia="Helvetica Neue" w:hAnsi="Helvetica Neue"/>
          <w:b/>
          <w:bCs/>
          <w:color w:val="1C1C1E"/>
          <w:sz w:val="22"/>
          <w:szCs w:val="22"/>
        </w:rPr>
        <w:t xml:space="preserve">Layer 8 is called the Continuity Fabric.</w:t>
      </w:r>
    </w:p>
    <w:p>
      <w:pPr>
        <w:spacing w:after="200" w:before="0" w:line="340"/>
        <w:jc w:val="left"/>
      </w:pPr>
      <w:r>
        <w:rPr>
          <w:rFonts w:ascii="Georgia" w:cs="Georgia" w:eastAsia="Georgia" w:hAnsi="Georgia"/>
          <w:color w:val="1C1C1E"/>
          <w:sz w:val="22"/>
          <w:szCs w:val="22"/>
        </w:rPr>
        <w:t xml:space="preserve">This name was chosen after iterating through four candidates: Cognitive Substrate, Cognitive Core, Cognitive Container, and finally Continuity Fabric. Cognitive Substrate was rejected because it forced an architectural symmetry with Layer 3 (Agent Data Substrate) that the layer does not actually have — Layer 3 is a foundation that persists data for other layers to consume, while Layer 8 is an active layer that maintains continuity through change. Calling both substrates misrepresents Layer 8's function. Core was rejected as self-aggrandising; the layer is consequential but it is not the core of the model. Container was rejected as brand-captured — RuVector's RVF technology uses container framing, and the model's layer names should not shade toward any contributor's product vocabulary. Continuity Fabric names what the layer does rather than what it contains: it provides continuity — of memory, of learning, of judgment, of identity — through the transitions the rest of the stack undergoes. The asymmetry between Layer 3 (substrate) and Layer 8 (fabric) is architecturally honest and is reinforced in the Scope subsection of each layer definition and in the Glossary entry for Substrate.</w:t>
      </w:r>
    </w:p>
    <w:p>
      <w:pPr>
        <w:spacing w:after="240" w:before="0" w:line="320"/>
        <w:jc w:val="left"/>
      </w:pPr>
      <w:r>
        <w:rPr>
          <w:rFonts w:ascii="Georgia" w:cs="Georgia" w:eastAsia="Georgia" w:hAnsi="Georgia"/>
          <w:i/>
          <w:iCs/>
          <w:color w:val="6E6E73"/>
          <w:sz w:val="20"/>
          <w:szCs w:val="20"/>
        </w:rPr>
        <w:t xml:space="preserve">Revisit trigger. </w:t>
      </w:r>
      <w:r>
        <w:rPr>
          <w:rFonts w:ascii="Georgia" w:cs="Georgia" w:eastAsia="Georgia" w:hAnsi="Georgia"/>
          <w:color w:val="6E6E73"/>
          <w:sz w:val="20"/>
          <w:szCs w:val="20"/>
        </w:rPr>
        <w:t xml:space="preserve">A better name that preserves both the active-layer quality and the continuity-through-change function. Fabric is the weakest component of the name if any word is — it is a common technology term that could drift.</w:t>
      </w:r>
    </w:p>
    <w:p>
      <w:pPr>
        <w:keepNext/>
        <w:spacing w:after="200" w:before="420"/>
        <w:jc w:val="left"/>
      </w:pPr>
      <w:r>
        <w:rPr>
          <w:rFonts w:ascii="Helvetica Neue" w:cs="Helvetica Neue" w:eastAsia="Helvetica Neue" w:hAnsi="Helvetica Neue"/>
          <w:color w:val="6E6E73"/>
          <w:sz w:val="22"/>
          <w:szCs w:val="22"/>
        </w:rPr>
        <w:t xml:space="preserve">05  </w:t>
      </w:r>
      <w:r>
        <w:rPr>
          <w:rFonts w:ascii="Helvetica Neue" w:cs="Helvetica Neue" w:eastAsia="Helvetica Neue" w:hAnsi="Helvetica Neue"/>
          <w:b/>
          <w:bCs/>
          <w:color w:val="1C1C1E"/>
          <w:sz w:val="22"/>
          <w:szCs w:val="22"/>
        </w:rPr>
        <w:t xml:space="preserve">Layer 3 keeps the name Agent Data Substrate.</w:t>
      </w:r>
    </w:p>
    <w:p>
      <w:pPr>
        <w:spacing w:after="200" w:before="0" w:line="340"/>
        <w:jc w:val="left"/>
      </w:pPr>
      <w:r>
        <w:rPr>
          <w:rFonts w:ascii="Georgia" w:cs="Georgia" w:eastAsia="Georgia" w:hAnsi="Georgia"/>
          <w:color w:val="1C1C1E"/>
          <w:sz w:val="22"/>
          <w:szCs w:val="22"/>
        </w:rPr>
        <w:t xml:space="preserve">Earlier drafts briefly considered simpler alternatives — Data Layer, Agent Data Layer. Agent Data Substrate was retained because substrate correctly signals its role as a foundational state-holding layer, the base that higher layers consume data from, and agent correctly scopes it to data consumed by agentic systems rather than data generally. The name also sets up the deliberate asymmetry with Layer 8's fabric naming established in Decision 04.</w:t>
      </w:r>
    </w:p>
    <w:p>
      <w:pPr>
        <w:keepNext/>
        <w:spacing w:after="200" w:before="420"/>
        <w:jc w:val="left"/>
      </w:pPr>
      <w:r>
        <w:rPr>
          <w:rFonts w:ascii="Helvetica Neue" w:cs="Helvetica Neue" w:eastAsia="Helvetica Neue" w:hAnsi="Helvetica Neue"/>
          <w:color w:val="6E6E73"/>
          <w:sz w:val="22"/>
          <w:szCs w:val="22"/>
        </w:rPr>
        <w:t xml:space="preserve">06  </w:t>
      </w:r>
      <w:r>
        <w:rPr>
          <w:rFonts w:ascii="Helvetica Neue" w:cs="Helvetica Neue" w:eastAsia="Helvetica Neue" w:hAnsi="Helvetica Neue"/>
          <w:b/>
          <w:bCs/>
          <w:color w:val="1C1C1E"/>
          <w:sz w:val="22"/>
          <w:szCs w:val="22"/>
        </w:rPr>
        <w:t xml:space="preserve">The asymmetry between Layers 3 and 8 is an architectural feature, not an awkwardness.</w:t>
      </w:r>
    </w:p>
    <w:p>
      <w:pPr>
        <w:spacing w:after="200" w:before="0" w:line="340"/>
        <w:jc w:val="left"/>
      </w:pPr>
      <w:r>
        <w:rPr>
          <w:rFonts w:ascii="Georgia" w:cs="Georgia" w:eastAsia="Georgia" w:hAnsi="Georgia"/>
          <w:color w:val="1C1C1E"/>
          <w:sz w:val="22"/>
          <w:szCs w:val="22"/>
        </w:rPr>
        <w:t xml:space="preserve">Several drafts attempted to produce symmetric names for the two state-holding layers. All of them either forced Layer 8 into a substrate framing that misrepresents its function, or pulled Layer 3 toward a fabric framing that overstates its activity. The final decision is to let the asymmetry stand and explain it — Section 3.3, the Scope subsection of both layers, and the Glossary entry for Substrate all make the distinction explicit. Readers who notice the asymmetry and ask why are asking the right question, and the document has a good answer.</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II. Structural Decisions</w:t>
      </w:r>
    </w:p>
    <w:p>
      <w:pPr>
        <w:keepNext/>
        <w:spacing w:after="200" w:before="420"/>
        <w:jc w:val="left"/>
      </w:pPr>
      <w:r>
        <w:rPr>
          <w:rFonts w:ascii="Helvetica Neue" w:cs="Helvetica Neue" w:eastAsia="Helvetica Neue" w:hAnsi="Helvetica Neue"/>
          <w:color w:val="6E6E73"/>
          <w:sz w:val="22"/>
          <w:szCs w:val="22"/>
        </w:rPr>
        <w:t xml:space="preserve">07  </w:t>
      </w:r>
      <w:r>
        <w:rPr>
          <w:rFonts w:ascii="Helvetica Neue" w:cs="Helvetica Neue" w:eastAsia="Helvetica Neue" w:hAnsi="Helvetica Neue"/>
          <w:b/>
          <w:bCs/>
          <w:color w:val="1C1C1E"/>
          <w:sz w:val="22"/>
          <w:szCs w:val="22"/>
        </w:rPr>
        <w:t xml:space="preserve">Nine layers, not seven or twelve.</w:t>
      </w:r>
    </w:p>
    <w:p>
      <w:pPr>
        <w:spacing w:after="200" w:before="0" w:line="340"/>
        <w:jc w:val="left"/>
      </w:pPr>
      <w:r>
        <w:rPr>
          <w:rFonts w:ascii="Georgia" w:cs="Georgia" w:eastAsia="Georgia" w:hAnsi="Georgia"/>
          <w:color w:val="1C1C1E"/>
          <w:sz w:val="22"/>
          <w:szCs w:val="22"/>
        </w:rPr>
        <w:t xml:space="preserve">The number of layers is the single most consequential structural decision. Seven would have mapped more cleanly to OSI, which has rhetorical advantages, but would have forced the concerns of intelligent systems into fewer positions than they naturally occupy — specifically, either the continuity fabric or the training and adaptation layer would have had to be folded into an adjacent layer, and both have structural requirements that cannot be localised into another layer without displacement. Twelve would have allowed finer distinctions (separate layers for retrieval and inference, separate layers for memory and learning within the continuity fabric) but would have made the model less memorable, less teachable, and harder to adopt as a shared vocabulary. Nine is the smallest number that gives each distinct architectural concern a structural home without forced merging. It is also a common reference-architecture length — the OSI seven plus two layers (physical compute at Layer 0 and continuity at Layer 8) for concerns OSI did not address.</w:t>
      </w:r>
    </w:p>
    <w:p>
      <w:pPr>
        <w:keepNext/>
        <w:spacing w:after="200" w:before="420"/>
        <w:jc w:val="left"/>
      </w:pPr>
      <w:r>
        <w:rPr>
          <w:rFonts w:ascii="Helvetica Neue" w:cs="Helvetica Neue" w:eastAsia="Helvetica Neue" w:hAnsi="Helvetica Neue"/>
          <w:color w:val="6E6E73"/>
          <w:sz w:val="22"/>
          <w:szCs w:val="22"/>
        </w:rPr>
        <w:t xml:space="preserve">08  </w:t>
      </w:r>
      <w:r>
        <w:rPr>
          <w:rFonts w:ascii="Helvetica Neue" w:cs="Helvetica Neue" w:eastAsia="Helvetica Neue" w:hAnsi="Helvetica Neue"/>
          <w:b/>
          <w:bCs/>
          <w:color w:val="1C1C1E"/>
          <w:sz w:val="22"/>
          <w:szCs w:val="22"/>
        </w:rPr>
        <w:t xml:space="preserve">Bottom-up numbering starting at Layer 0.</w:t>
      </w:r>
    </w:p>
    <w:p>
      <w:pPr>
        <w:spacing w:after="200" w:before="0" w:line="340"/>
        <w:jc w:val="left"/>
      </w:pPr>
      <w:r>
        <w:rPr>
          <w:rFonts w:ascii="Georgia" w:cs="Georgia" w:eastAsia="Georgia" w:hAnsi="Georgia"/>
          <w:color w:val="1C1C1E"/>
          <w:sz w:val="22"/>
          <w:szCs w:val="22"/>
        </w:rPr>
        <w:t xml:space="preserve">OSI uses bottom-up numbering starting at Layer 1. The OIA Model starts at Layer 0 to make explicit the foundational dependency of intelligent systems on physical compute — a dependency that OSI treats as abstractable but that for intelligent systems is not. Energy, semiconductor supply, and physical siting constrain what is architecturally possible at higher layers in a way that does not apply to networking. Numbering the physical layer as Layer 0 rather than Layer 1 preserves OSI's top-to-bottom layer relationships while making the foundational nature of physical compute architecturally explicit. The decision is also modest homage to computer science convention, in which counting starts at zero for reasons that matter.</w:t>
      </w:r>
    </w:p>
    <w:p>
      <w:pPr>
        <w:keepNext/>
        <w:spacing w:after="200" w:before="420"/>
        <w:jc w:val="left"/>
      </w:pPr>
      <w:r>
        <w:rPr>
          <w:rFonts w:ascii="Helvetica Neue" w:cs="Helvetica Neue" w:eastAsia="Helvetica Neue" w:hAnsi="Helvetica Neue"/>
          <w:color w:val="6E6E73"/>
          <w:sz w:val="22"/>
          <w:szCs w:val="22"/>
        </w:rPr>
        <w:t xml:space="preserve">09  </w:t>
      </w:r>
      <w:r>
        <w:rPr>
          <w:rFonts w:ascii="Helvetica Neue" w:cs="Helvetica Neue" w:eastAsia="Helvetica Neue" w:hAnsi="Helvetica Neue"/>
          <w:b/>
          <w:bCs/>
          <w:color w:val="1C1C1E"/>
          <w:sz w:val="22"/>
          <w:szCs w:val="22"/>
        </w:rPr>
        <w:t xml:space="preserve">State-holding layers bracket the operational layers.</w:t>
      </w:r>
    </w:p>
    <w:p>
      <w:pPr>
        <w:spacing w:after="200" w:before="0" w:line="340"/>
        <w:jc w:val="left"/>
      </w:pPr>
      <w:r>
        <w:rPr>
          <w:rFonts w:ascii="Georgia" w:cs="Georgia" w:eastAsia="Georgia" w:hAnsi="Georgia"/>
          <w:color w:val="1C1C1E"/>
          <w:sz w:val="22"/>
          <w:szCs w:val="22"/>
        </w:rPr>
        <w:t xml:space="preserve">Layer 3 (Agent Data Substrate) and Layer 8 (Continuity Fabric) sit on either side of the operational layers (4 through 7). This pairing is architecturally deliberate: the operational layers depend on both forms of state (data and cognitive), and locating one state-holding layer below the operational layers and one above them makes the bidirectional dependency structurally visible. An alternative would have been to place both state-holding layers at adjacent positions, for example Layers 3 and 4, but this would have produced a model where the operational layers depended on state only below them, which misrepresents how intelligent systems actually work.</w:t>
      </w:r>
    </w:p>
    <w:p>
      <w:pPr>
        <w:keepNext/>
        <w:spacing w:after="200" w:before="420"/>
        <w:jc w:val="left"/>
      </w:pPr>
      <w:r>
        <w:rPr>
          <w:rFonts w:ascii="Helvetica Neue" w:cs="Helvetica Neue" w:eastAsia="Helvetica Neue" w:hAnsi="Helvetica Neue"/>
          <w:color w:val="6E6E73"/>
          <w:sz w:val="22"/>
          <w:szCs w:val="22"/>
        </w:rPr>
        <w:t xml:space="preserve">10  </w:t>
      </w:r>
      <w:r>
        <w:rPr>
          <w:rFonts w:ascii="Helvetica Neue" w:cs="Helvetica Neue" w:eastAsia="Helvetica Neue" w:hAnsi="Helvetica Neue"/>
          <w:b/>
          <w:bCs/>
          <w:color w:val="1C1C1E"/>
          <w:sz w:val="22"/>
          <w:szCs w:val="22"/>
        </w:rPr>
        <w:t xml:space="preserve">Cross-layer concerns are a separate section, not distributed into each layer.</w:t>
      </w:r>
    </w:p>
    <w:p>
      <w:pPr>
        <w:spacing w:after="200" w:before="0" w:line="340"/>
        <w:jc w:val="left"/>
      </w:pPr>
      <w:r>
        <w:rPr>
          <w:rFonts w:ascii="Georgia" w:cs="Georgia" w:eastAsia="Georgia" w:hAnsi="Georgia"/>
          <w:color w:val="1C1C1E"/>
          <w:sz w:val="22"/>
          <w:szCs w:val="22"/>
        </w:rPr>
        <w:t xml:space="preserve">Six classes of concern — security, sovereignty, auditability, identity, energy, provenance — cut across multiple layers. They could have been addressed by adding a cross-cutting subsection to every layer definition. We chose instead to address them in a single Section 14 and reference the individual layer treatments from there. The reason is honesty about which concerns are genuinely layered and which are genuinely cross-cutting. Distributing them into each layer produces the illusion that they are layered concerns with local treatments, which invites the failure modes we describe in Section 14.1 (displacement and omission). A separate section marks them as genuinely cross-cutting and creates space to treat their interactions.</w:t>
      </w:r>
    </w:p>
    <w:p>
      <w:pPr>
        <w:keepNext/>
        <w:spacing w:after="200" w:before="420"/>
        <w:jc w:val="left"/>
      </w:pPr>
      <w:r>
        <w:rPr>
          <w:rFonts w:ascii="Helvetica Neue" w:cs="Helvetica Neue" w:eastAsia="Helvetica Neue" w:hAnsi="Helvetica Neue"/>
          <w:color w:val="6E6E73"/>
          <w:sz w:val="22"/>
          <w:szCs w:val="22"/>
        </w:rPr>
        <w:t xml:space="preserve">11  </w:t>
      </w:r>
      <w:r>
        <w:rPr>
          <w:rFonts w:ascii="Helvetica Neue" w:cs="Helvetica Neue" w:eastAsia="Helvetica Neue" w:hAnsi="Helvetica Neue"/>
          <w:b/>
          <w:bCs/>
          <w:color w:val="1C1C1E"/>
          <w:sz w:val="22"/>
          <w:szCs w:val="22"/>
        </w:rPr>
        <w:t xml:space="preserve">Six spans, not four or eight.</w:t>
      </w:r>
    </w:p>
    <w:p>
      <w:pPr>
        <w:spacing w:after="200" w:before="0" w:line="340"/>
        <w:jc w:val="left"/>
      </w:pPr>
      <w:r>
        <w:rPr>
          <w:rFonts w:ascii="Georgia" w:cs="Georgia" w:eastAsia="Georgia" w:hAnsi="Georgia"/>
          <w:color w:val="1C1C1E"/>
          <w:sz w:val="22"/>
          <w:szCs w:val="22"/>
        </w:rPr>
        <w:t xml:space="preserve">Narrower taxonomies (four spans: security, sovereignty, auditability, provenance) would have been defensible but would have merged concerns that have distinct architectural treatments — energy has a different character from security, and identity has a different character from auditability. Broader taxonomies (eight or more) would have produced finer distinctions at the cost of memorability and at the cost of overlap with concerns already addressed in individual layer definitions. Six is the smallest number that gives each genuinely distinct cross-cutting concern its own span without forcing overlap. Section 14.8 explicitly acknowledges that the six spans interact and that future versions may refine the set.</w:t>
      </w:r>
    </w:p>
    <w:p>
      <w:pPr>
        <w:keepNext/>
        <w:spacing w:after="200" w:before="420"/>
        <w:jc w:val="left"/>
      </w:pPr>
      <w:r>
        <w:rPr>
          <w:rFonts w:ascii="Helvetica Neue" w:cs="Helvetica Neue" w:eastAsia="Helvetica Neue" w:hAnsi="Helvetica Neue"/>
          <w:color w:val="6E6E73"/>
          <w:sz w:val="22"/>
          <w:szCs w:val="22"/>
        </w:rPr>
        <w:t xml:space="preserve">12  </w:t>
      </w:r>
      <w:r>
        <w:rPr>
          <w:rFonts w:ascii="Helvetica Neue" w:cs="Helvetica Neue" w:eastAsia="Helvetica Neue" w:hAnsi="Helvetica Neue"/>
          <w:b/>
          <w:bCs/>
          <w:color w:val="1C1C1E"/>
          <w:sz w:val="22"/>
          <w:szCs w:val="22"/>
        </w:rPr>
        <w:t xml:space="preserve">Each layer ends with Open Questions.</w:t>
      </w:r>
    </w:p>
    <w:p>
      <w:pPr>
        <w:spacing w:after="200" w:before="0" w:line="340"/>
        <w:jc w:val="left"/>
      </w:pPr>
      <w:r>
        <w:rPr>
          <w:rFonts w:ascii="Georgia" w:cs="Georgia" w:eastAsia="Georgia" w:hAnsi="Georgia"/>
          <w:color w:val="1C1C1E"/>
          <w:sz w:val="22"/>
          <w:szCs w:val="22"/>
        </w:rPr>
        <w:t xml:space="preserve">Every layer definition closes with a subsection naming architectural issues on which consensus has not yet emerged. This is intentional and is one of the strongest editorial disciplines in the document. Reference architectures that present themselves as complete invite criticism by claiming more certainty than the domain supports. Naming open questions explicitly signals intellectual honesty, creates the conditions for community contribution, and — importantly — gives reviewers a structured place to push back without challenging the whole layer definition. Reviewers who disagree with how a layer addresses a concern can propose that the disagreement belongs in Open Questions rather than requiring the layer to be rewritten.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III. Editorial and Voice Decisions</w:t>
      </w:r>
    </w:p>
    <w:p>
      <w:pPr>
        <w:keepNext/>
        <w:spacing w:after="200" w:before="420"/>
        <w:jc w:val="left"/>
      </w:pPr>
      <w:r>
        <w:rPr>
          <w:rFonts w:ascii="Helvetica Neue" w:cs="Helvetica Neue" w:eastAsia="Helvetica Neue" w:hAnsi="Helvetica Neue"/>
          <w:color w:val="6E6E73"/>
          <w:sz w:val="22"/>
          <w:szCs w:val="22"/>
        </w:rPr>
        <w:t xml:space="preserve">13  </w:t>
      </w:r>
      <w:r>
        <w:rPr>
          <w:rFonts w:ascii="Helvetica Neue" w:cs="Helvetica Neue" w:eastAsia="Helvetica Neue" w:hAnsi="Helvetica Neue"/>
          <w:b/>
          <w:bCs/>
          <w:color w:val="1C1C1E"/>
          <w:sz w:val="22"/>
          <w:szCs w:val="22"/>
        </w:rPr>
        <w:t xml:space="preserve">The document is written in institutional third-person voice throughout.</w:t>
      </w:r>
    </w:p>
    <w:p>
      <w:pPr>
        <w:spacing w:after="200" w:before="0" w:line="340"/>
        <w:jc w:val="left"/>
      </w:pPr>
      <w:r>
        <w:rPr>
          <w:rFonts w:ascii="Georgia" w:cs="Georgia" w:eastAsia="Georgia" w:hAnsi="Georgia"/>
          <w:color w:val="1C1C1E"/>
          <w:sz w:val="22"/>
          <w:szCs w:val="22"/>
        </w:rPr>
        <w:t xml:space="preserve">The voice is the voice of the Agentics Foundation, not of any individual contributor. This is parallel to ISO and NIST publications, which do not read as the work of named authors. Institutional voice does three things: it signals that the model is published by an organisation rather than a person — which is what gives reference architectures their durability — it prevents the document from being read as a single person's opinion, and it creates space for the Foreword to do something different. The voice is consistent from Section 1 through Section 18 and the Appendix.</w:t>
      </w:r>
    </w:p>
    <w:p>
      <w:pPr>
        <w:keepNext/>
        <w:spacing w:after="200" w:before="420"/>
        <w:jc w:val="left"/>
      </w:pPr>
      <w:r>
        <w:rPr>
          <w:rFonts w:ascii="Helvetica Neue" w:cs="Helvetica Neue" w:eastAsia="Helvetica Neue" w:hAnsi="Helvetica Neue"/>
          <w:color w:val="6E6E73"/>
          <w:sz w:val="22"/>
          <w:szCs w:val="22"/>
        </w:rPr>
        <w:t xml:space="preserve">14  </w:t>
      </w:r>
      <w:r>
        <w:rPr>
          <w:rFonts w:ascii="Helvetica Neue" w:cs="Helvetica Neue" w:eastAsia="Helvetica Neue" w:hAnsi="Helvetica Neue"/>
          <w:b/>
          <w:bCs/>
          <w:color w:val="1C1C1E"/>
          <w:sz w:val="22"/>
          <w:szCs w:val="22"/>
        </w:rPr>
        <w:t xml:space="preserve">The Foreword is Reuven's voice — the one exception.</w:t>
      </w:r>
    </w:p>
    <w:p>
      <w:pPr>
        <w:spacing w:after="200" w:before="0" w:line="340"/>
        <w:jc w:val="left"/>
      </w:pPr>
      <w:r>
        <w:rPr>
          <w:rFonts w:ascii="Georgia" w:cs="Georgia" w:eastAsia="Georgia" w:hAnsi="Georgia"/>
          <w:color w:val="1C1C1E"/>
          <w:sz w:val="22"/>
          <w:szCs w:val="22"/>
        </w:rPr>
        <w:t xml:space="preserve">The Foreword is the only part of the document written in a named individual's voice. This is a deliberate asymmetry, modelled on how reference publications typically handle this relationship: an institutional body publishes the document, and a named author contributes the preface. The Foreword establishes the why-now framing with direct personal authority (Ask any enterprise architect…, We are in one of those moments now, Three reasons…), which the body of the document could not do without breaking its institutional voice. The Foreword closes with a signature and organisational affiliation; the body opens with The OIA Model defines… and stays there. Editorial discipline throughout the rest of the document depends on keeping the Foreword's personal register from leaking past the page break.</w:t>
      </w:r>
    </w:p>
    <w:p>
      <w:pPr>
        <w:keepNext/>
        <w:spacing w:after="200" w:before="420"/>
        <w:jc w:val="left"/>
      </w:pPr>
      <w:r>
        <w:rPr>
          <w:rFonts w:ascii="Helvetica Neue" w:cs="Helvetica Neue" w:eastAsia="Helvetica Neue" w:hAnsi="Helvetica Neue"/>
          <w:color w:val="6E6E73"/>
          <w:sz w:val="22"/>
          <w:szCs w:val="22"/>
        </w:rPr>
        <w:t xml:space="preserve">15  </w:t>
      </w:r>
      <w:r>
        <w:rPr>
          <w:rFonts w:ascii="Helvetica Neue" w:cs="Helvetica Neue" w:eastAsia="Helvetica Neue" w:hAnsi="Helvetica Neue"/>
          <w:b/>
          <w:bCs/>
          <w:color w:val="1C1C1E"/>
          <w:sz w:val="22"/>
          <w:szCs w:val="22"/>
        </w:rPr>
        <w:t xml:space="preserve">No Cognitum, Snapper, or ACIUM branding in the body of the document.</w:t>
      </w:r>
    </w:p>
    <w:p>
      <w:pPr>
        <w:spacing w:after="200" w:before="0" w:line="340"/>
        <w:jc w:val="left"/>
      </w:pPr>
      <w:r>
        <w:rPr>
          <w:rFonts w:ascii="Georgia" w:cs="Georgia" w:eastAsia="Georgia" w:hAnsi="Georgia"/>
          <w:color w:val="1C1C1E"/>
          <w:sz w:val="22"/>
          <w:szCs w:val="22"/>
        </w:rPr>
        <w:t xml:space="preserve">This decision was made explicitly and applied retroactively to Layer 8 and subsequent layers after it was identified. The rationale is structural credibility: a reference architecture published by the Agentics Foundation loses force if its body reads as a vehicle for the founder's commercial ventures. Cognitum, Snapper, and ACIUM are consequential at specific layers — Layer 8, Layer 7, and the cross-layer security and identity spans respectively — and their absence from the body is not neutrality. It is institutional discipline. They will appear in future publications where appropriate, for example in adoption case studies, in a separately authored implementation guide, or in vendor-specific reference architectures that cite the OIA Model.</w:t>
      </w:r>
    </w:p>
    <w:p>
      <w:pPr>
        <w:keepNext/>
        <w:spacing w:after="200" w:before="420"/>
        <w:jc w:val="left"/>
      </w:pPr>
      <w:r>
        <w:rPr>
          <w:rFonts w:ascii="Helvetica Neue" w:cs="Helvetica Neue" w:eastAsia="Helvetica Neue" w:hAnsi="Helvetica Neue"/>
          <w:color w:val="6E6E73"/>
          <w:sz w:val="22"/>
          <w:szCs w:val="22"/>
        </w:rPr>
        <w:t xml:space="preserve">16  </w:t>
      </w:r>
      <w:r>
        <w:rPr>
          <w:rFonts w:ascii="Helvetica Neue" w:cs="Helvetica Neue" w:eastAsia="Helvetica Neue" w:hAnsi="Helvetica Neue"/>
          <w:b/>
          <w:bCs/>
          <w:color w:val="1C1C1E"/>
          <w:sz w:val="22"/>
          <w:szCs w:val="22"/>
        </w:rPr>
        <w:t xml:space="preserve">The document is correctly opinionated where evidence supports it.</w:t>
      </w:r>
    </w:p>
    <w:p>
      <w:pPr>
        <w:spacing w:after="200" w:before="0" w:line="340"/>
        <w:jc w:val="left"/>
      </w:pPr>
      <w:r>
        <w:rPr>
          <w:rFonts w:ascii="Georgia" w:cs="Georgia" w:eastAsia="Georgia" w:hAnsi="Georgia"/>
          <w:color w:val="1C1C1E"/>
          <w:sz w:val="22"/>
          <w:szCs w:val="22"/>
        </w:rPr>
        <w:t xml:space="preserve">Neutrality to the point of naming all alternatives with equal weight is itself a form of misrepresentation when the domain has converged. The Model Context Protocol is named as the dominant contemporary interoperability protocol at Layer 7 because it is. WebAssembly is named as architecturally consequential at Layer 1 because it is. Provider vertical extension into Layers 6, 7, and 8 is named as a consequential pattern with sovereignty implications because it is. Softening these statements for false balance would weaken the document. Where the domain has not converged, the document says so — the Open Questions subsections are the primary mechanism for acknowledging genuine uncertainty without forcing premature closure.</w:t>
      </w:r>
    </w:p>
    <w:p>
      <w:pPr>
        <w:keepNext/>
        <w:spacing w:after="200" w:before="420"/>
        <w:jc w:val="left"/>
      </w:pPr>
      <w:r>
        <w:rPr>
          <w:rFonts w:ascii="Helvetica Neue" w:cs="Helvetica Neue" w:eastAsia="Helvetica Neue" w:hAnsi="Helvetica Neue"/>
          <w:color w:val="6E6E73"/>
          <w:sz w:val="22"/>
          <w:szCs w:val="22"/>
        </w:rPr>
        <w:t xml:space="preserve">17  </w:t>
      </w:r>
      <w:r>
        <w:rPr>
          <w:rFonts w:ascii="Helvetica Neue" w:cs="Helvetica Neue" w:eastAsia="Helvetica Neue" w:hAnsi="Helvetica Neue"/>
          <w:b/>
          <w:bCs/>
          <w:color w:val="1C1C1E"/>
          <w:sz w:val="22"/>
          <w:szCs w:val="22"/>
        </w:rPr>
        <w:t xml:space="preserve">Anthropic is mentioned naturally across multiple layers, not avoided for optical neutrality.</w:t>
      </w:r>
    </w:p>
    <w:p>
      <w:pPr>
        <w:spacing w:after="200" w:before="0" w:line="340"/>
        <w:jc w:val="left"/>
      </w:pPr>
      <w:r>
        <w:rPr>
          <w:rFonts w:ascii="Georgia" w:cs="Georgia" w:eastAsia="Georgia" w:hAnsi="Georgia"/>
          <w:color w:val="1C1C1E"/>
          <w:sz w:val="22"/>
          <w:szCs w:val="22"/>
        </w:rPr>
        <w:t xml:space="preserve">Anthropic appears in the context of Model Context Protocol, Claude Memory, Claude Skills, browser use capabilities, and the Mythos System Card reference in Section 2.2. Attempting to remove these mentions for optical independence would have produced a less accurate document — these are the contemporary reference points for several of the concerns the layers address. The document mentions competitors (OpenAI, Google, Microsoft, Meta, Mistral) at comparable frequency where they are relevant. Balance comes from accuracy across the domain, not from artificial avoidance of any single vendor.</w:t>
      </w:r>
    </w:p>
    <w:p>
      <w:pPr>
        <w:keepNext/>
        <w:spacing w:after="200" w:before="420"/>
        <w:jc w:val="left"/>
      </w:pPr>
      <w:r>
        <w:rPr>
          <w:rFonts w:ascii="Helvetica Neue" w:cs="Helvetica Neue" w:eastAsia="Helvetica Neue" w:hAnsi="Helvetica Neue"/>
          <w:color w:val="6E6E73"/>
          <w:sz w:val="22"/>
          <w:szCs w:val="22"/>
        </w:rPr>
        <w:t xml:space="preserve">18  </w:t>
      </w:r>
      <w:r>
        <w:rPr>
          <w:rFonts w:ascii="Helvetica Neue" w:cs="Helvetica Neue" w:eastAsia="Helvetica Neue" w:hAnsi="Helvetica Neue"/>
          <w:b/>
          <w:bCs/>
          <w:color w:val="1C1C1E"/>
          <w:sz w:val="22"/>
          <w:szCs w:val="22"/>
        </w:rPr>
        <w:t xml:space="preserve">Cembalest and the Mythos System Card are treated as contextual, not normative.</w:t>
      </w:r>
    </w:p>
    <w:p>
      <w:pPr>
        <w:spacing w:after="200" w:before="0" w:line="340"/>
        <w:jc w:val="left"/>
      </w:pPr>
      <w:r>
        <w:rPr>
          <w:rFonts w:ascii="Georgia" w:cs="Georgia" w:eastAsia="Georgia" w:hAnsi="Georgia"/>
          <w:color w:val="1C1C1E"/>
          <w:sz w:val="22"/>
          <w:szCs w:val="22"/>
        </w:rPr>
        <w:t xml:space="preserve">The JP Morgan Eye on the Market note (Cembalest, April 2026) and the Anthropic Mythos System Card are cited in Section 2.2 as contextual industry commentary establishing the moment in which the OIA Model is published. They are not treated as normative — the model does not inherit conclusions from either source. This distinction matters because the model needs to be durable beyond the specific disclosures that made its publication timely. If the Mythos capabilities turn out to have been overstated or understated, or if the Cembalest framing turns out to have been the wrong framing, the model is unaffected.</w:t>
      </w:r>
    </w:p>
    <w:p>
      <w:pPr>
        <w:keepNext/>
        <w:spacing w:after="200" w:before="420"/>
        <w:jc w:val="left"/>
      </w:pPr>
      <w:r>
        <w:rPr>
          <w:rFonts w:ascii="Helvetica Neue" w:cs="Helvetica Neue" w:eastAsia="Helvetica Neue" w:hAnsi="Helvetica Neue"/>
          <w:color w:val="6E6E73"/>
          <w:sz w:val="22"/>
          <w:szCs w:val="22"/>
        </w:rPr>
        <w:t xml:space="preserve">19  </w:t>
      </w:r>
      <w:r>
        <w:rPr>
          <w:rFonts w:ascii="Helvetica Neue" w:cs="Helvetica Neue" w:eastAsia="Helvetica Neue" w:hAnsi="Helvetica Neue"/>
          <w:b/>
          <w:bCs/>
          <w:color w:val="1C1C1E"/>
          <w:sz w:val="22"/>
          <w:szCs w:val="22"/>
        </w:rPr>
        <w:t xml:space="preserve">SecureIQ Lab validation is referenced without naming the lab.</w:t>
      </w:r>
    </w:p>
    <w:p>
      <w:pPr>
        <w:spacing w:after="200" w:before="0" w:line="340"/>
        <w:jc w:val="left"/>
      </w:pPr>
      <w:r>
        <w:rPr>
          <w:rFonts w:ascii="Georgia" w:cs="Georgia" w:eastAsia="Georgia" w:hAnsi="Georgia"/>
          <w:color w:val="1C1C1E"/>
          <w:sz w:val="22"/>
          <w:szCs w:val="22"/>
        </w:rPr>
        <w:t xml:space="preserve">Section 11.4 refers to adversarial validation methodologies developed by specialist validation laboratories rather than naming SecureIQ Lab specifically. This applies Decision 15 consistently — the validation work is directly connected to Snapper's 70/70 result, and naming the lab would pull in commercial context that undermines the institutional voice. The abstraction reads cleanly and is honest about the category of work being referenced without implying that the OIA Model endorses any specific validator.</w:t>
      </w:r>
    </w:p>
    <w:p>
      <w:pPr>
        <w:keepNext/>
        <w:spacing w:after="200" w:before="420"/>
        <w:jc w:val="left"/>
      </w:pPr>
      <w:r>
        <w:rPr>
          <w:rFonts w:ascii="Helvetica Neue" w:cs="Helvetica Neue" w:eastAsia="Helvetica Neue" w:hAnsi="Helvetica Neue"/>
          <w:color w:val="6E6E73"/>
          <w:sz w:val="22"/>
          <w:szCs w:val="22"/>
        </w:rPr>
        <w:t xml:space="preserve">20  </w:t>
      </w:r>
      <w:r>
        <w:rPr>
          <w:rFonts w:ascii="Helvetica Neue" w:cs="Helvetica Neue" w:eastAsia="Helvetica Neue" w:hAnsi="Helvetica Neue"/>
          <w:b/>
          <w:bCs/>
          <w:color w:val="1C1C1E"/>
          <w:sz w:val="22"/>
          <w:szCs w:val="22"/>
        </w:rPr>
        <w:t xml:space="preserve">Provider vertical-extension is treated as a recurring theme.</w:t>
      </w:r>
    </w:p>
    <w:p>
      <w:pPr>
        <w:spacing w:after="200" w:before="0" w:line="340"/>
        <w:jc w:val="left"/>
      </w:pPr>
      <w:r>
        <w:rPr>
          <w:rFonts w:ascii="Georgia" w:cs="Georgia" w:eastAsia="Georgia" w:hAnsi="Georgia"/>
          <w:color w:val="1C1C1E"/>
          <w:sz w:val="22"/>
          <w:szCs w:val="22"/>
        </w:rPr>
        <w:t xml:space="preserve">The pattern of foundation model providers extending vertically into orchestration, context management, memory, and interface is addressed at four separate layers (6, 7, 8, and 9). This was an explicit decision to let the theme recur rather than localising it to a single layer, because the pattern genuinely manifests at all four layers and treating it only once would understate its architectural significance. The repetition is not an editorial error. The cross-referencing between the four treatments (each layer's treatment explicitly notes the pattern's appearance at other layers) is the mechanism for signalling that the concern is cross-cutting without relocating it to Section 14.</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IV. Explicit Deferrals</w:t>
      </w:r>
    </w:p>
    <w:p>
      <w:pPr>
        <w:keepNext/>
        <w:spacing w:after="200" w:before="420"/>
        <w:jc w:val="left"/>
      </w:pPr>
      <w:r>
        <w:rPr>
          <w:rFonts w:ascii="Helvetica Neue" w:cs="Helvetica Neue" w:eastAsia="Helvetica Neue" w:hAnsi="Helvetica Neue"/>
          <w:color w:val="6E6E73"/>
          <w:sz w:val="22"/>
          <w:szCs w:val="22"/>
        </w:rPr>
        <w:t xml:space="preserve">21  </w:t>
      </w:r>
      <w:r>
        <w:rPr>
          <w:rFonts w:ascii="Helvetica Neue" w:cs="Helvetica Neue" w:eastAsia="Helvetica Neue" w:hAnsi="Helvetica Neue"/>
          <w:b/>
          <w:bCs/>
          <w:color w:val="1C1C1E"/>
          <w:sz w:val="22"/>
          <w:szCs w:val="22"/>
        </w:rPr>
        <w:t xml:space="preserve">The maturity model is a separate document.</w:t>
      </w:r>
    </w:p>
    <w:p>
      <w:pPr>
        <w:spacing w:after="200" w:before="0" w:line="340"/>
        <w:jc w:val="left"/>
      </w:pPr>
      <w:r>
        <w:rPr>
          <w:rFonts w:ascii="Georgia" w:cs="Georgia" w:eastAsia="Georgia" w:hAnsi="Georgia"/>
          <w:color w:val="1C1C1E"/>
          <w:sz w:val="22"/>
          <w:szCs w:val="22"/>
        </w:rPr>
        <w:t xml:space="preserve">The OIA Model is a reference architecture — a description of structure. A maturity model — a description of how organisations progress through adopting that structure — is a different kind of document with different intellectual foundations. The Christensen and Moore disruption-theory lineage, the CMMI tradition, and adoption-curve frameworks more broadly belong to the maturity model, not to the reference architecture. Conflating them would weaken both. The maturity model will be produced as a separate companion document after the reference architecture has had a first round of community review. Section 16 of the reference architecture addresses adoption at the vocabulary level; the separate maturity model will address it at the progression level.</w:t>
      </w:r>
    </w:p>
    <w:p>
      <w:pPr>
        <w:keepNext/>
        <w:spacing w:after="200" w:before="420"/>
        <w:jc w:val="left"/>
      </w:pPr>
      <w:r>
        <w:rPr>
          <w:rFonts w:ascii="Helvetica Neue" w:cs="Helvetica Neue" w:eastAsia="Helvetica Neue" w:hAnsi="Helvetica Neue"/>
          <w:color w:val="6E6E73"/>
          <w:sz w:val="22"/>
          <w:szCs w:val="22"/>
        </w:rPr>
        <w:t xml:space="preserve">22  </w:t>
      </w:r>
      <w:r>
        <w:rPr>
          <w:rFonts w:ascii="Helvetica Neue" w:cs="Helvetica Neue" w:eastAsia="Helvetica Neue" w:hAnsi="Helvetica Neue"/>
          <w:b/>
          <w:bCs/>
          <w:color w:val="1C1C1E"/>
          <w:sz w:val="22"/>
          <w:szCs w:val="22"/>
        </w:rPr>
        <w:t xml:space="preserve">The architectural diagram is deferred to the illustrated edition.</w:t>
      </w:r>
    </w:p>
    <w:p>
      <w:pPr>
        <w:spacing w:after="200" w:before="0" w:line="340"/>
        <w:jc w:val="left"/>
      </w:pPr>
      <w:r>
        <w:rPr>
          <w:rFonts w:ascii="Georgia" w:cs="Georgia" w:eastAsia="Georgia" w:hAnsi="Georgia"/>
          <w:color w:val="1C1C1E"/>
          <w:sz w:val="22"/>
          <w:szCs w:val="22"/>
        </w:rPr>
        <w:t xml:space="preserve">Section 3.4 describes the diagram but does not include it. Producing the diagram properly requires design work that was out of scope for a text-first draft, and producing a placeholder diagram would have established a visual vocabulary that the final version might need to revise. The first draft works without the diagram — the reference table at Section 3.2 carries the structural summary, and Section 3.3's prose description of architectural relationships covers the content the diagram will illustrate. The illustrated edition will add the diagram and refine any accompanying text that benefits from the visual context.</w:t>
      </w:r>
    </w:p>
    <w:p>
      <w:pPr>
        <w:keepNext/>
        <w:spacing w:after="200" w:before="420"/>
        <w:jc w:val="left"/>
      </w:pPr>
      <w:r>
        <w:rPr>
          <w:rFonts w:ascii="Helvetica Neue" w:cs="Helvetica Neue" w:eastAsia="Helvetica Neue" w:hAnsi="Helvetica Neue"/>
          <w:color w:val="6E6E73"/>
          <w:sz w:val="22"/>
          <w:szCs w:val="22"/>
        </w:rPr>
        <w:t xml:space="preserve">23  </w:t>
      </w:r>
      <w:r>
        <w:rPr>
          <w:rFonts w:ascii="Helvetica Neue" w:cs="Helvetica Neue" w:eastAsia="Helvetica Neue" w:hAnsi="Helvetica Neue"/>
          <w:b/>
          <w:bCs/>
          <w:color w:val="1C1C1E"/>
          <w:sz w:val="22"/>
          <w:szCs w:val="22"/>
        </w:rPr>
        <w:t xml:space="preserve">The Appendix is a placeholder pending community review.</w:t>
      </w:r>
    </w:p>
    <w:p>
      <w:pPr>
        <w:spacing w:after="200" w:before="0" w:line="340"/>
        <w:jc w:val="left"/>
      </w:pPr>
      <w:r>
        <w:rPr>
          <w:rFonts w:ascii="Georgia" w:cs="Georgia" w:eastAsia="Georgia" w:hAnsi="Georgia"/>
          <w:color w:val="1C1C1E"/>
          <w:sz w:val="22"/>
          <w:szCs w:val="22"/>
        </w:rPr>
        <w:t xml:space="preserve">The Appendix lists contributor categories but does not name contributors, because contributions accumulate during the review period and listing them prematurely would either misrepresent participation or omit late contributors. The Appendix will be completed after community review closes, following conventions established by comparable reference architecture publications.</w:t>
      </w:r>
    </w:p>
    <w:p>
      <w:pPr>
        <w:keepNext/>
        <w:spacing w:after="200" w:before="420"/>
        <w:jc w:val="left"/>
      </w:pPr>
      <w:r>
        <w:rPr>
          <w:rFonts w:ascii="Helvetica Neue" w:cs="Helvetica Neue" w:eastAsia="Helvetica Neue" w:hAnsi="Helvetica Neue"/>
          <w:color w:val="6E6E73"/>
          <w:sz w:val="22"/>
          <w:szCs w:val="22"/>
        </w:rPr>
        <w:t xml:space="preserve">24  </w:t>
      </w:r>
      <w:r>
        <w:rPr>
          <w:rFonts w:ascii="Helvetica Neue" w:cs="Helvetica Neue" w:eastAsia="Helvetica Neue" w:hAnsi="Helvetica Neue"/>
          <w:b/>
          <w:bCs/>
          <w:color w:val="1C1C1E"/>
          <w:sz w:val="22"/>
          <w:szCs w:val="22"/>
        </w:rPr>
        <w:t xml:space="preserve">References contain flagged entries awaiting verification.</w:t>
      </w:r>
    </w:p>
    <w:p>
      <w:pPr>
        <w:spacing w:after="200" w:before="0" w:line="340"/>
        <w:jc w:val="left"/>
      </w:pPr>
      <w:r>
        <w:rPr>
          <w:rFonts w:ascii="Georgia" w:cs="Georgia" w:eastAsia="Georgia" w:hAnsi="Georgia"/>
          <w:color w:val="1C1C1E"/>
          <w:sz w:val="22"/>
          <w:szCs w:val="22"/>
        </w:rPr>
        <w:t xml:space="preserve">Section 18 includes several entries marked as requiring verification against current published sources before formal publication. This is honest rather than finished: the references section should cite specific versions and access dates, and those citations need to be checked against live sources at the moment of publication rather than at the moment of drafting. The flagged entries identify what needs checking so the work can be done systematically before any formal release, rather than being discovered late or inconsistently.</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V. Design Decisions</w:t>
      </w:r>
    </w:p>
    <w:p>
      <w:pPr>
        <w:keepNext/>
        <w:spacing w:after="200" w:before="420"/>
        <w:jc w:val="left"/>
      </w:pPr>
      <w:r>
        <w:rPr>
          <w:rFonts w:ascii="Helvetica Neue" w:cs="Helvetica Neue" w:eastAsia="Helvetica Neue" w:hAnsi="Helvetica Neue"/>
          <w:color w:val="6E6E73"/>
          <w:sz w:val="22"/>
          <w:szCs w:val="22"/>
        </w:rPr>
        <w:t xml:space="preserve">25  </w:t>
      </w:r>
      <w:r>
        <w:rPr>
          <w:rFonts w:ascii="Helvetica Neue" w:cs="Helvetica Neue" w:eastAsia="Helvetica Neue" w:hAnsi="Helvetica Neue"/>
          <w:b/>
          <w:bCs/>
          <w:color w:val="1C1C1E"/>
          <w:sz w:val="22"/>
          <w:szCs w:val="22"/>
        </w:rPr>
        <w:t xml:space="preserve">Path A fonts: Georgia body, Helvetica Neue headings with Arial fallback.</w:t>
      </w:r>
    </w:p>
    <w:p>
      <w:pPr>
        <w:spacing w:after="200" w:before="0" w:line="340"/>
        <w:jc w:val="left"/>
      </w:pPr>
      <w:r>
        <w:rPr>
          <w:rFonts w:ascii="Georgia" w:cs="Georgia" w:eastAsia="Georgia" w:hAnsi="Georgia"/>
          <w:color w:val="1C1C1E"/>
          <w:sz w:val="22"/>
          <w:szCs w:val="22"/>
        </w:rPr>
        <w:t xml:space="preserve">The alternative was Path B — the SF Pro family, Apple-native but degrading on Windows systems without SF Pro installed. Path A was chosen because the Agentics Foundation audience is international, multi-platform, and institutional, and universal rendering matters more than signature font visibility. Georgia and Helvetica Neue ship with every Mac, Windows, and Office installation; the Arial fallback on Windows without Helvetica Neue renders cleanly. The pairing is unmistakably restrained and professional, which is the register we wanted. The document will render as intended on any reader's machine rather than requiring a specific font environment.</w:t>
      </w:r>
    </w:p>
    <w:p>
      <w:pPr>
        <w:keepNext/>
        <w:spacing w:after="200" w:before="420"/>
        <w:jc w:val="left"/>
      </w:pPr>
      <w:r>
        <w:rPr>
          <w:rFonts w:ascii="Helvetica Neue" w:cs="Helvetica Neue" w:eastAsia="Helvetica Neue" w:hAnsi="Helvetica Neue"/>
          <w:color w:val="6E6E73"/>
          <w:sz w:val="22"/>
          <w:szCs w:val="22"/>
        </w:rPr>
        <w:t xml:space="preserve">26  </w:t>
      </w:r>
      <w:r>
        <w:rPr>
          <w:rFonts w:ascii="Helvetica Neue" w:cs="Helvetica Neue" w:eastAsia="Helvetica Neue" w:hAnsi="Helvetica Neue"/>
          <w:b/>
          <w:bCs/>
          <w:color w:val="1C1C1E"/>
          <w:sz w:val="22"/>
          <w:szCs w:val="22"/>
        </w:rPr>
        <w:t xml:space="preserve">Headings use size, not weight, to carry hierarchy.</w:t>
      </w:r>
    </w:p>
    <w:p>
      <w:pPr>
        <w:spacing w:after="200" w:before="0" w:line="340"/>
        <w:jc w:val="left"/>
      </w:pPr>
      <w:r>
        <w:rPr>
          <w:rFonts w:ascii="Georgia" w:cs="Georgia" w:eastAsia="Georgia" w:hAnsi="Georgia"/>
          <w:color w:val="1C1C1E"/>
          <w:sz w:val="22"/>
          <w:szCs w:val="22"/>
        </w:rPr>
        <w:t xml:space="preserve">H1, H2, and H3 step down in size but only H3 is bold. This follows the Apple typographic convention that weight should be used sparingly and size should do most of the hierarchy work. The effect is quieter than conventional bold-heavy heading hierarchies — readers scan by scale rather than by ink density, which suits the institutional register of the document. The quiet heading hierarchy also prevents the document from reading as a marketing collateral piece, where bold-heavy hierarchy is the convention.</w:t>
      </w:r>
    </w:p>
    <w:p>
      <w:pPr>
        <w:keepNext/>
        <w:spacing w:after="200" w:before="420"/>
        <w:jc w:val="left"/>
      </w:pPr>
      <w:r>
        <w:rPr>
          <w:rFonts w:ascii="Helvetica Neue" w:cs="Helvetica Neue" w:eastAsia="Helvetica Neue" w:hAnsi="Helvetica Neue"/>
          <w:color w:val="6E6E73"/>
          <w:sz w:val="22"/>
          <w:szCs w:val="22"/>
        </w:rPr>
        <w:t xml:space="preserve">27  </w:t>
      </w:r>
      <w:r>
        <w:rPr>
          <w:rFonts w:ascii="Helvetica Neue" w:cs="Helvetica Neue" w:eastAsia="Helvetica Neue" w:hAnsi="Helvetica Neue"/>
          <w:b/>
          <w:bCs/>
          <w:color w:val="1C1C1E"/>
          <w:sz w:val="22"/>
          <w:szCs w:val="22"/>
        </w:rPr>
        <w:t xml:space="preserve">Body prose is left-aligned, not justified.</w:t>
      </w:r>
    </w:p>
    <w:p>
      <w:pPr>
        <w:spacing w:after="200" w:before="0" w:line="340"/>
        <w:jc w:val="left"/>
      </w:pPr>
      <w:r>
        <w:rPr>
          <w:rFonts w:ascii="Georgia" w:cs="Georgia" w:eastAsia="Georgia" w:hAnsi="Georgia"/>
          <w:color w:val="1C1C1E"/>
          <w:sz w:val="22"/>
          <w:szCs w:val="22"/>
        </w:rPr>
        <w:t xml:space="preserve">Justified text produces the distinctive rivers effect of inconsistent word spacing, particularly in narrower columns with longer words. Left-aligned with ragged right reads more naturally on both screen and print, and matches the contemporary direction of institutional publications including recent Apple documentation. The document is intended to be read, not displayed, and readability wins over the more formal appearance of justified text.</w:t>
      </w:r>
    </w:p>
    <w:p>
      <w:pPr>
        <w:keepNext/>
        <w:spacing w:after="200" w:before="420"/>
        <w:jc w:val="left"/>
      </w:pPr>
      <w:r>
        <w:rPr>
          <w:rFonts w:ascii="Helvetica Neue" w:cs="Helvetica Neue" w:eastAsia="Helvetica Neue" w:hAnsi="Helvetica Neue"/>
          <w:color w:val="6E6E73"/>
          <w:sz w:val="22"/>
          <w:szCs w:val="22"/>
        </w:rPr>
        <w:t xml:space="preserve">28  </w:t>
      </w:r>
      <w:r>
        <w:rPr>
          <w:rFonts w:ascii="Helvetica Neue" w:cs="Helvetica Neue" w:eastAsia="Helvetica Neue" w:hAnsi="Helvetica Neue"/>
          <w:b/>
          <w:bCs/>
          <w:color w:val="1C1C1E"/>
          <w:sz w:val="22"/>
          <w:szCs w:val="22"/>
        </w:rPr>
        <w:t xml:space="preserve">Bold leading terms, not italicised ones, in Key Concerns sections.</w:t>
      </w:r>
    </w:p>
    <w:p>
      <w:pPr>
        <w:spacing w:after="200" w:before="0" w:line="340"/>
        <w:jc w:val="left"/>
      </w:pPr>
      <w:r>
        <w:rPr>
          <w:rFonts w:ascii="Georgia" w:cs="Georgia" w:eastAsia="Georgia" w:hAnsi="Georgia"/>
          <w:color w:val="1C1C1E"/>
          <w:sz w:val="22"/>
          <w:szCs w:val="22"/>
        </w:rPr>
        <w:t xml:space="preserve">Italics draw the eye more sharply than bold in serif body text, and the Key Concerns sections have many inline terms. Bold leading terms followed by prose reads as the professional pattern used by institutional publications, reference works, and technical documentation. Italicised terms would have created a busier visual texture across the document's most-repeated pattern. The bold terms also double as scannable hooks for readers skimming for specific concerns, which supports the document's use as a reference work rather than only a linear read.</w:t>
      </w:r>
    </w:p>
    <w:p>
      <w:pPr>
        <w:keepNext/>
        <w:spacing w:after="200" w:before="420"/>
        <w:jc w:val="left"/>
      </w:pPr>
      <w:r>
        <w:rPr>
          <w:rFonts w:ascii="Helvetica Neue" w:cs="Helvetica Neue" w:eastAsia="Helvetica Neue" w:hAnsi="Helvetica Neue"/>
          <w:color w:val="6E6E73"/>
          <w:sz w:val="22"/>
          <w:szCs w:val="22"/>
        </w:rPr>
        <w:t xml:space="preserve">29  </w:t>
      </w:r>
      <w:r>
        <w:rPr>
          <w:rFonts w:ascii="Helvetica Neue" w:cs="Helvetica Neue" w:eastAsia="Helvetica Neue" w:hAnsi="Helvetica Neue"/>
          <w:b/>
          <w:bCs/>
          <w:color w:val="1C1C1E"/>
          <w:sz w:val="22"/>
          <w:szCs w:val="22"/>
        </w:rPr>
        <w:t xml:space="preserve">Tables use thin top-and-bottom rules only.</w:t>
      </w:r>
    </w:p>
    <w:p>
      <w:pPr>
        <w:spacing w:after="200" w:before="0" w:line="340"/>
        <w:jc w:val="left"/>
      </w:pPr>
      <w:r>
        <w:rPr>
          <w:rFonts w:ascii="Georgia" w:cs="Georgia" w:eastAsia="Georgia" w:hAnsi="Georgia"/>
          <w:color w:val="1C1C1E"/>
          <w:sz w:val="22"/>
          <w:szCs w:val="22"/>
        </w:rPr>
        <w:t xml:space="preserve">The reference table at Section 3.2 has no vertical rules, no shading, and only thin horizontal rules between rows with slightly heavier rules at the top and bottom of the table. Conventional Word tables tend toward heavy borders and shaded headers; we chose the opposite discipline, letting whitespace and column alignment carry the structure. This matches the Apple-restrained table style used in long-form institutional documentation and keeps the table's visual weight proportionate to the prose around it. The table informs; it does not dominate.</w:t>
      </w:r>
    </w:p>
    <w:p>
      <w:pPr>
        <w:keepNext/>
        <w:spacing w:after="200" w:before="420"/>
        <w:jc w:val="left"/>
      </w:pPr>
      <w:r>
        <w:rPr>
          <w:rFonts w:ascii="Helvetica Neue" w:cs="Helvetica Neue" w:eastAsia="Helvetica Neue" w:hAnsi="Helvetica Neue"/>
          <w:color w:val="6E6E73"/>
          <w:sz w:val="22"/>
          <w:szCs w:val="22"/>
        </w:rPr>
        <w:t xml:space="preserve">30  </w:t>
      </w:r>
      <w:r>
        <w:rPr>
          <w:rFonts w:ascii="Helvetica Neue" w:cs="Helvetica Neue" w:eastAsia="Helvetica Neue" w:hAnsi="Helvetica Neue"/>
          <w:b/>
          <w:bCs/>
          <w:color w:val="1C1C1E"/>
          <w:sz w:val="22"/>
          <w:szCs w:val="22"/>
        </w:rPr>
        <w:t xml:space="preserve">The cover has generous negative space and no decoration.</w:t>
      </w:r>
    </w:p>
    <w:p>
      <w:pPr>
        <w:spacing w:after="200" w:before="0" w:line="340"/>
        <w:jc w:val="left"/>
      </w:pPr>
      <w:r>
        <w:rPr>
          <w:rFonts w:ascii="Georgia" w:cs="Georgia" w:eastAsia="Georgia" w:hAnsi="Georgia"/>
          <w:color w:val="1C1C1E"/>
          <w:sz w:val="22"/>
          <w:szCs w:val="22"/>
        </w:rPr>
        <w:t xml:space="preserve">No rules, no gradients, no graphic elements. Title in the upper-middle of the page with deliberate whitespace above and below; publisher line at the top in tracked-out small caps; version and year at the bottom in small type. This is the cleanest possible expression of institutional restraint and signals the register of the document before the reader reads a word. The cover does not try to sell the document; it identifies the document. Readers who pick up a cover of this kind and expect dense, serious content are not surprised by what follows.</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On Using This Log</w:t>
      </w:r>
    </w:p>
    <w:p>
      <w:pPr>
        <w:spacing w:after="200" w:before="0" w:line="340"/>
        <w:jc w:val="left"/>
      </w:pPr>
      <w:r>
        <w:rPr>
          <w:rFonts w:ascii="Georgia" w:cs="Georgia" w:eastAsia="Georgia" w:hAnsi="Georgia"/>
          <w:color w:val="1C1C1E"/>
          <w:sz w:val="22"/>
          <w:szCs w:val="22"/>
        </w:rPr>
        <w:t xml:space="preserve">This document is designed to be read alongside the first draft of the OIA Model, not in place of it. The most productive use is probably to read the Foreword and Sections 1 through 3 of the main document first, then read this log end to end, then return to the main document for the layer definitions and cross-layer concerns. The log takes roughly fifteen to twenty minutes to read; the main document takes several hours.</w:t>
      </w:r>
    </w:p>
    <w:p>
      <w:pPr>
        <w:spacing w:after="200" w:before="0" w:line="340"/>
        <w:jc w:val="left"/>
      </w:pPr>
      <w:r>
        <w:rPr>
          <w:rFonts w:ascii="Georgia" w:cs="Georgia" w:eastAsia="Georgia" w:hAnsi="Georgia"/>
          <w:color w:val="1C1C1E"/>
          <w:sz w:val="22"/>
          <w:szCs w:val="22"/>
        </w:rPr>
        <w:t xml:space="preserve">Reviewers who disagree with a specific decision are encouraged to point at it by number. A comment of the form reopen decision 11, because… is more productive than marginalia on Section 14 would be, because it addresses the underlying choice rather than its surface expression. Decisions that are reopened and changed will be re-recorded in subsequent versions of this log, with the change noted and the previous rationale preserved for reference. Decisions that are reopened and confirmed will be so noted, so the log captures not only what was decided but what has been challenged and held.</w:t>
      </w:r>
    </w:p>
    <w:p>
      <w:pPr>
        <w:spacing w:after="200" w:before="0" w:line="340"/>
        <w:jc w:val="left"/>
      </w:pPr>
      <w:r>
        <w:rPr>
          <w:rFonts w:ascii="Georgia" w:cs="Georgia" w:eastAsia="Georgia" w:hAnsi="Georgia"/>
          <w:color w:val="1C1C1E"/>
          <w:sz w:val="22"/>
          <w:szCs w:val="22"/>
        </w:rPr>
        <w:t xml:space="preserve">New decisions will accumulate as the model evolves. This log is expected to grow alongside the main document rather than being a one-time artefact.</w:t>
      </w:r>
    </w:p>
    <w:p>
      <w:pPr>
        <w:spacing w:after="24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AGENTICS FOUNDATION</w:t>
      </w:r>
    </w:p>
    <w:p>
      <w:pPr>
        <w:spacing w:after="80" w:before="0"/>
        <w:jc w:val="center"/>
      </w:pPr>
      <w:r>
        <w:rPr>
          <w:rFonts w:ascii="Helvetica Neue" w:cs="Helvetica Neue" w:eastAsia="Helvetica Neue" w:hAnsi="Helvetica Neue"/>
          <w:b w:val="false"/>
          <w:bCs w:val="false"/>
          <w:i w:val="false"/>
          <w:iCs w:val="false"/>
          <w:caps w:val="false"/>
          <w:color w:val="6E6E73"/>
          <w:sz w:val="18"/>
          <w:szCs w:val="18"/>
        </w:rPr>
        <w:t xml:space="preserve">OIA Model — Decision Log</w:t>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Companion to Version 0.1 · 2026</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720"/>
      <w:outlineLvl w:val="0"/>
    </w:pPr>
    <w:rPr>
      <w:rFonts w:ascii="Helvetica Neue" w:cs="Helvetica Neue" w:eastAsia="Helvetica Neue" w:hAnsi="Helvetica Neue"/>
      <w:color w:val="000000"/>
      <w:sz w:val="40"/>
      <w:szCs w:val="40"/>
    </w:rPr>
  </w:style>
  <w:style w:type="paragraph" w:styleId="Heading2">
    <w:name w:val="Heading 2"/>
    <w:basedOn w:val="Normal"/>
    <w:next w:val="Normal"/>
    <w:qFormat/>
    <w:pPr>
      <w:spacing w:after="200" w:before="480"/>
      <w:outlineLvl w:val="1"/>
    </w:pPr>
    <w:rPr>
      <w:rFonts w:ascii="Helvetica Neue" w:cs="Helvetica Neue" w:eastAsia="Helvetica Neue" w:hAnsi="Helvetica Neue"/>
      <w:color w:val="000000"/>
      <w:sz w:val="26"/>
      <w:szCs w:val="26"/>
    </w:rPr>
  </w:style>
  <w:style w:type="paragraph" w:styleId="Heading3">
    <w:name w:val="Heading 3"/>
    <w:basedOn w:val="Normal"/>
    <w:next w:val="Normal"/>
    <w:qFormat/>
    <w:pPr>
      <w:spacing w:after="160" w:before="320"/>
      <w:outlineLvl w:val="2"/>
    </w:pPr>
    <w:rPr>
      <w:rFonts w:ascii="Helvetica Neue" w:cs="Helvetica Neue" w:eastAsia="Helvetica Neue" w:hAnsi="Helvetica Neue"/>
      <w:b/>
      <w:bCs/>
      <w:color w:val="1C1C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2026-04-19T03:35:30.328Z</dcterms:created>
  <dcterms:modified xsi:type="dcterms:W3CDTF">2026-04-19T03:35:30.329Z</dcterms:modified>
</cp:coreProperties>
</file>

<file path=docProps/custom.xml><?xml version="1.0" encoding="utf-8"?>
<Properties xmlns="http://schemas.openxmlformats.org/officeDocument/2006/custom-properties" xmlns:vt="http://schemas.openxmlformats.org/officeDocument/2006/docPropsVTypes"/>
</file>