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838" w:hRule="exact"/>
        </w:trPr>
        <w:tc>
          <w:tcPr>
            <w:tcW w:type="pct" w:w="100%"/>
            <w:tcBorders>
              <w:top w:val="none" w:color="auto" w:sz="0"/>
              <w:left w:val="none" w:color="auto" w:sz="0"/>
              <w:bottom w:val="none" w:color="auto" w:sz="0"/>
              <w:right w:val="none" w:color="auto" w:sz="0"/>
            </w:tcBorders>
            <w:shd w:fill="F4F1E9" w:color="auto" w:val="clear"/>
            <w:tcMar>
              <w:top w:type="dxa" w:w="1134"/>
              <w:left w:type="dxa" w:w="1701"/>
              <w:bottom w:type="dxa" w:w="1134"/>
              <w:right w:type="dxa" w:w="1701"/>
            </w:tcMar>
          </w:tcPr>
          <w:p>
            <w:pPr>
              <w:spacing w:before="4200"/>
            </w:pPr>
          </w:p>
          <w:p>
            <w:pPr>
              <w:spacing w:after="80" w:line="340"/>
              <w:jc w:val="center"/>
            </w:pPr>
            <w:r>
              <w:rPr>
                <w:rFonts w:ascii="Times New Roman" w:cs="Times New Roman" w:eastAsia="Times New Roman" w:hAnsi="Times New Roman"/>
                <w:b/>
                <w:bCs/>
                <w:color w:val="15857A"/>
                <w:sz w:val="76"/>
                <w:szCs w:val="76"/>
              </w:rPr>
              <w:t xml:space="preserve">Living Word: A Transformative Bible</w:t>
            </w:r>
          </w:p>
          <w:p>
            <w:pPr>
              <w:spacing w:after="80" w:line="340"/>
              <w:jc w:val="center"/>
            </w:pPr>
            <w:r>
              <w:rPr>
                <w:rFonts w:ascii="Times New Roman" w:cs="Times New Roman" w:eastAsia="Times New Roman" w:hAnsi="Times New Roman"/>
                <w:b/>
                <w:bCs/>
                <w:color w:val="15857A"/>
                <w:sz w:val="76"/>
                <w:szCs w:val="76"/>
              </w:rPr>
              <w:t xml:space="preserve">Study Seminar</w:t>
            </w:r>
          </w:p>
          <w:p>
            <w:pPr>
              <w:pBdr>
                <w:bottom w:val="single" w:color="FF6A3B" w:sz="12" w:space="1"/>
              </w:pBdr>
              <w:spacing w:after="200" w:before="200"/>
            </w:pPr>
          </w:p>
          <w:p>
            <w:pPr>
              <w:spacing w:after="100" w:line="312"/>
              <w:jc w:val="center"/>
            </w:pPr>
            <w:r>
              <w:rPr>
                <w:rFonts w:ascii="Times New Roman" w:cs="Times New Roman" w:eastAsia="Times New Roman" w:hAnsi="Times New Roman"/>
                <w:i/>
                <w:iCs/>
                <w:color w:val="606060"/>
                <w:sz w:val="28"/>
                <w:szCs w:val="28"/>
              </w:rPr>
              <w:t xml:space="preserve">Knowing God Through Scripture — A 12-Week Comprehensive Framework</w:t>
            </w:r>
          </w:p>
          <w:p>
            <w:pPr>
              <w:spacing w:before="600"/>
            </w:pPr>
          </w:p>
          <w:p>
            <w:pPr>
              <w:spacing w:after="60" w:line="312"/>
              <w:jc w:val="center"/>
            </w:pPr>
            <w:r>
              <w:rPr>
                <w:rFonts w:ascii="Times New Roman" w:cs="Times New Roman" w:eastAsia="Times New Roman" w:hAnsi="Times New Roman"/>
                <w:color w:val="707070"/>
                <w:sz w:val="22"/>
                <w:szCs w:val="22"/>
              </w:rPr>
              <w:t xml:space="preserve">Filipino Christian Community Bible Study</w:t>
            </w:r>
          </w:p>
          <w:p>
            <w:pPr>
              <w:spacing w:after="60" w:line="312"/>
              <w:jc w:val="center"/>
            </w:pPr>
            <w:r>
              <w:rPr>
                <w:rFonts w:ascii="Times New Roman" w:cs="Times New Roman" w:eastAsia="Times New Roman" w:hAnsi="Times New Roman"/>
                <w:color w:val="707070"/>
                <w:sz w:val="22"/>
                <w:szCs w:val="22"/>
              </w:rPr>
              <w:t xml:space="preserve">Inductive SOAP Method | Small Group Format</w:t>
            </w:r>
          </w:p>
          <w:p>
            <w:pPr>
              <w:spacing w:after="60" w:line="312"/>
              <w:jc w:val="center"/>
            </w:pPr>
            <w:r>
              <w:rPr>
                <w:rFonts w:ascii="Times New Roman" w:cs="Times New Roman" w:eastAsia="Times New Roman" w:hAnsi="Times New Roman"/>
                <w:color w:val="707070"/>
                <w:sz w:val="22"/>
                <w:szCs w:val="22"/>
              </w:rPr>
              <w:t xml:space="preserve">Prepared: April 2026</w:t>
            </w:r>
          </w:p>
          <w:p>
            <w:pPr>
              <w:spacing w:before="3000"/>
            </w:pPr>
          </w:p>
          <w:p>
            <w:pPr>
              <w:jc w:val="center"/>
            </w:pPr>
            <w:r>
              <w:rPr>
                <w:rFonts w:ascii="Times New Roman" w:cs="Times New Roman" w:eastAsia="Times New Roman" w:hAnsi="Times New Roman"/>
                <w:i/>
                <w:iCs/>
                <w:color w:val="A0A0A0"/>
                <w:sz w:val="18"/>
                <w:szCs w:val="18"/>
              </w:rPr>
              <w:t xml:space="preserve">Equipping the Filipino Church to Know God Deeply Through His Word</w:t>
            </w:r>
          </w:p>
        </w:tc>
      </w:tr>
    </w:tbl>
    <w:p>
      <w:pPr>
        <w:sectPr>
          <w:pgSz w:w="11906" w:h="16838" w:orient="portrait"/>
          <w:pgMar w:top="0" w:right="0" w:bottom="0" w:left="0" w:header="708" w:footer="708" w:gutter="0"/>
          <w:pgNumType/>
          <w:titlePg/>
          <w:docGrid w:linePitch="360"/>
        </w:sectPr>
      </w:pPr>
    </w:p>
    <w:p>
      <w:pPr>
        <w:spacing w:after="400"/>
        <w:jc w:val="center"/>
      </w:pPr>
      <w:r>
        <w:rPr>
          <w:rFonts w:ascii="Times New Roman" w:cs="Times New Roman" w:eastAsia="Times New Roman" w:hAnsi="Times New Roman"/>
          <w:b/>
          <w:bCs/>
          <w:color w:val="15857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Title"/>
            <w:tabs>
              <w:tab w:val="right" w:leader="dot" w:pos="9026"/>
            </w:tabs>
            <w:spacing w:before="120" w:after="60"/>
          </w:pPr>
          <w:r>
            <w:t>Executive Summary</w:t>
          </w:r>
          <w:r>
            <w:tab/>
          </w:r>
          <w:r>
            <w:t>1</w:t>
          </w:r>
        </w:p>
        <w:p>
          <w:pPr>
            <w:pStyle w:val="Title"/>
            <w:tabs>
              <w:tab w:val="right" w:leader="dot" w:pos="9026"/>
            </w:tabs>
            <w:spacing w:before="120" w:after="60"/>
          </w:pPr>
          <w:r>
            <w:t>Seminar Overview</w:t>
          </w:r>
          <w:r>
            <w:tab/>
          </w:r>
          <w:r>
            <w:t>2</w:t>
          </w:r>
        </w:p>
        <w:p>
          <w:pPr>
            <w:pStyle w:val="Title"/>
            <w:tabs>
              <w:tab w:val="right" w:leader="dot" w:pos="9026"/>
            </w:tabs>
            <w:spacing w:before="120" w:after="60"/>
          </w:pPr>
          <w:r>
            <w:t>The 4-Pillar Architecture</w:t>
          </w:r>
          <w:r>
            <w:tab/>
          </w:r>
          <w:r>
            <w:t>2</w:t>
          </w:r>
        </w:p>
        <w:p>
          <w:pPr>
            <w:pStyle w:val="Title"/>
            <w:ind w:left="360"/>
            <w:tabs>
              <w:tab w:val="right" w:leader="dot" w:pos="9026"/>
            </w:tabs>
            <w:spacing w:before="120" w:after="60"/>
          </w:pPr>
          <w:r>
            <w:t>Pillar I: Encounter (Opening Movement — 20 minutes)</w:t>
          </w:r>
          <w:r>
            <w:tab/>
          </w:r>
          <w:r>
            <w:t>3</w:t>
          </w:r>
        </w:p>
        <w:p>
          <w:pPr>
            <w:pStyle w:val="Title"/>
            <w:ind w:left="360"/>
            <w:tabs>
              <w:tab w:val="right" w:leader="dot" w:pos="9026"/>
            </w:tabs>
            <w:spacing w:before="120" w:after="60"/>
          </w:pPr>
          <w:r>
            <w:t>Pillar II: Exegesis (Deep Dive — 35 minutes)</w:t>
          </w:r>
          <w:r>
            <w:tab/>
          </w:r>
          <w:r>
            <w:t>3</w:t>
          </w:r>
        </w:p>
        <w:p>
          <w:pPr>
            <w:pStyle w:val="Title"/>
            <w:ind w:left="360"/>
            <w:tabs>
              <w:tab w:val="right" w:leader="dot" w:pos="9026"/>
            </w:tabs>
            <w:spacing w:before="120" w:after="60"/>
          </w:pPr>
          <w:r>
            <w:t>Pillar III: Examination (Personal Application — 20 minutes)</w:t>
          </w:r>
          <w:r>
            <w:tab/>
          </w:r>
          <w:r>
            <w:t>4</w:t>
          </w:r>
        </w:p>
        <w:p>
          <w:pPr>
            <w:pStyle w:val="Title"/>
            <w:ind w:left="360"/>
            <w:tabs>
              <w:tab w:val="right" w:leader="dot" w:pos="9026"/>
            </w:tabs>
            <w:spacing w:before="120" w:after="60"/>
          </w:pPr>
          <w:r>
            <w:t>Pillar IV: Expression (Commissioning — 15 minutes)</w:t>
          </w:r>
          <w:r>
            <w:tab/>
          </w:r>
          <w:r>
            <w:t>5</w:t>
          </w:r>
        </w:p>
        <w:p>
          <w:pPr>
            <w:pStyle w:val="Title"/>
            <w:tabs>
              <w:tab w:val="right" w:leader="dot" w:pos="9026"/>
            </w:tabs>
            <w:spacing w:before="120" w:after="60"/>
          </w:pPr>
          <w:r>
            <w:t>12-Week Progressive Journey Map</w:t>
          </w:r>
          <w:r>
            <w:tab/>
          </w:r>
          <w:r>
            <w:t>6</w:t>
          </w:r>
        </w:p>
        <w:p>
          <w:pPr>
            <w:pStyle w:val="Title"/>
            <w:ind w:left="360"/>
            <w:tabs>
              <w:tab w:val="right" w:leader="dot" w:pos="9026"/>
            </w:tabs>
            <w:spacing w:before="120" w:after="60"/>
          </w:pPr>
          <w:r>
            <w:t>Phase Overview</w:t>
          </w:r>
          <w:r>
            <w:tab/>
          </w:r>
          <w:r>
            <w:t>6</w:t>
          </w:r>
        </w:p>
        <w:p>
          <w:pPr>
            <w:pStyle w:val="Title"/>
            <w:ind w:left="360"/>
            <w:tabs>
              <w:tab w:val="right" w:leader="dot" w:pos="9026"/>
            </w:tabs>
            <w:spacing w:before="120" w:after="60"/>
          </w:pPr>
          <w:r>
            <w:t>Week-by-Week Breakdown</w:t>
          </w:r>
          <w:r>
            <w:tab/>
          </w:r>
          <w:r>
            <w:t>6</w:t>
          </w:r>
        </w:p>
        <w:p>
          <w:pPr>
            <w:pStyle w:val="Title"/>
            <w:tabs>
              <w:tab w:val="right" w:leader="dot" w:pos="9026"/>
            </w:tabs>
            <w:spacing w:before="120" w:after="60"/>
          </w:pPr>
          <w:r>
            <w:t>Session Structure Template</w:t>
          </w:r>
          <w:r>
            <w:tab/>
          </w:r>
          <w:r>
            <w:t>7</w:t>
          </w:r>
        </w:p>
        <w:p>
          <w:pPr>
            <w:pStyle w:val="Title"/>
            <w:ind w:left="360"/>
            <w:tabs>
              <w:tab w:val="right" w:leader="dot" w:pos="9026"/>
            </w:tabs>
            <w:spacing w:before="120" w:after="60"/>
          </w:pPr>
          <w:r>
            <w:t>Template Layout</w:t>
          </w:r>
          <w:r>
            <w:tab/>
          </w:r>
          <w:r>
            <w:t>7</w:t>
          </w:r>
        </w:p>
        <w:p>
          <w:pPr>
            <w:pStyle w:val="Title"/>
            <w:ind w:left="720"/>
            <w:tabs>
              <w:tab w:val="right" w:leader="dot" w:pos="9026"/>
            </w:tabs>
            <w:spacing w:before="120" w:after="60"/>
          </w:pPr>
          <w:r>
            <w:t>OPENING ENCOUNTER (20 minutes)</w:t>
          </w:r>
          <w:r>
            <w:tab/>
          </w:r>
          <w:r>
            <w:t>7</w:t>
          </w:r>
        </w:p>
        <w:p>
          <w:pPr>
            <w:pStyle w:val="Title"/>
            <w:ind w:left="720"/>
            <w:tabs>
              <w:tab w:val="right" w:leader="dot" w:pos="9026"/>
            </w:tabs>
            <w:spacing w:before="120" w:after="60"/>
          </w:pPr>
          <w:r>
            <w:t>SCRIPTURE EXEGESIS (35 minutes)</w:t>
          </w:r>
          <w:r>
            <w:tab/>
          </w:r>
          <w:r>
            <w:t>8</w:t>
          </w:r>
        </w:p>
        <w:p>
          <w:pPr>
            <w:pStyle w:val="Title"/>
            <w:ind w:left="720"/>
            <w:tabs>
              <w:tab w:val="right" w:leader="dot" w:pos="9026"/>
            </w:tabs>
            <w:spacing w:before="120" w:after="60"/>
          </w:pPr>
          <w:r>
            <w:t>HEART EXAMINATION (20 minutes)</w:t>
          </w:r>
          <w:r>
            <w:tab/>
          </w:r>
          <w:r>
            <w:t>9</w:t>
          </w:r>
        </w:p>
        <w:p>
          <w:pPr>
            <w:pStyle w:val="Title"/>
            <w:ind w:left="720"/>
            <w:tabs>
              <w:tab w:val="right" w:leader="dot" w:pos="9026"/>
            </w:tabs>
            <w:spacing w:before="120" w:after="60"/>
          </w:pPr>
          <w:r>
            <w:t>MISSIONAL EXPRESSION (15 minutes)</w:t>
          </w:r>
          <w:r>
            <w:tab/>
          </w:r>
          <w:r>
            <w:t>9</w:t>
          </w:r>
        </w:p>
        <w:p>
          <w:pPr>
            <w:pStyle w:val="Title"/>
            <w:ind w:left="720"/>
            <w:tabs>
              <w:tab w:val="right" w:leader="dot" w:pos="9026"/>
            </w:tabs>
            <w:spacing w:before="120" w:after="60"/>
          </w:pPr>
          <w:r>
            <w:t>HOMEWORK (Between Sessions)</w:t>
          </w:r>
          <w:r>
            <w:tab/>
          </w:r>
          <w:r>
            <w:t>10</w:t>
          </w:r>
        </w:p>
        <w:p>
          <w:pPr>
            <w:pStyle w:val="Title"/>
            <w:tabs>
              <w:tab w:val="right" w:leader="dot" w:pos="9026"/>
            </w:tabs>
            <w:spacing w:before="120" w:after="60"/>
          </w:pPr>
          <w:r>
            <w:t>Core Methodological Distinctives</w:t>
          </w:r>
          <w:r>
            <w:tab/>
          </w:r>
          <w:r>
            <w:t>11</w:t>
          </w:r>
        </w:p>
        <w:p>
          <w:pPr>
            <w:pStyle w:val="Title"/>
            <w:ind w:left="360"/>
            <w:tabs>
              <w:tab w:val="right" w:leader="dot" w:pos="9026"/>
            </w:tabs>
            <w:spacing w:before="120" w:after="60"/>
          </w:pPr>
          <w:r>
            <w:t>1. Spirit-Dependence</w:t>
          </w:r>
          <w:r>
            <w:tab/>
          </w:r>
          <w:r>
            <w:t>11</w:t>
          </w:r>
        </w:p>
        <w:p>
          <w:pPr>
            <w:pStyle w:val="Title"/>
            <w:ind w:left="360"/>
            <w:tabs>
              <w:tab w:val="right" w:leader="dot" w:pos="9026"/>
            </w:tabs>
            <w:spacing w:before="120" w:after="60"/>
          </w:pPr>
          <w:r>
            <w:t>2. Text-Centered Authority</w:t>
          </w:r>
          <w:r>
            <w:tab/>
          </w:r>
          <w:r>
            <w:t>11</w:t>
          </w:r>
        </w:p>
        <w:p>
          <w:pPr>
            <w:pStyle w:val="Title"/>
            <w:ind w:left="360"/>
            <w:tabs>
              <w:tab w:val="right" w:leader="dot" w:pos="9026"/>
            </w:tabs>
            <w:spacing w:before="120" w:after="60"/>
          </w:pPr>
          <w:r>
            <w:t>3. SOAP Inductive Method</w:t>
          </w:r>
          <w:r>
            <w:tab/>
          </w:r>
          <w:r>
            <w:t>11</w:t>
          </w:r>
        </w:p>
        <w:p>
          <w:pPr>
            <w:pStyle w:val="Title"/>
            <w:ind w:left="360"/>
            <w:tabs>
              <w:tab w:val="right" w:leader="dot" w:pos="9026"/>
            </w:tabs>
            <w:spacing w:before="120" w:after="60"/>
          </w:pPr>
          <w:r>
            <w:t>4. Whole-Life Integration</w:t>
          </w:r>
          <w:r>
            <w:tab/>
          </w:r>
          <w:r>
            <w:t>12</w:t>
          </w:r>
        </w:p>
        <w:p>
          <w:pPr>
            <w:pStyle w:val="Title"/>
            <w:ind w:left="360"/>
            <w:tabs>
              <w:tab w:val="right" w:leader="dot" w:pos="9026"/>
            </w:tabs>
            <w:spacing w:before="120" w:after="60"/>
          </w:pPr>
          <w:r>
            <w:t>5. Communal Discernment</w:t>
          </w:r>
          <w:r>
            <w:tab/>
          </w:r>
          <w:r>
            <w:t>12</w:t>
          </w:r>
        </w:p>
        <w:p>
          <w:pPr>
            <w:pStyle w:val="Title"/>
            <w:ind w:left="360"/>
            <w:tabs>
              <w:tab w:val="right" w:leader="dot" w:pos="9026"/>
            </w:tabs>
            <w:spacing w:before="120" w:after="60"/>
          </w:pPr>
          <w:r>
            <w:t>6. Multiplication-Minded</w:t>
          </w:r>
          <w:r>
            <w:tab/>
          </w:r>
          <w:r>
            <w:t>12</w:t>
          </w:r>
        </w:p>
        <w:p>
          <w:pPr>
            <w:pStyle w:val="Title"/>
            <w:tabs>
              <w:tab w:val="right" w:leader="dot" w:pos="9026"/>
            </w:tabs>
            <w:spacing w:before="120" w:after="60"/>
          </w:pPr>
          <w:r>
            <w:t>Facilitator Requirements</w:t>
          </w:r>
          <w:r>
            <w:tab/>
          </w:r>
          <w:r>
            <w:t>12</w:t>
          </w:r>
        </w:p>
        <w:p>
          <w:pPr>
            <w:pStyle w:val="Title"/>
            <w:tabs>
              <w:tab w:val="right" w:leader="dot" w:pos="9026"/>
            </w:tabs>
            <w:spacing w:before="120" w:after="60"/>
          </w:pPr>
          <w:r>
            <w:t>Success Metrics</w:t>
          </w:r>
          <w:r>
            <w:tab/>
          </w:r>
          <w:r>
            <w:t>13</w:t>
          </w:r>
        </w:p>
        <w:p>
          <w:pPr>
            <w:pStyle w:val="Title"/>
            <w:tabs>
              <w:tab w:val="right" w:leader="dot" w:pos="9026"/>
            </w:tabs>
            <w:spacing w:before="120" w:after="60"/>
          </w:pPr>
          <w:r>
            <w:t>Adaptation Framework</w:t>
          </w:r>
          <w:r>
            <w:tab/>
          </w:r>
          <w:r>
            <w:t>13</w:t>
          </w:r>
        </w:p>
        <w:p>
          <w:pPr>
            <w:pStyle w:val="Title"/>
            <w:tabs>
              <w:tab w:val="right" w:leader="dot" w:pos="9026"/>
            </w:tabs>
            <w:spacing w:before="120" w:after="60"/>
          </w:pPr>
          <w:r>
            <w:t>Essential Resources</w:t>
          </w:r>
          <w:r>
            <w:tab/>
          </w:r>
          <w:r>
            <w:t>14</w:t>
          </w:r>
        </w:p>
        <w:p>
          <w:pPr>
            <w:pStyle w:val="Title"/>
            <w:ind w:left="360"/>
            <w:tabs>
              <w:tab w:val="right" w:leader="dot" w:pos="9026"/>
            </w:tabs>
            <w:spacing w:before="120" w:after="60"/>
          </w:pPr>
          <w:r>
            <w:t>Study Bible (ESV, NIV, or NLT Recommended)</w:t>
          </w:r>
          <w:r>
            <w:tab/>
          </w:r>
          <w:r>
            <w:t>14</w:t>
          </w:r>
        </w:p>
        <w:p>
          <w:pPr>
            <w:pStyle w:val="Title"/>
            <w:ind w:left="360"/>
            <w:tabs>
              <w:tab w:val="right" w:leader="dot" w:pos="9026"/>
            </w:tabs>
            <w:spacing w:before="120" w:after="60"/>
          </w:pPr>
          <w:r>
            <w:t>SOAP Journal (Two Notebooks Required)</w:t>
          </w:r>
          <w:r>
            <w:tab/>
          </w:r>
          <w:r>
            <w:t>14</w:t>
          </w:r>
        </w:p>
        <w:p>
          <w:pPr>
            <w:pStyle w:val="Title"/>
            <w:ind w:left="360"/>
            <w:tabs>
              <w:tab w:val="right" w:leader="dot" w:pos="9026"/>
            </w:tabs>
            <w:spacing w:before="120" w:after="60"/>
          </w:pPr>
          <w:r>
            <w:t>Cross-Reference Tools (Concordance, Bible Software/Apps)</w:t>
          </w:r>
          <w:r>
            <w:tab/>
          </w:r>
          <w:r>
            <w:t>15</w:t>
          </w:r>
        </w:p>
        <w:p>
          <w:pPr>
            <w:pStyle w:val="Title"/>
            <w:ind w:left="360"/>
            <w:tabs>
              <w:tab w:val="right" w:leader="dot" w:pos="9026"/>
            </w:tabs>
            <w:spacing w:before="120" w:after="60"/>
          </w:pPr>
          <w:r>
            <w:t>Worship Playlist Curated to Weekly Themes</w:t>
          </w:r>
          <w:r>
            <w:tab/>
          </w:r>
          <w:r>
            <w:t>15</w:t>
          </w:r>
        </w:p>
        <w:p>
          <w:pPr>
            <w:pStyle w:val="Title"/>
            <w:ind w:left="360"/>
            <w:tabs>
              <w:tab w:val="right" w:leader="dot" w:pos="9026"/>
            </w:tabs>
            <w:spacing w:before="120" w:after="60"/>
          </w:pPr>
          <w:r>
            <w:t>Accountability Partner (Assigned for Duration)</w:t>
          </w:r>
          <w:r>
            <w:tab/>
          </w:r>
          <w:r>
            <w:t>15</w:t>
          </w:r>
        </w:p>
        <w:p>
          <w:pPr>
            <w:pStyle w:val="Title"/>
            <w:ind w:left="360"/>
            <w:tabs>
              <w:tab w:val="right" w:leader="dot" w:pos="9026"/>
            </w:tabs>
            <w:spacing w:before="120" w:after="60"/>
          </w:pPr>
          <w:r>
            <w:t>Daily 5-Day Scripture Reading Plan</w:t>
          </w:r>
          <w:r>
            <w:tab/>
          </w:r>
          <w:r>
            <w:t>15</w:t>
          </w:r>
        </w:p>
        <w:p>
          <w:r>
            <w:fldChar w:fldCharType="end"/>
          </w:r>
        </w:p>
      </w:sdtContent>
    </w:sdt>
    <w:p>
      <w:r>
        <w:br w:type="page"/>
      </w:r>
    </w:p>
    <w:p>
      <w:pPr>
        <w:sectPr>
          <w:headerReference w:type="default" r:id="rId7"/>
          <w:footerReference w:type="default" r:id="rId8"/>
          <w:pgSz w:w="11906" w:h="16838" w:orient="portrait"/>
          <w:pgMar w:top="1440" w:right="1701" w:bottom="1440" w:left="1701" w:header="708" w:footer="708" w:gutter="0"/>
          <w:pgNumType/>
          <w:docGrid w:linePitch="360"/>
        </w:sectPr>
      </w:pPr>
    </w:p>
    <w:p>
      <w:pPr>
        <w:pStyle w:val="Heading1"/>
        <w:pBdr>
          <w:bottom w:val="single" w:color="FF6A3B" w:sz="4" w:space="6"/>
        </w:pBdr>
        <w:spacing w:after="200" w:before="400" w:line="312"/>
        <w:jc w:val="center"/>
      </w:pPr>
      <w:bookmarkStart w:id="100000" w:name="_Toc100000"/>
      <w:r>
        <w:rPr>
          <w:rFonts w:ascii="Times New Roman" w:cs="Times New Roman" w:eastAsia="Times New Roman" w:hAnsi="Times New Roman"/>
          <w:b/>
          <w:bCs/>
          <w:color w:val="15857A"/>
          <w:sz w:val="32"/>
          <w:szCs w:val="32"/>
        </w:rPr>
        <w:t xml:space="preserve">Executive Summary</w:t>
      </w:r>
      <w:bookmarkEnd w:id="100000"/>
    </w:p>
    <w:p>
      <w:pPr>
        <w:spacing w:after="140" w:line="312"/>
        <w:jc w:val="both"/>
      </w:pPr>
      <w:r>
        <w:rPr>
          <w:rFonts w:ascii="Times New Roman" w:cs="Times New Roman" w:eastAsia="Times New Roman" w:hAnsi="Times New Roman"/>
          <w:color w:val="2D3748"/>
          <w:sz w:val="24"/>
          <w:szCs w:val="24"/>
        </w:rPr>
        <w:t xml:space="preserve">The Living Word: A Transformative Bible Study Seminar is a comprehensive 12-week program designed to equip Filipino Christian believers at every stage of spiritual maturity to know God deeply through His attributes, character, and abiding presence. Rooted in the rich tradition of evangelical Filipino church life, this seminar draws from the transcribed insights of a real Bible study session that demonstrated the hunger of Filipino believers to encounter God not merely intellectually, but relationally and transformationally.</w:t>
      </w:r>
    </w:p>
    <w:p>
      <w:pPr>
        <w:spacing w:after="140" w:line="312"/>
        <w:jc w:val="both"/>
      </w:pPr>
      <w:r>
        <w:rPr>
          <w:rFonts w:ascii="Times New Roman" w:cs="Times New Roman" w:eastAsia="Times New Roman" w:hAnsi="Times New Roman"/>
          <w:color w:val="2D3748"/>
          <w:sz w:val="24"/>
          <w:szCs w:val="24"/>
        </w:rPr>
        <w:t xml:space="preserve">At the heart of this framework lies the SOAP inductive Bible study method — Scripture, Observation, Application, and Prayer — a systematic yet accessible approach that guides participants from textual engagement to personal obedience. Rather than passively receiving teaching, participants actively mine the biblical text for truth, allowing the Holy Spirit to illuminate God’s character and prompt concrete life changes. This methodology was observed to be especially effective in the Filipino context, where communal learning and relational accountability amplify the impact of individual study.</w:t>
      </w:r>
    </w:p>
    <w:p>
      <w:pPr>
        <w:spacing w:after="140" w:line="312"/>
        <w:jc w:val="both"/>
      </w:pPr>
      <w:r>
        <w:rPr>
          <w:rFonts w:ascii="Times New Roman" w:cs="Times New Roman" w:eastAsia="Times New Roman" w:hAnsi="Times New Roman"/>
          <w:color w:val="2D3748"/>
          <w:sz w:val="24"/>
          <w:szCs w:val="24"/>
        </w:rPr>
        <w:t xml:space="preserve">The seminar is built upon a carefully designed 4-Pillar Architecture — Encounter, Exegesis, Examination, and Expression — that mirrors the natural rhythm of spiritual growth. Each 90-minute weekly session moves participants from corporate worship and testimony through deep textual study, into personal application and accountability, and finally out into missional expression. This progression ensures that head knowledge is consistently translated into heart transformation and hands-on obedience.</w:t>
      </w:r>
    </w:p>
    <w:p>
      <w:pPr>
        <w:spacing w:after="140" w:line="312"/>
        <w:jc w:val="both"/>
      </w:pPr>
      <w:r>
        <w:rPr>
          <w:rFonts w:ascii="Times New Roman" w:cs="Times New Roman" w:eastAsia="Times New Roman" w:hAnsi="Times New Roman"/>
          <w:color w:val="2D3748"/>
          <w:sz w:val="24"/>
          <w:szCs w:val="24"/>
        </w:rPr>
        <w:t xml:space="preserve">The 12-week journey is organized into four progressive phases: Foundation (Knowing the God of the Word), Formation (Being Transformed by the Word), Function (Doing the Work of the Word), and Fruit (Multiplying Through the Word). Each phase builds upon the previous one, creating a cumulative learning experience that moves participants from seekers to disciple-makers. By the conclusion of the seminar, participants will not only have studied the attributes of God across multiple Scripture passages — including John 1, the Wedding at Cana, the Parable of the Prodigal Son, Colossians 1, Psalm 119, and other foundational texts — but will also have developed sustainable spiritual disciplines of daily devotion, journaling, and prayer that produce measurable life transformation and missional impact.</w:t>
      </w:r>
    </w:p>
    <w:p>
      <w:pPr>
        <w:spacing w:after="140" w:line="312"/>
        <w:jc w:val="both"/>
      </w:pPr>
      <w:r>
        <w:rPr>
          <w:rFonts w:ascii="Times New Roman" w:cs="Times New Roman" w:eastAsia="Times New Roman" w:hAnsi="Times New Roman"/>
          <w:color w:val="2D3748"/>
          <w:sz w:val="24"/>
          <w:szCs w:val="24"/>
        </w:rPr>
        <w:t xml:space="preserve">This framework is designed for both online and in-person small group settings, with bilingual Filipino-English instruction that honors the natural communication patterns of the Filipino church. Whether deployed in an urban megachurch in Metro Manila or a house church in the provinces, the Living Word seminar provides a reproducible, scalable model for deepening faith and multiplying disciples across the Filipino Christian community.</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01" w:name="_Toc100001"/>
      <w:r>
        <w:rPr>
          <w:rFonts w:ascii="Times New Roman" w:cs="Times New Roman" w:eastAsia="Times New Roman" w:hAnsi="Times New Roman"/>
          <w:b/>
          <w:bCs/>
          <w:color w:val="15857A"/>
          <w:sz w:val="32"/>
          <w:szCs w:val="32"/>
        </w:rPr>
        <w:t xml:space="preserve">Seminar Overview</w:t>
      </w:r>
      <w:bookmarkEnd w:id="100001"/>
    </w:p>
    <w:p>
      <w:pPr>
        <w:spacing w:after="140" w:line="312"/>
        <w:jc w:val="both"/>
      </w:pPr>
      <w:r>
        <w:rPr>
          <w:rFonts w:ascii="Times New Roman" w:cs="Times New Roman" w:eastAsia="Times New Roman" w:hAnsi="Times New Roman"/>
          <w:color w:val="2D3748"/>
          <w:sz w:val="24"/>
          <w:szCs w:val="24"/>
        </w:rPr>
        <w:t xml:space="preserve">The following table provides a high-level summary of the seminar’s essential parameters. This overview serves as a quick reference for facilitators, church leaders, and prospective participants, capturing the key structural and logistical elements that define the Living Word experience.</w:t>
      </w:r>
    </w:p>
    <w:tbl>
      <w:tblPr>
        <w:tblW w:type="pct" w:w="96%"/>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57A" w:sz="6"/>
              <w:left w:val="single" w:color="15857A" w:sz="6"/>
              <w:bottom w:val="single" w:color="15857A" w:sz="6"/>
              <w:right w:val="single" w:color="15857A" w:sz="6"/>
            </w:tcBorders>
            <w:shd w:fill="F8F6F1" w:color="auto" w:val="clear"/>
            <w:tcMar>
              <w:top w:type="dxa" w:w="120"/>
              <w:left w:type="dxa" w:w="150"/>
              <w:bottom w:type="dxa" w:w="120"/>
              <w:right w:type="dxa" w:w="15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30%"/>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Element</w:t>
                  </w:r>
                </w:p>
              </w:tc>
              <w:tc>
                <w:tcPr>
                  <w:tcW w:type="pct" w:w="70%"/>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Description</w:t>
                  </w:r>
                </w:p>
              </w:tc>
            </w:tr>
            <w:tr>
              <w:trPr>
                <w:cantSplit/>
              </w:trPr>
              <w:tc>
                <w:tcPr>
                  <w:tcW w:type="pct" w:w="3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Duration</w:t>
                  </w:r>
                </w:p>
              </w:tc>
              <w:tc>
                <w:tcPr>
                  <w:tcW w:type="pct" w:w="7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12 weeks (modular design allowing for flexible pacing and contextual adaptation)</w:t>
                  </w:r>
                </w:p>
              </w:tc>
            </w:tr>
            <w:tr>
              <w:trPr>
                <w:cantSplit/>
              </w:trPr>
              <w:tc>
                <w:tcPr>
                  <w:tcW w:type="pct" w:w="3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Format</w:t>
                  </w:r>
                </w:p>
              </w:tc>
              <w:tc>
                <w:tcPr>
                  <w:tcW w:type="pct" w:w="7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Weekly 90-minute sessions + small group breakouts for deeper dialogue and accountability</w:t>
                  </w:r>
                </w:p>
              </w:tc>
            </w:tr>
            <w:tr>
              <w:trPr>
                <w:cantSplit/>
              </w:trPr>
              <w:tc>
                <w:tcPr>
                  <w:tcW w:type="pct" w:w="3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Target Audience</w:t>
                  </w:r>
                </w:p>
              </w:tc>
              <w:tc>
                <w:tcPr>
                  <w:tcW w:type="pct" w:w="7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Mixed maturity levels — from seekers exploring the faith to mature believers seeking deeper engagement</w:t>
                  </w:r>
                </w:p>
              </w:tc>
            </w:tr>
            <w:tr>
              <w:trPr>
                <w:cantSplit/>
              </w:trPr>
              <w:tc>
                <w:tcPr>
                  <w:tcW w:type="pct" w:w="3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Core Method</w:t>
                  </w:r>
                </w:p>
              </w:tc>
              <w:tc>
                <w:tcPr>
                  <w:tcW w:type="pct" w:w="7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Inductive SOAP study (Scripture, Observation, Application, Prayer) + devotional application + communal worship</w:t>
                  </w:r>
                </w:p>
              </w:tc>
            </w:tr>
            <w:tr>
              <w:trPr>
                <w:cantSplit/>
              </w:trPr>
              <w:tc>
                <w:tcPr>
                  <w:tcW w:type="pct" w:w="3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Primary Language</w:t>
                  </w:r>
                </w:p>
              </w:tc>
              <w:tc>
                <w:tcPr>
                  <w:tcW w:type="pct" w:w="7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Bilingual (Filipino-English / Taglish), reflecting natural church communication patterns</w:t>
                  </w:r>
                </w:p>
              </w:tc>
            </w:tr>
            <w:tr>
              <w:trPr>
                <w:cantSplit/>
              </w:trPr>
              <w:tc>
                <w:tcPr>
                  <w:tcW w:type="pct" w:w="3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Group Size</w:t>
                  </w:r>
                </w:p>
              </w:tc>
              <w:tc>
                <w:tcPr>
                  <w:tcW w:type="pct" w:w="7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3-4 per breakout group to ensure intimate, participatory dialogue</w:t>
                  </w:r>
                </w:p>
              </w:tc>
            </w:tr>
            <w:tr>
              <w:trPr>
                <w:cantSplit/>
              </w:trPr>
              <w:tc>
                <w:tcPr>
                  <w:tcW w:type="pct" w:w="3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Meeting Day</w:t>
                  </w:r>
                </w:p>
              </w:tc>
              <w:tc>
                <w:tcPr>
                  <w:tcW w:type="pct" w:w="7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Weekly (e.g., Thursday evening), with optional mid-week accountability check-ins</w:t>
                  </w:r>
                </w:p>
              </w:tc>
            </w:tr>
          </w:tbl>
          <w:p/>
        </w:tc>
      </w:tr>
    </w:tbl>
    <w:p>
      <w:pPr>
        <w:spacing w:after="140" w:line="312"/>
        <w:jc w:val="both"/>
      </w:pPr>
      <w:r>
        <w:rPr>
          <w:rFonts w:ascii="Times New Roman" w:cs="Times New Roman" w:eastAsia="Times New Roman" w:hAnsi="Times New Roman"/>
          <w:color w:val="2D3748"/>
          <w:sz w:val="24"/>
          <w:szCs w:val="24"/>
        </w:rPr>
        <w:t xml:space="preserve">The modular design of this 12-week framework allows churches to adapt the pace according to their specific context. Each session is self-contained enough to be meaningful for visitors, while the cumulative progression ensures depth for consistent participants. The 90-minute timeframe strikes a balance between depth of engagement and practical scheduling, recognizing the demands of daily life on Filipino families while honoring the biblical priority of gathering for study and fellowship.</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02" w:name="_Toc100002"/>
      <w:r>
        <w:rPr>
          <w:rFonts w:ascii="Times New Roman" w:cs="Times New Roman" w:eastAsia="Times New Roman" w:hAnsi="Times New Roman"/>
          <w:b/>
          <w:bCs/>
          <w:color w:val="15857A"/>
          <w:sz w:val="32"/>
          <w:szCs w:val="32"/>
        </w:rPr>
        <w:t xml:space="preserve">The 4-Pillar Architecture</w:t>
      </w:r>
      <w:bookmarkEnd w:id="100002"/>
    </w:p>
    <w:p>
      <w:pPr>
        <w:spacing w:after="140" w:line="312"/>
        <w:jc w:val="both"/>
      </w:pPr>
      <w:r>
        <w:rPr>
          <w:rFonts w:ascii="Times New Roman" w:cs="Times New Roman" w:eastAsia="Times New Roman" w:hAnsi="Times New Roman"/>
          <w:color w:val="2D3748"/>
          <w:sz w:val="24"/>
          <w:szCs w:val="24"/>
        </w:rPr>
        <w:t xml:space="preserve">The 4-Pillar Architecture provides the structural backbone of every Living Word session. Each pillar represents a distinct movement in the worship-study-application cycle, designed to engage the whole person — head, heart, and hands — in a progression that mirrors the biblical pattern of spiritual formation. This architecture was observed in the transcribed Bible study session, where natural transitions between worship, teaching, personal reflection, and commissioning created a holistic learning environment. The four pillars are not merely organizational tools; they are theological convictions about how God transforms His people through His Word.</w:t>
      </w:r>
    </w:p>
    <w:p>
      <w:pPr>
        <w:pStyle w:val="Heading2"/>
        <w:pBdr>
          <w:left w:val="single" w:color="15857A" w:sz="12" w:space="8"/>
        </w:pBdr>
        <w:spacing w:after="140" w:before="300" w:line="312"/>
        <w:ind w:left="200"/>
        <w:jc w:val="left"/>
      </w:pPr>
      <w:bookmarkStart w:id="100003" w:name="_Toc100003"/>
      <w:r>
        <w:rPr>
          <w:rFonts w:ascii="Times New Roman" w:cs="Times New Roman" w:eastAsia="Times New Roman" w:hAnsi="Times New Roman"/>
          <w:b/>
          <w:bCs/>
          <w:color w:val="15857A"/>
          <w:sz w:val="28"/>
          <w:szCs w:val="28"/>
        </w:rPr>
        <w:t xml:space="preserve">Pillar I: Encounter (Opening Movement — 20 minutes)</w:t>
      </w:r>
      <w:bookmarkEnd w:id="100003"/>
    </w:p>
    <w:p>
      <w:pPr>
        <w:spacing w:after="140" w:line="312"/>
        <w:jc w:val="both"/>
      </w:pPr>
      <w:r>
        <w:rPr>
          <w:rFonts w:ascii="Times New Roman" w:cs="Times New Roman" w:eastAsia="Times New Roman" w:hAnsi="Times New Roman"/>
          <w:color w:val="2D3748"/>
          <w:sz w:val="24"/>
          <w:szCs w:val="24"/>
        </w:rPr>
        <w:t xml:space="preserve">The Encounter pillar recognizes that genuine Bible study must begin with an orientation of the heart toward God. Before any intellectual engagement with the text, participants are invited into the presence of God through worship, prayer, and testimony. This is not a perfunctory opening exercise but a deliberate theological act: acknowledging that the Holy Spirit is the primary teacher and illuminator of Scripture. In the Filipino church context, where worship is often deeply expressive and communal, this pillar creates a space for participants to transition from the busyness of daily life into a posture of receptivity and expectation.</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Worship Integration: </w:t>
      </w:r>
      <w:r>
        <w:rPr>
          <w:rFonts w:ascii="Times New Roman" w:cs="Times New Roman" w:eastAsia="Times New Roman" w:hAnsi="Times New Roman"/>
          <w:color w:val="2D3748"/>
          <w:sz w:val="24"/>
          <w:szCs w:val="24"/>
        </w:rPr>
        <w:t xml:space="preserve">Scripture-based songs aligned with the weekly theme prepare hearts for engagement. The worship selection is curated to echo the key truth of the session, embedding the theme emotionally before it is explored intellectually.</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Prayer of Illumination: </w:t>
      </w:r>
      <w:r>
        <w:rPr>
          <w:rFonts w:ascii="Times New Roman" w:cs="Times New Roman" w:eastAsia="Times New Roman" w:hAnsi="Times New Roman"/>
          <w:color w:val="2D3748"/>
          <w:sz w:val="24"/>
          <w:szCs w:val="24"/>
        </w:rPr>
        <w:t xml:space="preserve">A deliberate invocation inviting the Holy Spirit to open hearts and minds. This prayer recognizes human dependence on divine illumination, a posture modeled by the Psalmist who prayed, ‘Open my eyes that I may see wonderful things in your law’ (Psalm 119:18).</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Testimony Circle: </w:t>
      </w:r>
      <w:r>
        <w:rPr>
          <w:rFonts w:ascii="Times New Roman" w:cs="Times New Roman" w:eastAsia="Times New Roman" w:hAnsi="Times New Roman"/>
          <w:color w:val="2D3748"/>
          <w:sz w:val="24"/>
          <w:szCs w:val="24"/>
        </w:rPr>
        <w:t xml:space="preserve">Brief sharing of how God’s Word has shaped lives since the last session. In Filipino culture, where personal storytelling carries deep relational weight, testimonies create a bridge between Scripture and lived experience, building expectation for what God will do in the current session.</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Memory Verse Recitation: </w:t>
      </w:r>
      <w:r>
        <w:rPr>
          <w:rFonts w:ascii="Times New Roman" w:cs="Times New Roman" w:eastAsia="Times New Roman" w:hAnsi="Times New Roman"/>
          <w:color w:val="2D3748"/>
          <w:sz w:val="24"/>
          <w:szCs w:val="24"/>
        </w:rPr>
        <w:t xml:space="preserve">Building cumulative biblical literacy through weekly verse memorization. Participants recite previously memorized verses together, reinforcing retention and creating a shared vocabulary of faith.</w:t>
      </w:r>
    </w:p>
    <w:p>
      <w:pPr>
        <w:pStyle w:val="Heading2"/>
        <w:pBdr>
          <w:left w:val="single" w:color="15857A" w:sz="12" w:space="8"/>
        </w:pBdr>
        <w:spacing w:after="140" w:before="300" w:line="312"/>
        <w:ind w:left="200"/>
        <w:jc w:val="left"/>
      </w:pPr>
      <w:bookmarkStart w:id="100004" w:name="_Toc100004"/>
      <w:r>
        <w:rPr>
          <w:rFonts w:ascii="Times New Roman" w:cs="Times New Roman" w:eastAsia="Times New Roman" w:hAnsi="Times New Roman"/>
          <w:b/>
          <w:bCs/>
          <w:color w:val="15857A"/>
          <w:sz w:val="28"/>
          <w:szCs w:val="28"/>
        </w:rPr>
        <w:t xml:space="preserve">Pillar II: Exegesis (Deep Dive — 35 minutes)</w:t>
      </w:r>
      <w:bookmarkEnd w:id="100004"/>
    </w:p>
    <w:p>
      <w:pPr>
        <w:spacing w:after="140" w:line="312"/>
        <w:jc w:val="both"/>
      </w:pPr>
      <w:r>
        <w:rPr>
          <w:rFonts w:ascii="Times New Roman" w:cs="Times New Roman" w:eastAsia="Times New Roman" w:hAnsi="Times New Roman"/>
          <w:color w:val="2D3748"/>
          <w:sz w:val="24"/>
          <w:szCs w:val="24"/>
        </w:rPr>
        <w:t xml:space="preserve">The Exegesis pillar is the intellectual center of the session, where participants engage directly with the biblical text using the inductive SOAP method. This pillar prioritizes the authority of Scripture over human opinion, training participants to observe what the text actually says before rushing to application. The goal is to let the text speak for itself, allowing the original historical, cultural, and literary context to inform interpretation. In the transcribed Bible study, this phase was marked by genuine curiosity and collaborative discovery as participants asked questions and explored the text together.</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Contextual Immersion: </w:t>
      </w:r>
      <w:r>
        <w:rPr>
          <w:rFonts w:ascii="Times New Roman" w:cs="Times New Roman" w:eastAsia="Times New Roman" w:hAnsi="Times New Roman"/>
          <w:color w:val="2D3748"/>
          <w:sz w:val="24"/>
          <w:szCs w:val="24"/>
        </w:rPr>
        <w:t xml:space="preserve">Historical, cultural, and literary setting is established to anchor interpretation. Understanding the original audience, their circumstances, and the author’s purpose prevents eisegesis (reading meaning into the text) and promotes faithful exegesis (drawing meaning from the text).</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Textual Observation (SOAP — Observation Step): </w:t>
      </w:r>
      <w:r>
        <w:rPr>
          <w:rFonts w:ascii="Times New Roman" w:cs="Times New Roman" w:eastAsia="Times New Roman" w:hAnsi="Times New Roman"/>
          <w:color w:val="2D3748"/>
          <w:sz w:val="24"/>
          <w:szCs w:val="24"/>
        </w:rPr>
        <w:t xml:space="preserve">Participants answer the question: ‘What does the text say?’ This involves careful reading in multiple translations, noting repeated words, literary structures, contrasts, and connections. Observation is the foundation upon which accurate interpretation and application are built.</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Interpretive Framework: </w:t>
      </w:r>
      <w:r>
        <w:rPr>
          <w:rFonts w:ascii="Times New Roman" w:cs="Times New Roman" w:eastAsia="Times New Roman" w:hAnsi="Times New Roman"/>
          <w:color w:val="2D3748"/>
          <w:sz w:val="24"/>
          <w:szCs w:val="24"/>
        </w:rPr>
        <w:t xml:space="preserve">The facilitator guides the group toward understanding the author’s intended meaning for the original audience. This step employs basic hermeneutical principles, ensuring that interpretation is rooted in the text rather than personal preference.</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Cross-Reference Weaving: </w:t>
      </w:r>
      <w:r>
        <w:rPr>
          <w:rFonts w:ascii="Times New Roman" w:cs="Times New Roman" w:eastAsia="Times New Roman" w:hAnsi="Times New Roman"/>
          <w:color w:val="2D3748"/>
          <w:sz w:val="24"/>
          <w:szCs w:val="24"/>
        </w:rPr>
        <w:t xml:space="preserve">Scripture interprets Scripture. Participants explore related passages that shed light on the current text, building an interconnected understanding of biblical theology and allowing the whole counsel of God to inform their reading.</w:t>
      </w:r>
    </w:p>
    <w:p>
      <w:pPr>
        <w:pStyle w:val="Heading2"/>
        <w:pBdr>
          <w:left w:val="single" w:color="15857A" w:sz="12" w:space="8"/>
        </w:pBdr>
        <w:spacing w:after="140" w:before="300" w:line="312"/>
        <w:ind w:left="200"/>
        <w:jc w:val="left"/>
      </w:pPr>
      <w:bookmarkStart w:id="100005" w:name="_Toc100005"/>
      <w:r>
        <w:rPr>
          <w:rFonts w:ascii="Times New Roman" w:cs="Times New Roman" w:eastAsia="Times New Roman" w:hAnsi="Times New Roman"/>
          <w:b/>
          <w:bCs/>
          <w:color w:val="15857A"/>
          <w:sz w:val="28"/>
          <w:szCs w:val="28"/>
        </w:rPr>
        <w:t xml:space="preserve">Pillar III: Examination (Personal Application — 20 minutes)</w:t>
      </w:r>
      <w:bookmarkEnd w:id="100005"/>
    </w:p>
    <w:p>
      <w:pPr>
        <w:spacing w:after="140" w:line="312"/>
        <w:jc w:val="both"/>
      </w:pPr>
      <w:r>
        <w:rPr>
          <w:rFonts w:ascii="Times New Roman" w:cs="Times New Roman" w:eastAsia="Times New Roman" w:hAnsi="Times New Roman"/>
          <w:color w:val="2D3748"/>
          <w:sz w:val="24"/>
          <w:szCs w:val="24"/>
        </w:rPr>
        <w:t xml:space="preserve">The Examination pillar moves from the mind to the heart, creating space for the Holy Spirit to apply the truth of Scripture to each participant’s unique life circumstances. This is where the SOAP method’s Application and Prayer steps come alive. The Filipino church context particularly benefits from this pillar, as the cultural value of ‘pakikisama’ (fellowship/communion) creates a natural environment for vulnerability and mutual encouragement. Small groups of 3-4 provide the intimacy necessary for honest self-examination and accountability.</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Heart Check: </w:t>
      </w:r>
      <w:r>
        <w:rPr>
          <w:rFonts w:ascii="Times New Roman" w:cs="Times New Roman" w:eastAsia="Times New Roman" w:hAnsi="Times New Roman"/>
          <w:color w:val="2D3748"/>
          <w:sz w:val="24"/>
          <w:szCs w:val="24"/>
        </w:rPr>
        <w:t xml:space="preserve">The probing question ‘Where does this confront my current reality?’ invites participants to allow the Word of God to act as a mirror (James 1:23-25), revealing areas of alignment and misalignment between professed belief and actual practice.</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Obedience Step (SOAP — Application Step): </w:t>
      </w:r>
      <w:r>
        <w:rPr>
          <w:rFonts w:ascii="Times New Roman" w:cs="Times New Roman" w:eastAsia="Times New Roman" w:hAnsi="Times New Roman"/>
          <w:color w:val="2D3748"/>
          <w:sz w:val="24"/>
          <w:szCs w:val="24"/>
        </w:rPr>
        <w:t xml:space="preserve">Each participant formulates a specific, measurable response to the text. This is not a vague aspiration but a concrete action step that can be reported on in the following session, creating a rhythm of obedient response to God’s Word.</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Accountability Pairing: </w:t>
      </w:r>
      <w:r>
        <w:rPr>
          <w:rFonts w:ascii="Times New Roman" w:cs="Times New Roman" w:eastAsia="Times New Roman" w:hAnsi="Times New Roman"/>
          <w:color w:val="2D3748"/>
          <w:sz w:val="24"/>
          <w:szCs w:val="24"/>
        </w:rPr>
        <w:t xml:space="preserve">Participants share their obedience commitments with one other person, creating a relational structure for follow-through. This practice acknowledges that transformation happens best in the context of loving accountability.</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Prayer of Consecration (SOAP — Prayer Step): </w:t>
      </w:r>
      <w:r>
        <w:rPr>
          <w:rFonts w:ascii="Times New Roman" w:cs="Times New Roman" w:eastAsia="Times New Roman" w:hAnsi="Times New Roman"/>
          <w:color w:val="2D3748"/>
          <w:sz w:val="24"/>
          <w:szCs w:val="24"/>
        </w:rPr>
        <w:t xml:space="preserve">Personal and corporate prayer responses to the text, inviting God’s power to enable the obedience steps that have been committed. This prayer is both a response to God’s revelation and a request for His enabling grace.</w:t>
      </w:r>
    </w:p>
    <w:p>
      <w:pPr>
        <w:pStyle w:val="Heading2"/>
        <w:pBdr>
          <w:left w:val="single" w:color="15857A" w:sz="12" w:space="8"/>
        </w:pBdr>
        <w:spacing w:after="140" w:before="300" w:line="312"/>
        <w:ind w:left="200"/>
        <w:jc w:val="left"/>
      </w:pPr>
      <w:bookmarkStart w:id="100006" w:name="_Toc100006"/>
      <w:r>
        <w:rPr>
          <w:rFonts w:ascii="Times New Roman" w:cs="Times New Roman" w:eastAsia="Times New Roman" w:hAnsi="Times New Roman"/>
          <w:b/>
          <w:bCs/>
          <w:color w:val="15857A"/>
          <w:sz w:val="28"/>
          <w:szCs w:val="28"/>
        </w:rPr>
        <w:t xml:space="preserve">Pillar IV: Expression (Commissioning — 15 minutes)</w:t>
      </w:r>
      <w:bookmarkEnd w:id="100006"/>
    </w:p>
    <w:p>
      <w:pPr>
        <w:spacing w:after="140" w:line="312"/>
        <w:jc w:val="both"/>
      </w:pPr>
      <w:r>
        <w:rPr>
          <w:rFonts w:ascii="Times New Roman" w:cs="Times New Roman" w:eastAsia="Times New Roman" w:hAnsi="Times New Roman"/>
          <w:color w:val="2D3748"/>
          <w:sz w:val="24"/>
          <w:szCs w:val="24"/>
        </w:rPr>
        <w:t xml:space="preserve">The Expression pillar sends participants out with purpose, connecting the inward work of the previous pillars to outward kingdom impact. This final movement ensures that Bible study does not become an end in itself but a catalyst for mission and service. In the Filipino church, where faith is inherently communal and missional, this pillar resonates deeply with the cultural instinct to share what has been received. The commissioning is not an afterthought but the natural overflow of transformed hearts.</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Missional Application: </w:t>
      </w:r>
      <w:r>
        <w:rPr>
          <w:rFonts w:ascii="Times New Roman" w:cs="Times New Roman" w:eastAsia="Times New Roman" w:hAnsi="Times New Roman"/>
          <w:color w:val="2D3748"/>
          <w:sz w:val="24"/>
          <w:szCs w:val="24"/>
        </w:rPr>
        <w:t xml:space="preserve">The facilitator helps the group consider: ‘How does this truth shape our witness and service in our families, workplaces, and communities?’ This bridges the gap between personal transformation and public engagement.</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Community Challenge: </w:t>
      </w:r>
      <w:r>
        <w:rPr>
          <w:rFonts w:ascii="Times New Roman" w:cs="Times New Roman" w:eastAsia="Times New Roman" w:hAnsi="Times New Roman"/>
          <w:color w:val="2D3748"/>
          <w:sz w:val="24"/>
          <w:szCs w:val="24"/>
        </w:rPr>
        <w:t xml:space="preserve">A collective action or outreach initiative emerges from the session’s themes. This might be an invitation to serve together, share the gospel with a neighbor, or meet a community need, translating individual transformation into communal mission.</w:t>
      </w:r>
    </w:p>
    <w:p>
      <w:pPr>
        <w:pStyle w:val="ListParagraph"/>
        <w:numPr>
          <w:ilvl w:val="0"/>
          <w:numId w:val="1"/>
        </w:numPr>
        <w:spacing w:after="60" w:line="312"/>
        <w:jc w:val="both"/>
      </w:pPr>
      <w:r>
        <w:rPr>
          <w:rFonts w:ascii="Times New Roman" w:cs="Times New Roman" w:eastAsia="Times New Roman" w:hAnsi="Times New Roman"/>
          <w:b/>
          <w:bCs/>
          <w:color w:val="2D3748"/>
          <w:sz w:val="24"/>
          <w:szCs w:val="24"/>
        </w:rPr>
        <w:t xml:space="preserve">Benediction: </w:t>
      </w:r>
      <w:r>
        <w:rPr>
          <w:rFonts w:ascii="Times New Roman" w:cs="Times New Roman" w:eastAsia="Times New Roman" w:hAnsi="Times New Roman"/>
          <w:color w:val="2D3748"/>
          <w:sz w:val="24"/>
          <w:szCs w:val="24"/>
        </w:rPr>
        <w:t xml:space="preserve">The session concludes with a sending blessing, reminding participants that they carry the Word of God into every sphere of life. The benediction is both a comfort and a commission, affirming God’s presence and purpose in the days ahead.</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07" w:name="_Toc100007"/>
      <w:r>
        <w:rPr>
          <w:rFonts w:ascii="Times New Roman" w:cs="Times New Roman" w:eastAsia="Times New Roman" w:hAnsi="Times New Roman"/>
          <w:b/>
          <w:bCs/>
          <w:color w:val="15857A"/>
          <w:sz w:val="32"/>
          <w:szCs w:val="32"/>
        </w:rPr>
        <w:t xml:space="preserve">12-Week Progressive Journey Map</w:t>
      </w:r>
      <w:bookmarkEnd w:id="100007"/>
    </w:p>
    <w:p>
      <w:pPr>
        <w:spacing w:after="140" w:line="312"/>
        <w:jc w:val="both"/>
      </w:pPr>
      <w:r>
        <w:rPr>
          <w:rFonts w:ascii="Times New Roman" w:cs="Times New Roman" w:eastAsia="Times New Roman" w:hAnsi="Times New Roman"/>
          <w:color w:val="2D3748"/>
          <w:sz w:val="24"/>
          <w:szCs w:val="24"/>
        </w:rPr>
        <w:t xml:space="preserve">The 12-week journey is organized into four progressive phases, each building upon the previous one to create a cumulative experience of spiritual growth. This progression moves participants from foundational knowledge of who God is, through personal transformation, into active service, and ultimately into a multiplication posture where they equip others. The design reflects the biblical pattern observed in 2 Timothy 2:2 — entrusting what has been learned to faithful people who will teach others also.</w:t>
      </w:r>
    </w:p>
    <w:p>
      <w:pPr>
        <w:pStyle w:val="Heading2"/>
        <w:pBdr>
          <w:left w:val="single" w:color="15857A" w:sz="12" w:space="8"/>
        </w:pBdr>
        <w:spacing w:after="140" w:before="300" w:line="312"/>
        <w:ind w:left="200"/>
        <w:jc w:val="left"/>
      </w:pPr>
      <w:bookmarkStart w:id="100008" w:name="_Toc100008"/>
      <w:r>
        <w:rPr>
          <w:rFonts w:ascii="Times New Roman" w:cs="Times New Roman" w:eastAsia="Times New Roman" w:hAnsi="Times New Roman"/>
          <w:b/>
          <w:bCs/>
          <w:color w:val="15857A"/>
          <w:sz w:val="28"/>
          <w:szCs w:val="28"/>
        </w:rPr>
        <w:t xml:space="preserve">Phase Overview</w:t>
      </w:r>
      <w:bookmarkEnd w:id="100008"/>
    </w:p>
    <w:tbl>
      <w:tblPr>
        <w:tblW w:type="pct" w:w="96%"/>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57A" w:sz="6"/>
              <w:left w:val="single" w:color="15857A" w:sz="6"/>
              <w:bottom w:val="single" w:color="15857A" w:sz="6"/>
              <w:right w:val="single" w:color="15857A" w:sz="6"/>
            </w:tcBorders>
            <w:shd w:fill="F8F6F1" w:color="auto" w:val="clear"/>
            <w:tcMar>
              <w:top w:type="dxa" w:w="120"/>
              <w:left w:type="dxa" w:w="150"/>
              <w:bottom w:type="dxa" w:w="120"/>
              <w:right w:type="dxa" w:w="15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5%"/>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Phase</w:t>
                  </w:r>
                </w:p>
              </w:tc>
              <w:tc>
                <w:tcPr>
                  <w:tcW w:type="pct" w:w="10%"/>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Weeks</w:t>
                  </w:r>
                </w:p>
              </w:tc>
              <w:tc>
                <w:tcPr>
                  <w:tcW w:type="pct" w:w="25%"/>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Focus</w:t>
                  </w:r>
                </w:p>
              </w:tc>
              <w:tc>
                <w:tcPr>
                  <w:tcW w:type="pct" w:w="25%"/>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Biblical Framework</w:t>
                  </w:r>
                </w:p>
              </w:tc>
              <w:tc>
                <w:tcPr>
                  <w:tcW w:type="pct" w:w="25%"/>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Key Scripture</w:t>
                  </w:r>
                </w:p>
              </w:tc>
            </w:tr>
            <w:tr>
              <w:trPr>
                <w:cantSplit/>
              </w:trPr>
              <w:tc>
                <w:tcPr>
                  <w:tcW w:type="pct" w:w="15%"/>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Foundation</w:t>
                  </w:r>
                </w:p>
              </w:tc>
              <w:tc>
                <w:tcPr>
                  <w:tcW w:type="pct" w:w="1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1–3</w:t>
                  </w:r>
                </w:p>
              </w:tc>
              <w:tc>
                <w:tcPr>
                  <w:tcW w:type="pct" w:w="25%"/>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Knowing the God of the Word</w:t>
                  </w:r>
                </w:p>
              </w:tc>
              <w:tc>
                <w:tcPr>
                  <w:tcW w:type="pct" w:w="25%"/>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Psalm 119, John 1</w:t>
                  </w:r>
                </w:p>
              </w:tc>
              <w:tc>
                <w:tcPr>
                  <w:tcW w:type="pct" w:w="25%"/>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as Spirit, God as Person, God as Creator</w:t>
                  </w:r>
                </w:p>
              </w:tc>
            </w:tr>
            <w:tr>
              <w:trPr>
                <w:cantSplit/>
              </w:trPr>
              <w:tc>
                <w:tcPr>
                  <w:tcW w:type="pct" w:w="15%"/>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Formation</w:t>
                  </w:r>
                </w:p>
              </w:tc>
              <w:tc>
                <w:tcPr>
                  <w:tcW w:type="pct" w:w="1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4–6</w:t>
                  </w:r>
                </w:p>
              </w:tc>
              <w:tc>
                <w:tcPr>
                  <w:tcW w:type="pct" w:w="25%"/>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Being Transformed by the Word</w:t>
                  </w:r>
                </w:p>
              </w:tc>
              <w:tc>
                <w:tcPr>
                  <w:tcW w:type="pct" w:w="25%"/>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Romans 12, James 1</w:t>
                  </w:r>
                </w:p>
              </w:tc>
              <w:tc>
                <w:tcPr>
                  <w:tcW w:type="pct" w:w="25%"/>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as I AM, God is One, Jesus as Living Word</w:t>
                  </w:r>
                </w:p>
              </w:tc>
            </w:tr>
            <w:tr>
              <w:trPr>
                <w:cantSplit/>
              </w:trPr>
              <w:tc>
                <w:tcPr>
                  <w:tcW w:type="pct" w:w="15%"/>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Function</w:t>
                  </w:r>
                </w:p>
              </w:tc>
              <w:tc>
                <w:tcPr>
                  <w:tcW w:type="pct" w:w="1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7–9</w:t>
                  </w:r>
                </w:p>
              </w:tc>
              <w:tc>
                <w:tcPr>
                  <w:tcW w:type="pct" w:w="25%"/>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Doing the Work of the Word</w:t>
                  </w:r>
                </w:p>
              </w:tc>
              <w:tc>
                <w:tcPr>
                  <w:tcW w:type="pct" w:w="25%"/>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Matthew 28, Acts 2</w:t>
                  </w:r>
                </w:p>
              </w:tc>
              <w:tc>
                <w:tcPr>
                  <w:tcW w:type="pct" w:w="25%"/>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Forgiving Father, First Miracle, Community</w:t>
                  </w:r>
                </w:p>
              </w:tc>
            </w:tr>
            <w:tr>
              <w:trPr>
                <w:cantSplit/>
              </w:trPr>
              <w:tc>
                <w:tcPr>
                  <w:tcW w:type="pct" w:w="15%"/>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Fruit</w:t>
                  </w:r>
                </w:p>
              </w:tc>
              <w:tc>
                <w:tcPr>
                  <w:tcW w:type="pct" w:w="1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10–12</w:t>
                  </w:r>
                </w:p>
              </w:tc>
              <w:tc>
                <w:tcPr>
                  <w:tcW w:type="pct" w:w="25%"/>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Multiplying Through the Word</w:t>
                  </w:r>
                </w:p>
              </w:tc>
              <w:tc>
                <w:tcPr>
                  <w:tcW w:type="pct" w:w="25%"/>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2 Timothy 2, Titus 2</w:t>
                  </w:r>
                </w:p>
              </w:tc>
              <w:tc>
                <w:tcPr>
                  <w:tcW w:type="pct" w:w="25%"/>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is Eternal, Omniscient, Omnipresent</w:t>
                  </w:r>
                </w:p>
              </w:tc>
            </w:tr>
          </w:tbl>
          <w:p/>
        </w:tc>
      </w:tr>
    </w:tbl>
    <w:p>
      <w:pPr>
        <w:spacing w:after="140" w:line="312"/>
        <w:jc w:val="both"/>
      </w:pPr>
      <w:r>
        <w:rPr>
          <w:rFonts w:ascii="Times New Roman" w:cs="Times New Roman" w:eastAsia="Times New Roman" w:hAnsi="Times New Roman"/>
          <w:color w:val="2D3748"/>
          <w:sz w:val="24"/>
          <w:szCs w:val="24"/>
        </w:rPr>
        <w:t xml:space="preserve">The Foundation phase establishes the essential framework for knowing God — who He is in His essential nature and how He has revealed Himself through Scripture. The Formation phase shifts focus to how the knowledge of God transforms the believer’s identity and daily walk. The Function phase moves participants from personal transformation to active ministry, exploring how knowing God compels service. Finally, the Fruit phase equips participants to reproduce what they have learned, embodying the multiplication mandate at the heart of the Great Commission.</w:t>
      </w:r>
    </w:p>
    <w:p>
      <w:pPr>
        <w:pStyle w:val="Heading2"/>
        <w:pBdr>
          <w:left w:val="single" w:color="15857A" w:sz="12" w:space="8"/>
        </w:pBdr>
        <w:spacing w:after="140" w:before="300" w:line="312"/>
        <w:ind w:left="200"/>
        <w:jc w:val="left"/>
      </w:pPr>
      <w:bookmarkStart w:id="100009" w:name="_Toc100009"/>
      <w:r>
        <w:rPr>
          <w:rFonts w:ascii="Times New Roman" w:cs="Times New Roman" w:eastAsia="Times New Roman" w:hAnsi="Times New Roman"/>
          <w:b/>
          <w:bCs/>
          <w:color w:val="15857A"/>
          <w:sz w:val="28"/>
          <w:szCs w:val="28"/>
        </w:rPr>
        <w:t xml:space="preserve">Week-by-Week Breakdown</w:t>
      </w:r>
      <w:bookmarkEnd w:id="100009"/>
    </w:p>
    <w:tbl>
      <w:tblPr>
        <w:tblW w:type="pct" w:w="96%"/>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57A" w:sz="6"/>
              <w:left w:val="single" w:color="15857A" w:sz="6"/>
              <w:bottom w:val="single" w:color="15857A" w:sz="6"/>
              <w:right w:val="single" w:color="15857A" w:sz="6"/>
            </w:tcBorders>
            <w:shd w:fill="F8F6F1" w:color="auto" w:val="clear"/>
            <w:tcMar>
              <w:top w:type="dxa" w:w="120"/>
              <w:left w:type="dxa" w:w="150"/>
              <w:bottom w:type="dxa" w:w="120"/>
              <w:right w:type="dxa" w:w="15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8.88888888888889%"/>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Week</w:t>
                  </w:r>
                </w:p>
              </w:tc>
              <w:tc>
                <w:tcPr>
                  <w:tcW w:type="pct" w:w="24.444444444444443%"/>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Theme</w:t>
                  </w:r>
                </w:p>
              </w:tc>
              <w:tc>
                <w:tcPr>
                  <w:tcW w:type="pct" w:w="24.444444444444443%"/>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Scripture</w:t>
                  </w:r>
                </w:p>
              </w:tc>
              <w:tc>
                <w:tcPr>
                  <w:tcW w:type="pct" w:w="42.22222222222222%"/>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SOAP Focus</w:t>
                  </w:r>
                </w:p>
              </w:tc>
            </w:tr>
            <w:tr>
              <w:trPr>
                <w:cantSplit/>
              </w:trPr>
              <w:tc>
                <w:tcPr>
                  <w:tcW w:type="pct" w:w="8.88888888888889%"/>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1</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is Spirit</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John 4:21-24</w:t>
                  </w:r>
                </w:p>
              </w:tc>
              <w:tc>
                <w:tcPr>
                  <w:tcW w:type="pct" w:w="42.222222222222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Worship in spirit and truth — understanding what it means to worship God authentically beyond physical locations and rituals</w:t>
                  </w:r>
                </w:p>
              </w:tc>
            </w:tr>
            <w:tr>
              <w:trPr>
                <w:cantSplit/>
              </w:trPr>
              <w:tc>
                <w:tcPr>
                  <w:tcW w:type="pct" w:w="8.88888888888889%"/>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2</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is Person</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Genesis 1:26-27</w:t>
                  </w:r>
                </w:p>
              </w:tc>
              <w:tc>
                <w:tcPr>
                  <w:tcW w:type="pct" w:w="42.222222222222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Created in God’s image — exploring the profound implications of bearing the divine likeness in our identity and relationships</w:t>
                  </w:r>
                </w:p>
              </w:tc>
            </w:tr>
            <w:tr>
              <w:trPr>
                <w:cantSplit/>
              </w:trPr>
              <w:tc>
                <w:tcPr>
                  <w:tcW w:type="pct" w:w="8.88888888888889%"/>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3</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as Creator</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Colossians 1:15-20</w:t>
                  </w:r>
                </w:p>
              </w:tc>
              <w:tc>
                <w:tcPr>
                  <w:tcW w:type="pct" w:w="42.222222222222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First over all creation — Christ’s supremacy as the agent and sustainer of all that exists</w:t>
                  </w:r>
                </w:p>
              </w:tc>
            </w:tr>
            <w:tr>
              <w:trPr>
                <w:cantSplit/>
              </w:trPr>
              <w:tc>
                <w:tcPr>
                  <w:tcW w:type="pct" w:w="8.88888888888889%"/>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4</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God’s Name: I AM</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Exodus 3:13-15</w:t>
                  </w:r>
                </w:p>
              </w:tc>
              <w:tc>
                <w:tcPr>
                  <w:tcW w:type="pct" w:w="42.222222222222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The Great I AM — encountering God’s self-revelation to Moses and its significance for our understanding of His eternal nature</w:t>
                  </w:r>
                </w:p>
              </w:tc>
            </w:tr>
            <w:tr>
              <w:trPr>
                <w:cantSplit/>
              </w:trPr>
              <w:tc>
                <w:tcPr>
                  <w:tcW w:type="pct" w:w="8.88888888888889%"/>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5</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is One</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Deuteronomy 5:6-7</w:t>
                  </w:r>
                </w:p>
              </w:tc>
              <w:tc>
                <w:tcPr>
                  <w:tcW w:type="pct" w:w="42.222222222222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No other gods — examining the implications of exclusive devotion to the one true God in a pluralistic culture</w:t>
                  </w:r>
                </w:p>
              </w:tc>
            </w:tr>
            <w:tr>
              <w:trPr>
                <w:cantSplit/>
              </w:trPr>
              <w:tc>
                <w:tcPr>
                  <w:tcW w:type="pct" w:w="8.88888888888889%"/>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6</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Jesus: The Living Word</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John 1:1-18</w:t>
                  </w:r>
                </w:p>
              </w:tc>
              <w:tc>
                <w:tcPr>
                  <w:tcW w:type="pct" w:w="42.222222222222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The Word became flesh — the incarnation as the ultimate revelation of God’s character and redemptive purpose</w:t>
                  </w:r>
                </w:p>
              </w:tc>
            </w:tr>
            <w:tr>
              <w:trPr>
                <w:cantSplit/>
              </w:trPr>
              <w:tc>
                <w:tcPr>
                  <w:tcW w:type="pct" w:w="8.88888888888889%"/>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7</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The Forgiving Father</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Luke 15:11-32</w:t>
                  </w:r>
                </w:p>
              </w:tc>
              <w:tc>
                <w:tcPr>
                  <w:tcW w:type="pct" w:w="42.222222222222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Parable of the Prodigal Son — experiencing God’s radical grace and the call to extend that grace to others</w:t>
                  </w:r>
                </w:p>
              </w:tc>
            </w:tr>
            <w:tr>
              <w:trPr>
                <w:cantSplit/>
              </w:trPr>
              <w:tc>
                <w:tcPr>
                  <w:tcW w:type="pct" w:w="8.88888888888889%"/>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8</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Jesus’ First Miracle</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John 2:1-12</w:t>
                  </w:r>
                </w:p>
              </w:tc>
              <w:tc>
                <w:tcPr>
                  <w:tcW w:type="pct" w:w="42.222222222222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Wedding at Cana — discovering how Jesus’ compassion meets human need and reveals His glory</w:t>
                  </w:r>
                </w:p>
              </w:tc>
            </w:tr>
            <w:tr>
              <w:trPr>
                <w:cantSplit/>
              </w:trPr>
              <w:tc>
                <w:tcPr>
                  <w:tcW w:type="pct" w:w="8.88888888888889%"/>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9</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Community of Believers</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Acts 2:42-47</w:t>
                  </w:r>
                </w:p>
              </w:tc>
              <w:tc>
                <w:tcPr>
                  <w:tcW w:type="pct" w:w="42.222222222222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Breaking bread together — the early church as a model for authentic Christian fellowship and shared life</w:t>
                  </w:r>
                </w:p>
              </w:tc>
            </w:tr>
            <w:tr>
              <w:trPr>
                <w:cantSplit/>
              </w:trPr>
              <w:tc>
                <w:tcPr>
                  <w:tcW w:type="pct" w:w="8.88888888888889%"/>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10</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is Eternal</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Psalm 90:2, Acts 17:25</w:t>
                  </w:r>
                </w:p>
              </w:tc>
              <w:tc>
                <w:tcPr>
                  <w:tcW w:type="pct" w:w="42.222222222222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Without beginning or end — resting in God’s transcendent existence and sovereign sustenance of all life</w:t>
                  </w:r>
                </w:p>
              </w:tc>
            </w:tr>
            <w:tr>
              <w:trPr>
                <w:cantSplit/>
              </w:trPr>
              <w:tc>
                <w:tcPr>
                  <w:tcW w:type="pct" w:w="8.88888888888889%"/>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11</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is Omniscient &amp; Omnipotent</w:t>
                  </w:r>
                </w:p>
              </w:tc>
              <w:tc>
                <w:tcPr>
                  <w:tcW w:type="pct" w:w="24.444444444444443%"/>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Psalm 139, Job 42</w:t>
                  </w:r>
                </w:p>
              </w:tc>
              <w:tc>
                <w:tcPr>
                  <w:tcW w:type="pct" w:w="42.222222222222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All-knowing, all-powerful — finding comfort in God’s complete knowledge and unlimited power</w:t>
                  </w:r>
                </w:p>
              </w:tc>
            </w:tr>
            <w:tr>
              <w:trPr>
                <w:cantSplit/>
              </w:trPr>
              <w:tc>
                <w:tcPr>
                  <w:tcW w:type="pct" w:w="8.88888888888889%"/>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12</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God is Omnipresent</w:t>
                  </w:r>
                </w:p>
              </w:tc>
              <w:tc>
                <w:tcPr>
                  <w:tcW w:type="pct" w:w="24.444444444444443%"/>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Jeremiah 23:23-24</w:t>
                  </w:r>
                </w:p>
              </w:tc>
              <w:tc>
                <w:tcPr>
                  <w:tcW w:type="pct" w:w="42.222222222222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Always with us — living with the awareness of God’s constant presence in every circumstance</w:t>
                  </w:r>
                </w:p>
              </w:tc>
            </w:tr>
          </w:tbl>
          <w:p/>
        </w:tc>
      </w:tr>
    </w:tbl>
    <w:p>
      <w:pPr>
        <w:spacing w:after="140" w:line="312"/>
        <w:jc w:val="both"/>
      </w:pPr>
      <w:r>
        <w:rPr>
          <w:rFonts w:ascii="Times New Roman" w:cs="Times New Roman" w:eastAsia="Times New Roman" w:hAnsi="Times New Roman"/>
          <w:color w:val="2D3748"/>
          <w:sz w:val="24"/>
          <w:szCs w:val="24"/>
        </w:rPr>
        <w:t xml:space="preserve">Each week follows the same 4-Pillar structure, creating a predictable rhythm that allows participants to focus on content rather than format. The Scripture selections span both Old and New Testaments, providing a holistic view of God’s self-revelation. The SOAP focus for each week provides a thematic lens through which participants engage the text, ensuring that observation, application, and prayer are anchored to the specific attribute of God being explored.</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10" w:name="_Toc100010"/>
      <w:r>
        <w:rPr>
          <w:rFonts w:ascii="Times New Roman" w:cs="Times New Roman" w:eastAsia="Times New Roman" w:hAnsi="Times New Roman"/>
          <w:b/>
          <w:bCs/>
          <w:color w:val="15857A"/>
          <w:sz w:val="32"/>
          <w:szCs w:val="32"/>
        </w:rPr>
        <w:t xml:space="preserve">Session Structure Template</w:t>
      </w:r>
      <w:bookmarkEnd w:id="100010"/>
    </w:p>
    <w:p>
      <w:pPr>
        <w:spacing w:after="140" w:line="312"/>
        <w:jc w:val="both"/>
      </w:pPr>
      <w:r>
        <w:rPr>
          <w:rFonts w:ascii="Times New Roman" w:cs="Times New Roman" w:eastAsia="Times New Roman" w:hAnsi="Times New Roman"/>
          <w:color w:val="2D3748"/>
          <w:sz w:val="24"/>
          <w:szCs w:val="24"/>
        </w:rPr>
        <w:t xml:space="preserve">The following template serves as a reusable blueprint for every weekly session. Facilitators should customize the specific content (theme, Scripture, questions) while maintaining the structural integrity of the 4-Pillar flow. Consistency in structure creates a predictable environment where participants can focus their energy on encountering God rather than navigating format changes. This template reflects the practices observed in the transcribed Bible study, where a clear but flexible structure enabled both depth and spontaneity.</w:t>
      </w:r>
    </w:p>
    <w:p>
      <w:pPr>
        <w:pStyle w:val="Heading2"/>
        <w:pBdr>
          <w:left w:val="single" w:color="15857A" w:sz="12" w:space="8"/>
        </w:pBdr>
        <w:spacing w:after="140" w:before="300" w:line="312"/>
        <w:ind w:left="200"/>
        <w:jc w:val="left"/>
      </w:pPr>
      <w:bookmarkStart w:id="100011" w:name="_Toc100011"/>
      <w:r>
        <w:rPr>
          <w:rFonts w:ascii="Times New Roman" w:cs="Times New Roman" w:eastAsia="Times New Roman" w:hAnsi="Times New Roman"/>
          <w:b/>
          <w:bCs/>
          <w:color w:val="15857A"/>
          <w:sz w:val="28"/>
          <w:szCs w:val="28"/>
        </w:rPr>
        <w:t xml:space="preserve">Template Layout</w:t>
      </w:r>
      <w:bookmarkEnd w:id="100011"/>
    </w:p>
    <w:p>
      <w:pPr>
        <w:shd w:fill="F0EDE5" w:color="auto" w:val="clear"/>
        <w:spacing w:after="80" w:before="300" w:line="312"/>
        <w:jc w:val="left"/>
      </w:pPr>
      <w:r>
        <w:rPr>
          <w:rFonts w:ascii="Times New Roman" w:cs="Times New Roman" w:eastAsia="Times New Roman" w:hAnsi="Times New Roman"/>
          <w:b/>
          <w:bCs/>
          <w:color w:val="15857A"/>
          <w:sz w:val="26"/>
          <w:szCs w:val="26"/>
        </w:rPr>
        <w:t xml:space="preserve">WEEK [N]: [THEME TITLE]</w:t>
      </w:r>
    </w:p>
    <w:p>
      <w:pPr>
        <w:spacing w:after="200" w:line="312"/>
        <w:jc w:val="left"/>
      </w:pPr>
      <w:r>
        <w:rPr>
          <w:rFonts w:ascii="Times New Roman" w:cs="Times New Roman" w:eastAsia="Times New Roman" w:hAnsi="Times New Roman"/>
          <w:i/>
          <w:iCs/>
          <w:color w:val="718096"/>
          <w:sz w:val="22"/>
          <w:szCs w:val="22"/>
        </w:rPr>
        <w:t xml:space="preserve">Scripture: [Primary Passage]</w:t>
      </w:r>
    </w:p>
    <w:p>
      <w:pPr>
        <w:pStyle w:val="Heading3"/>
        <w:spacing w:after="120" w:before="240" w:line="312"/>
        <w:jc w:val="left"/>
      </w:pPr>
      <w:bookmarkStart w:id="100012" w:name="_Toc100012"/>
      <w:r>
        <w:rPr>
          <w:rFonts w:ascii="Times New Roman" w:cs="Times New Roman" w:eastAsia="Times New Roman" w:hAnsi="Times New Roman"/>
          <w:b/>
          <w:bCs/>
          <w:color w:val="15857A"/>
          <w:sz w:val="24"/>
          <w:szCs w:val="24"/>
        </w:rPr>
        <w:t xml:space="preserve">OPENING ENCOUNTER (20 minutes)</w:t>
      </w:r>
      <w:bookmarkEnd w:id="100012"/>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Welcome &amp; Worship — Begin with 2-3 songs reflecting the weekly theme</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Prayer of Preparation — Invite the Holy Spirit’s illumination</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Testimony Spotlight (5 min) — One participant shares how God’s Word has been at work</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Review: Last Week’s Obedience Steps — Brief check-in on accountability commitments</w:t>
      </w:r>
    </w:p>
    <w:p>
      <w:pPr>
        <w:pStyle w:val="Heading3"/>
        <w:spacing w:after="120" w:before="240" w:line="312"/>
        <w:jc w:val="left"/>
      </w:pPr>
      <w:bookmarkStart w:id="100013" w:name="_Toc100013"/>
      <w:r>
        <w:rPr>
          <w:rFonts w:ascii="Times New Roman" w:cs="Times New Roman" w:eastAsia="Times New Roman" w:hAnsi="Times New Roman"/>
          <w:b/>
          <w:bCs/>
          <w:color w:val="15857A"/>
          <w:sz w:val="24"/>
          <w:szCs w:val="24"/>
        </w:rPr>
        <w:t xml:space="preserve">SCRIPTURE EXEGESIS (35 minutes)</w:t>
      </w:r>
      <w:bookmarkEnd w:id="100013"/>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Read Aloud — Read the passage in multiple translations (e.g., NIV, ESV, Tagalog Ang Salita ng Dios)</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Observation Questions — ‘What do you see?’ Note repeated words, contrasts, commands, promises</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Interpretation Discussion — ‘What does it mean?’ Explore the author’s intended meaning</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Theological Connection — ‘How does this reveal God?’ Connect to His attributes and character</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Cross-Reference Exploration — Trace related passages that illuminate the text</w:t>
      </w:r>
    </w:p>
    <w:p>
      <w:pPr>
        <w:pStyle w:val="Heading3"/>
        <w:spacing w:after="120" w:before="240" w:line="312"/>
        <w:jc w:val="left"/>
      </w:pPr>
      <w:bookmarkStart w:id="100014" w:name="_Toc100014"/>
      <w:r>
        <w:rPr>
          <w:rFonts w:ascii="Times New Roman" w:cs="Times New Roman" w:eastAsia="Times New Roman" w:hAnsi="Times New Roman"/>
          <w:b/>
          <w:bCs/>
          <w:color w:val="15857A"/>
          <w:sz w:val="24"/>
          <w:szCs w:val="24"/>
        </w:rPr>
        <w:t xml:space="preserve">HEART EXAMINATION (20 minutes)</w:t>
      </w:r>
      <w:bookmarkEnd w:id="100014"/>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Personal Reflection — Silent journaling time (3-5 min) for honest self-examination</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Breakout Dialogue — Groups of 3-4 share observations and personal reflections</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Application Commitment — Each person writes one specific, measurable obedience step</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Prayer Partnership — Share your step with an accountability partner and pray together</w:t>
      </w:r>
    </w:p>
    <w:p>
      <w:pPr>
        <w:pStyle w:val="Heading3"/>
        <w:spacing w:after="120" w:before="240" w:line="312"/>
        <w:jc w:val="left"/>
      </w:pPr>
      <w:bookmarkStart w:id="100015" w:name="_Toc100015"/>
      <w:r>
        <w:rPr>
          <w:rFonts w:ascii="Times New Roman" w:cs="Times New Roman" w:eastAsia="Times New Roman" w:hAnsi="Times New Roman"/>
          <w:b/>
          <w:bCs/>
          <w:color w:val="15857A"/>
          <w:sz w:val="24"/>
          <w:szCs w:val="24"/>
        </w:rPr>
        <w:t xml:space="preserve">MISSIONAL EXPRESSION (15 minutes)</w:t>
      </w:r>
      <w:bookmarkEnd w:id="100015"/>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Community Application — ‘How can we live this out together?’ Identify a collective response</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Outreach Connection — Connect the week’s truth to opportunities for witness and service</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Closing Benediction — Send participants out with God’s blessing and commissioning</w:t>
      </w:r>
    </w:p>
    <w:p>
      <w:pPr>
        <w:pStyle w:val="Heading3"/>
        <w:spacing w:after="120" w:before="240" w:line="312"/>
        <w:jc w:val="left"/>
      </w:pPr>
      <w:bookmarkStart w:id="100016" w:name="_Toc100016"/>
      <w:r>
        <w:rPr>
          <w:rFonts w:ascii="Times New Roman" w:cs="Times New Roman" w:eastAsia="Times New Roman" w:hAnsi="Times New Roman"/>
          <w:b/>
          <w:bCs/>
          <w:color w:val="15857A"/>
          <w:sz w:val="24"/>
          <w:szCs w:val="24"/>
        </w:rPr>
        <w:t xml:space="preserve">HOMEWORK (Between Sessions)</w:t>
      </w:r>
      <w:bookmarkEnd w:id="100016"/>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Daily Scripture reading — Follow the 5-day reading plan for the current theme</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Memory verse meditation — Memorize and internalize the assigned weekly verse</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Obedience step execution — Actively live out the commitment made during the session</w:t>
      </w:r>
    </w:p>
    <w:p>
      <w:pPr>
        <w:pStyle w:val="ListParagraph"/>
        <w:numPr>
          <w:ilvl w:val="0"/>
          <w:numId w:val="1"/>
        </w:numPr>
        <w:spacing w:after="60" w:line="312"/>
        <w:jc w:val="both"/>
      </w:pPr>
      <w:r>
        <w:rPr>
          <w:rFonts w:ascii="Times New Roman" w:cs="Times New Roman" w:eastAsia="Times New Roman" w:hAnsi="Times New Roman"/>
          <w:color w:val="2D3748"/>
          <w:sz w:val="24"/>
          <w:szCs w:val="24"/>
        </w:rPr>
        <w:t xml:space="preserve">Preparation for next week — Read the upcoming Scripture passage and come with observations</w:t>
      </w:r>
    </w:p>
    <w:p>
      <w:pPr>
        <w:spacing w:after="140" w:line="312"/>
        <w:jc w:val="both"/>
      </w:pPr>
      <w:r>
        <w:rPr>
          <w:rFonts w:ascii="Times New Roman" w:cs="Times New Roman" w:eastAsia="Times New Roman" w:hAnsi="Times New Roman"/>
          <w:color w:val="2D3748"/>
          <w:sz w:val="24"/>
          <w:szCs w:val="24"/>
        </w:rPr>
        <w:t xml:space="preserve">This template is designed to be both structured and Spirit-led. While the time blocks provide necessary boundaries, facilitators should remain sensitive to the Holy Spirit’s leading, allowing flexibility when a particular discussion or prayer time warrants extended attention. The key is that every session moves participants through the full arc from encounter to expression, ensuring that no element of holistic spiritual formation is neglected.</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17" w:name="_Toc100017"/>
      <w:r>
        <w:rPr>
          <w:rFonts w:ascii="Times New Roman" w:cs="Times New Roman" w:eastAsia="Times New Roman" w:hAnsi="Times New Roman"/>
          <w:b/>
          <w:bCs/>
          <w:color w:val="15857A"/>
          <w:sz w:val="32"/>
          <w:szCs w:val="32"/>
        </w:rPr>
        <w:t xml:space="preserve">Core Methodological Distinctives</w:t>
      </w:r>
      <w:bookmarkEnd w:id="100017"/>
    </w:p>
    <w:p>
      <w:pPr>
        <w:spacing w:after="140" w:line="312"/>
        <w:jc w:val="both"/>
      </w:pPr>
      <w:r>
        <w:rPr>
          <w:rFonts w:ascii="Times New Roman" w:cs="Times New Roman" w:eastAsia="Times New Roman" w:hAnsi="Times New Roman"/>
          <w:color w:val="2D3748"/>
          <w:sz w:val="24"/>
          <w:szCs w:val="24"/>
        </w:rPr>
        <w:t xml:space="preserve">The Living Word seminar is built upon six core methodological distinctives that set it apart from purely academic Bible study programs. These distinctives are not merely pedagogical preferences; they are theological convictions about how God forms His people through His Word. Each distinctive reflects a commitment to the authority of Scripture, the necessity of the Holy Spirit, the integration of knowledge and obedience, and the multiplication mandate inherent in the Great Commission.</w:t>
      </w:r>
    </w:p>
    <w:p>
      <w:pPr>
        <w:pStyle w:val="Heading2"/>
        <w:pBdr>
          <w:left w:val="single" w:color="15857A" w:sz="12" w:space="8"/>
        </w:pBdr>
        <w:spacing w:after="140" w:before="300" w:line="312"/>
        <w:ind w:left="200"/>
        <w:jc w:val="left"/>
      </w:pPr>
      <w:bookmarkStart w:id="100018" w:name="_Toc100018"/>
      <w:r>
        <w:rPr>
          <w:rFonts w:ascii="Times New Roman" w:cs="Times New Roman" w:eastAsia="Times New Roman" w:hAnsi="Times New Roman"/>
          <w:b/>
          <w:bCs/>
          <w:color w:val="15857A"/>
          <w:sz w:val="28"/>
          <w:szCs w:val="28"/>
        </w:rPr>
        <w:t xml:space="preserve">1. Spirit-Dependence</w:t>
      </w:r>
      <w:bookmarkEnd w:id="100018"/>
    </w:p>
    <w:p>
      <w:pPr>
        <w:spacing w:after="140" w:line="312"/>
        <w:jc w:val="both"/>
      </w:pPr>
      <w:r>
        <w:rPr>
          <w:rFonts w:ascii="Times New Roman" w:cs="Times New Roman" w:eastAsia="Times New Roman" w:hAnsi="Times New Roman"/>
          <w:color w:val="2D3748"/>
          <w:sz w:val="24"/>
          <w:szCs w:val="24"/>
        </w:rPr>
        <w:t xml:space="preserve">Every session explicitly invites the Holy Spirit’s illumination through prayer, deliberately avoiding the trap of purely academic study that relies on human intellect alone. This distinctive recognizes that the Bible is a spiritual book that requires spiritual discernment. As the Apostle Paul wrote, ‘The person without the Spirit does not accept the things that come from the Spirit of God but considers them foolishness’ (1 Corinthians 2:14). In practice, this means every session begins with prayer, every study is marked by openness to the Spirit’s prompting, and participants are encouraged to listen for God’s voice not only through the text but also through the community of believers gathered in His name.</w:t>
      </w:r>
    </w:p>
    <w:p>
      <w:pPr>
        <w:pStyle w:val="Heading2"/>
        <w:pBdr>
          <w:left w:val="single" w:color="15857A" w:sz="12" w:space="8"/>
        </w:pBdr>
        <w:spacing w:after="140" w:before="300" w:line="312"/>
        <w:ind w:left="200"/>
        <w:jc w:val="left"/>
      </w:pPr>
      <w:bookmarkStart w:id="100019" w:name="_Toc100019"/>
      <w:r>
        <w:rPr>
          <w:rFonts w:ascii="Times New Roman" w:cs="Times New Roman" w:eastAsia="Times New Roman" w:hAnsi="Times New Roman"/>
          <w:b/>
          <w:bCs/>
          <w:color w:val="15857A"/>
          <w:sz w:val="28"/>
          <w:szCs w:val="28"/>
        </w:rPr>
        <w:t xml:space="preserve">2. Text-Centered Authority</w:t>
      </w:r>
      <w:bookmarkEnd w:id="100019"/>
    </w:p>
    <w:p>
      <w:pPr>
        <w:spacing w:after="140" w:line="312"/>
        <w:jc w:val="both"/>
      </w:pPr>
      <w:r>
        <w:rPr>
          <w:rFonts w:ascii="Times New Roman" w:cs="Times New Roman" w:eastAsia="Times New Roman" w:hAnsi="Times New Roman"/>
          <w:color w:val="2D3748"/>
          <w:sz w:val="24"/>
          <w:szCs w:val="24"/>
        </w:rPr>
        <w:t xml:space="preserve">Scripture remains the authoritative voice of God in every session. Commentary, cultural insight, and human opinion serve the text rather than substituting for it. This distinctive ensures that the Living Word seminar is fundamentally Scripture-driven rather than curriculum-driven. While facilitators may reference scholarly resources and historical context, the primary authority is always the biblical text itself. Participants are trained to ask, ‘What does the text say?’ before asking, ‘What does this commentary say?’ — a discipline that cultivates confidence in personal Bible engagement and guards against the dependency on secondary sources that can characterize shallow Bible study programs.</w:t>
      </w:r>
    </w:p>
    <w:p>
      <w:pPr>
        <w:pStyle w:val="Heading2"/>
        <w:pBdr>
          <w:left w:val="single" w:color="15857A" w:sz="12" w:space="8"/>
        </w:pBdr>
        <w:spacing w:after="140" w:before="300" w:line="312"/>
        <w:ind w:left="200"/>
        <w:jc w:val="left"/>
      </w:pPr>
      <w:bookmarkStart w:id="100020" w:name="_Toc100020"/>
      <w:r>
        <w:rPr>
          <w:rFonts w:ascii="Times New Roman" w:cs="Times New Roman" w:eastAsia="Times New Roman" w:hAnsi="Times New Roman"/>
          <w:b/>
          <w:bCs/>
          <w:color w:val="15857A"/>
          <w:sz w:val="28"/>
          <w:szCs w:val="28"/>
        </w:rPr>
        <w:t xml:space="preserve">3. SOAP Inductive Method</w:t>
      </w:r>
      <w:bookmarkEnd w:id="100020"/>
    </w:p>
    <w:p>
      <w:pPr>
        <w:spacing w:after="140" w:line="312"/>
        <w:jc w:val="both"/>
      </w:pPr>
      <w:r>
        <w:rPr>
          <w:rFonts w:ascii="Times New Roman" w:cs="Times New Roman" w:eastAsia="Times New Roman" w:hAnsi="Times New Roman"/>
          <w:color w:val="2D3748"/>
          <w:sz w:val="24"/>
          <w:szCs w:val="24"/>
        </w:rPr>
        <w:t xml:space="preserve">The SOAP inductive method — Scripture, Observation, Application, Prayer — provides a systematic yet accessible framework for personal Bible engagement. Each participant practices this method weekly, building a habit of Scripture engagement that extends far beyond the seminar itself. The power of SOAP lies in its simplicity and comprehensiveness: it begins with the text (Scripture), trains careful attention (Observation), demands personal response (Application), and returns to God in dependence (Prayer). This method was central to the transcribed Bible study session, where participants demonstrated natural engagement with all four elements, and it provides the reproducible pattern that enables participants to eventually lead their own studies.</w:t>
      </w:r>
    </w:p>
    <w:p>
      <w:pPr>
        <w:pStyle w:val="Heading2"/>
        <w:pBdr>
          <w:left w:val="single" w:color="15857A" w:sz="12" w:space="8"/>
        </w:pBdr>
        <w:spacing w:after="140" w:before="300" w:line="312"/>
        <w:ind w:left="200"/>
        <w:jc w:val="left"/>
      </w:pPr>
      <w:bookmarkStart w:id="100021" w:name="_Toc100021"/>
      <w:r>
        <w:rPr>
          <w:rFonts w:ascii="Times New Roman" w:cs="Times New Roman" w:eastAsia="Times New Roman" w:hAnsi="Times New Roman"/>
          <w:b/>
          <w:bCs/>
          <w:color w:val="15857A"/>
          <w:sz w:val="28"/>
          <w:szCs w:val="28"/>
        </w:rPr>
        <w:t xml:space="preserve">4. Whole-Life Integration</w:t>
      </w:r>
      <w:bookmarkEnd w:id="100021"/>
    </w:p>
    <w:p>
      <w:pPr>
        <w:spacing w:after="140" w:line="312"/>
        <w:jc w:val="both"/>
      </w:pPr>
      <w:r>
        <w:rPr>
          <w:rFonts w:ascii="Times New Roman" w:cs="Times New Roman" w:eastAsia="Times New Roman" w:hAnsi="Times New Roman"/>
          <w:color w:val="2D3748"/>
          <w:sz w:val="24"/>
          <w:szCs w:val="24"/>
        </w:rPr>
        <w:t xml:space="preserve">Every session is designed to align Head (knowledge of God), Heart (affection for God), and Hands (obedient action), ensuring that intellectual understanding, emotional engagement, and practical obedience are not treated as separate categories but as integrated dimensions of holistic discipleship. This distinctive guards against the common pitfalls of Bible study that remains merely informational (head-only), emotionally manipulative (heart-only), or activism-driven (hands-only). The 4-Pillar Architecture specifically positions each element to engage all three dimensions: Exegesis feeds the head, Encounter and Examination engage the heart, and Expression activates the hands.</w:t>
      </w:r>
    </w:p>
    <w:p>
      <w:pPr>
        <w:pStyle w:val="Heading2"/>
        <w:pBdr>
          <w:left w:val="single" w:color="15857A" w:sz="12" w:space="8"/>
        </w:pBdr>
        <w:spacing w:after="140" w:before="300" w:line="312"/>
        <w:ind w:left="200"/>
        <w:jc w:val="left"/>
      </w:pPr>
      <w:bookmarkStart w:id="100022" w:name="_Toc100022"/>
      <w:r>
        <w:rPr>
          <w:rFonts w:ascii="Times New Roman" w:cs="Times New Roman" w:eastAsia="Times New Roman" w:hAnsi="Times New Roman"/>
          <w:b/>
          <w:bCs/>
          <w:color w:val="15857A"/>
          <w:sz w:val="28"/>
          <w:szCs w:val="28"/>
        </w:rPr>
        <w:t xml:space="preserve">5. Communal Discernment</w:t>
      </w:r>
      <w:bookmarkEnd w:id="100022"/>
    </w:p>
    <w:p>
      <w:pPr>
        <w:spacing w:after="140" w:line="312"/>
        <w:jc w:val="both"/>
      </w:pPr>
      <w:r>
        <w:rPr>
          <w:rFonts w:ascii="Times New Roman" w:cs="Times New Roman" w:eastAsia="Times New Roman" w:hAnsi="Times New Roman"/>
          <w:color w:val="2D3748"/>
          <w:sz w:val="24"/>
          <w:szCs w:val="24"/>
        </w:rPr>
        <w:t xml:space="preserve">Learning happens in small group dialogue rather than monologue. Participants observe, question, and discover truth together, reflecting the New Testament pattern of the early church where ‘they devoted themselves to the apostles’ teaching and to fellowship, to the breaking of bread and to prayer’ (Acts 2:42). In the Filipino church context, where ‘bayanihan’ (communal unity) is a deeply embedded cultural value, communal discernment feels natural and creates a learning environment where every voice matters. The small group format ensures that participants learn not only from the facilitator but from each other, as the Holy Spirit uses the entire body of Christ to build understanding and faith.</w:t>
      </w:r>
    </w:p>
    <w:p>
      <w:pPr>
        <w:pStyle w:val="Heading2"/>
        <w:pBdr>
          <w:left w:val="single" w:color="15857A" w:sz="12" w:space="8"/>
        </w:pBdr>
        <w:spacing w:after="140" w:before="300" w:line="312"/>
        <w:ind w:left="200"/>
        <w:jc w:val="left"/>
      </w:pPr>
      <w:bookmarkStart w:id="100023" w:name="_Toc100023"/>
      <w:r>
        <w:rPr>
          <w:rFonts w:ascii="Times New Roman" w:cs="Times New Roman" w:eastAsia="Times New Roman" w:hAnsi="Times New Roman"/>
          <w:b/>
          <w:bCs/>
          <w:color w:val="15857A"/>
          <w:sz w:val="28"/>
          <w:szCs w:val="28"/>
        </w:rPr>
        <w:t xml:space="preserve">6. Multiplication-Minded</w:t>
      </w:r>
      <w:bookmarkEnd w:id="100023"/>
    </w:p>
    <w:p>
      <w:pPr>
        <w:spacing w:after="140" w:line="312"/>
        <w:jc w:val="both"/>
      </w:pPr>
      <w:r>
        <w:rPr>
          <w:rFonts w:ascii="Times New Roman" w:cs="Times New Roman" w:eastAsia="Times New Roman" w:hAnsi="Times New Roman"/>
          <w:color w:val="2D3748"/>
          <w:sz w:val="24"/>
          <w:szCs w:val="24"/>
        </w:rPr>
        <w:t xml:space="preserve">Every participant is equipped to lead others in the same SOAP pattern, ensuring that the seminar reproduces disciples who make disciples. This distinctive is operationalized through progressive facilitation opportunities: participants begin by sharing observations, move to co-facilitating a discussion, and eventually lead a full session under mentorship. By the end of the 12 weeks, at least 30% of participants should have facilitated at least one session, with a pathway established for them to launch new study groups. This multiplication focus prevents the seminar from becoming a consumer-oriented program and instead positions it as a catalytic movement for church-wide disciple-making.</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24" w:name="_Toc100024"/>
      <w:r>
        <w:rPr>
          <w:rFonts w:ascii="Times New Roman" w:cs="Times New Roman" w:eastAsia="Times New Roman" w:hAnsi="Times New Roman"/>
          <w:b/>
          <w:bCs/>
          <w:color w:val="15857A"/>
          <w:sz w:val="32"/>
          <w:szCs w:val="32"/>
        </w:rPr>
        <w:t xml:space="preserve">Facilitator Requirements</w:t>
      </w:r>
      <w:bookmarkEnd w:id="100024"/>
    </w:p>
    <w:p>
      <w:pPr>
        <w:spacing w:after="140" w:line="312"/>
        <w:jc w:val="both"/>
      </w:pPr>
      <w:r>
        <w:rPr>
          <w:rFonts w:ascii="Times New Roman" w:cs="Times New Roman" w:eastAsia="Times New Roman" w:hAnsi="Times New Roman"/>
          <w:color w:val="2D3748"/>
          <w:sz w:val="24"/>
          <w:szCs w:val="24"/>
        </w:rPr>
        <w:t xml:space="preserve">The effectiveness of the Living Word seminar depends significantly on the quality and preparedness of its facilitators. Unlike traditional classroom settings where the teacher is the primary source of knowledge, facilitators in this framework serve as guides who create space for the Holy Spirit to speak through the text and the community. The following requirements outline the spiritual, biblical, relational, missional, and linguistic competencies expected of those who lead Living Word sessions.</w:t>
      </w:r>
    </w:p>
    <w:tbl>
      <w:tblPr>
        <w:tblW w:type="pct" w:w="96%"/>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57A" w:sz="6"/>
              <w:left w:val="single" w:color="15857A" w:sz="6"/>
              <w:bottom w:val="single" w:color="15857A" w:sz="6"/>
              <w:right w:val="single" w:color="15857A" w:sz="6"/>
            </w:tcBorders>
            <w:shd w:fill="F8F6F1" w:color="auto" w:val="clear"/>
            <w:tcMar>
              <w:top w:type="dxa" w:w="120"/>
              <w:left w:type="dxa" w:w="150"/>
              <w:bottom w:type="dxa" w:w="120"/>
              <w:right w:type="dxa" w:w="15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0%"/>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Category</w:t>
                  </w:r>
                </w:p>
              </w:tc>
              <w:tc>
                <w:tcPr>
                  <w:tcW w:type="pct" w:w="80%"/>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Requirement</w:t>
                  </w:r>
                </w:p>
              </w:tc>
            </w:tr>
            <w:tr>
              <w:trPr>
                <w:cantSplit/>
              </w:trPr>
              <w:tc>
                <w:tcPr>
                  <w:tcW w:type="pct" w:w="2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Spiritual</w:t>
                  </w:r>
                </w:p>
              </w:tc>
              <w:tc>
                <w:tcPr>
                  <w:tcW w:type="pct" w:w="8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 mature believer with a consistent devotional life who demonstrates personal application of Scripture in daily living. The facilitator should model the spiritual disciplines they are teaching, including daily Bible reading, prayer, and journaling. Their authenticity in sharing their own journey of obedience and struggle creates a safe environment for participants to be equally transparent.</w:t>
                  </w:r>
                </w:p>
              </w:tc>
            </w:tr>
            <w:tr>
              <w:trPr>
                <w:cantSplit/>
              </w:trPr>
              <w:tc>
                <w:tcPr>
                  <w:tcW w:type="pct" w:w="2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Biblical</w:t>
                  </w:r>
                </w:p>
              </w:tc>
              <w:tc>
                <w:tcPr>
                  <w:tcW w:type="pct" w:w="8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Competent in basic hermeneutics, the SOAP method, and cross-referencing. Able to guide inductive study without dominating the discussion, asking probing questions that lead participants to discover truth for themselves. Should be familiar with the major themes and narratives of both Old and New Testaments.</w:t>
                  </w:r>
                </w:p>
              </w:tc>
            </w:tr>
            <w:tr>
              <w:trPr>
                <w:cantSplit/>
              </w:trPr>
              <w:tc>
                <w:tcPr>
                  <w:tcW w:type="pct" w:w="2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Relational</w:t>
                  </w:r>
                </w:p>
              </w:tc>
              <w:tc>
                <w:tcPr>
                  <w:tcW w:type="pct" w:w="8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Skilled in drawing out participation from mixed-maturity groups. Must manage group dynamics warmly, ensuring that dominant voices do not silence quieter participants and that newcomers feel welcomed. Sensitivity to cultural dynamics, including Filipino communication patterns such as indirect speech and respect for elders, is essential.</w:t>
                  </w:r>
                </w:p>
              </w:tc>
            </w:tr>
            <w:tr>
              <w:trPr>
                <w:cantSplit/>
              </w:trPr>
              <w:tc>
                <w:tcPr>
                  <w:tcW w:type="pct" w:w="2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Missional</w:t>
                  </w:r>
                </w:p>
              </w:tc>
              <w:tc>
                <w:tcPr>
                  <w:tcW w:type="pct" w:w="8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Passionate about connecting study to kingdom impact. The facilitator should model obedience-oriented faith, regularly sharing how their own engagement with Scripture has led to concrete acts of service, evangelism, and community engagement. They should cast vision for how the group’s study can translate into collective mission.</w:t>
                  </w:r>
                </w:p>
              </w:tc>
            </w:tr>
            <w:tr>
              <w:trPr>
                <w:cantSplit/>
              </w:trPr>
              <w:tc>
                <w:tcPr>
                  <w:tcW w:type="pct" w:w="2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Linguistic</w:t>
                  </w:r>
                </w:p>
              </w:tc>
              <w:tc>
                <w:tcPr>
                  <w:tcW w:type="pct" w:w="8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Comfortable with bilingual (Filipino-English) instruction and sensitive to Taglish communication patterns. Should be able to code-switch naturally, ensuring that participants who are more comfortable in Filipino or English can equally engage. Familiarity with common Filipino theological terms and expressions is preferred.</w:t>
                  </w:r>
                </w:p>
              </w:tc>
            </w:tr>
          </w:tbl>
          <w:p/>
        </w:tc>
      </w:tr>
    </w:tbl>
    <w:p>
      <w:pPr>
        <w:spacing w:after="140" w:line="312"/>
        <w:jc w:val="both"/>
      </w:pPr>
      <w:r>
        <w:rPr>
          <w:rFonts w:ascii="Times New Roman" w:cs="Times New Roman" w:eastAsia="Times New Roman" w:hAnsi="Times New Roman"/>
          <w:color w:val="2D3748"/>
          <w:sz w:val="24"/>
          <w:szCs w:val="24"/>
        </w:rPr>
        <w:t xml:space="preserve">Prospective facilitators should undergo a preparation period that includes observing at least two full sessions, co-facilitating one session under mentorship, and completing a facilitator orientation that covers the SOAP method, group dynamics, and the 4-Pillar Architecture. This apprenticeship model ensures quality and consistency across all Living Word groups while building a sustainable leadership pipeline for the church.</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25" w:name="_Toc100025"/>
      <w:r>
        <w:rPr>
          <w:rFonts w:ascii="Times New Roman" w:cs="Times New Roman" w:eastAsia="Times New Roman" w:hAnsi="Times New Roman"/>
          <w:b/>
          <w:bCs/>
          <w:color w:val="15857A"/>
          <w:sz w:val="32"/>
          <w:szCs w:val="32"/>
        </w:rPr>
        <w:t xml:space="preserve">Success Metrics</w:t>
      </w:r>
      <w:bookmarkEnd w:id="100025"/>
    </w:p>
    <w:p>
      <w:pPr>
        <w:spacing w:after="140" w:line="312"/>
        <w:jc w:val="both"/>
      </w:pPr>
      <w:r>
        <w:rPr>
          <w:rFonts w:ascii="Times New Roman" w:cs="Times New Roman" w:eastAsia="Times New Roman" w:hAnsi="Times New Roman"/>
          <w:color w:val="2D3748"/>
          <w:sz w:val="24"/>
          <w:szCs w:val="24"/>
        </w:rPr>
        <w:t xml:space="preserve">Measuring the impact of a Bible study seminar requires a balance of quantitative indicators and qualitative observations. The following metrics are organized by timeframe — short-term (within the first 6 weeks) and long-term (at the conclusion of the 12 weeks and beyond). These metrics are designed to be practical, measurable, and directly connected to the seminar’s primary outcome goal of equipping participants to know God deeply and produce measurable life transformation.</w:t>
      </w:r>
    </w:p>
    <w:tbl>
      <w:tblPr>
        <w:tblW w:type="pct" w:w="96%"/>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57A" w:sz="6"/>
              <w:left w:val="single" w:color="15857A" w:sz="6"/>
              <w:bottom w:val="single" w:color="15857A" w:sz="6"/>
              <w:right w:val="single" w:color="15857A" w:sz="6"/>
            </w:tcBorders>
            <w:shd w:fill="F8F6F1" w:color="auto" w:val="clear"/>
            <w:tcMar>
              <w:top w:type="dxa" w:w="120"/>
              <w:left w:type="dxa" w:w="150"/>
              <w:bottom w:type="dxa" w:w="120"/>
              <w:right w:type="dxa" w:w="15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Timeframe</w:t>
                  </w:r>
                </w:p>
              </w:tc>
              <w:tc>
                <w:tcPr>
                  <w:tcW w:type="pct" w:w="30%"/>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Metric</w:t>
                  </w:r>
                </w:p>
              </w:tc>
              <w:tc>
                <w:tcPr>
                  <w:tcW w:type="pct" w:w="48%"/>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Target</w:t>
                  </w:r>
                </w:p>
              </w:tc>
            </w:tr>
            <w:tr>
              <w:trPr>
                <w:cantSplit/>
              </w:trPr>
              <w:tc>
                <w:tcPr>
                  <w:tcW w:type="pct" w:w="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Short-Term (6 weeks)</w:t>
                  </w:r>
                </w:p>
              </w:tc>
              <w:tc>
                <w:tcPr>
                  <w:tcW w:type="pct" w:w="3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Attendance retention</w:t>
                  </w:r>
                </w:p>
              </w:tc>
              <w:tc>
                <w:tcPr>
                  <w:tcW w:type="pct" w:w="48%"/>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90%+ of enrolled participants remain active through Week 6</w:t>
                  </w:r>
                </w:p>
              </w:tc>
            </w:tr>
            <w:tr>
              <w:trPr>
                <w:cantSplit/>
              </w:trPr>
              <w:tc>
                <w:tcPr>
                  <w:tcW w:type="pct" w:w="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Short-Term (6 weeks)</w:t>
                  </w:r>
                </w:p>
              </w:tc>
              <w:tc>
                <w:tcPr>
                  <w:tcW w:type="pct" w:w="3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Active participation in discussion</w:t>
                  </w:r>
                </w:p>
              </w:tc>
              <w:tc>
                <w:tcPr>
                  <w:tcW w:type="pct" w:w="48%"/>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80%+ of participants contribute meaningfully to small group dialogue each session</w:t>
                  </w:r>
                </w:p>
              </w:tc>
            </w:tr>
            <w:tr>
              <w:trPr>
                <w:cantSplit/>
              </w:trPr>
              <w:tc>
                <w:tcPr>
                  <w:tcW w:type="pct" w:w="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Short-Term (6 weeks)</w:t>
                  </w:r>
                </w:p>
              </w:tc>
              <w:tc>
                <w:tcPr>
                  <w:tcW w:type="pct" w:w="3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Completed weekly SOAP journal entries</w:t>
                  </w:r>
                </w:p>
              </w:tc>
              <w:tc>
                <w:tcPr>
                  <w:tcW w:type="pct" w:w="48%"/>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100% submission rate for weekly journal assignments</w:t>
                  </w:r>
                </w:p>
              </w:tc>
            </w:tr>
            <w:tr>
              <w:trPr>
                <w:cantSplit/>
              </w:trPr>
              <w:tc>
                <w:tcPr>
                  <w:tcW w:type="pct" w:w="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Short-Term (6 weeks)</w:t>
                  </w:r>
                </w:p>
              </w:tc>
              <w:tc>
                <w:tcPr>
                  <w:tcW w:type="pct" w:w="3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Scripture memory proficiency</w:t>
                  </w:r>
                </w:p>
              </w:tc>
              <w:tc>
                <w:tcPr>
                  <w:tcW w:type="pct" w:w="48%"/>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At least 6 key verses memorized and recited accurately by each participant</w:t>
                  </w:r>
                </w:p>
              </w:tc>
            </w:tr>
            <w:tr>
              <w:trPr>
                <w:cantSplit/>
              </w:trPr>
              <w:tc>
                <w:tcPr>
                  <w:tcW w:type="pct" w:w="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Long-Term (12 weeks+)</w:t>
                  </w:r>
                </w:p>
              </w:tc>
              <w:tc>
                <w:tcPr>
                  <w:tcW w:type="pct" w:w="3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New small groups launched</w:t>
                  </w:r>
                </w:p>
              </w:tc>
              <w:tc>
                <w:tcPr>
                  <w:tcW w:type="pct" w:w="48%"/>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At least 2 new study groups initiated by seminar participants</w:t>
                  </w:r>
                </w:p>
              </w:tc>
            </w:tr>
            <w:tr>
              <w:trPr>
                <w:cantSplit/>
              </w:trPr>
              <w:tc>
                <w:tcPr>
                  <w:tcW w:type="pct" w:w="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Long-Term (12 weeks+)</w:t>
                  </w:r>
                </w:p>
              </w:tc>
              <w:tc>
                <w:tcPr>
                  <w:tcW w:type="pct" w:w="3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Participants leading others</w:t>
                  </w:r>
                </w:p>
              </w:tc>
              <w:tc>
                <w:tcPr>
                  <w:tcW w:type="pct" w:w="48%"/>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30%+ of participants have facilitated at least one full session by Week 12</w:t>
                  </w:r>
                </w:p>
              </w:tc>
            </w:tr>
            <w:tr>
              <w:trPr>
                <w:cantSplit/>
              </w:trPr>
              <w:tc>
                <w:tcPr>
                  <w:tcW w:type="pct" w:w="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Long-Term (12 weeks+)</w:t>
                  </w:r>
                </w:p>
              </w:tc>
              <w:tc>
                <w:tcPr>
                  <w:tcW w:type="pct" w:w="30%"/>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Observable life transformation</w:t>
                  </w:r>
                </w:p>
              </w:tc>
              <w:tc>
                <w:tcPr>
                  <w:tcW w:type="pct" w:w="48%"/>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Documented through periodic journal review and accountability partner feedback</w:t>
                  </w:r>
                </w:p>
              </w:tc>
            </w:tr>
            <w:tr>
              <w:trPr>
                <w:cantSplit/>
              </w:trPr>
              <w:tc>
                <w:tcPr>
                  <w:tcW w:type="pct" w:w="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Long-Term (12 weeks+)</w:t>
                  </w:r>
                </w:p>
              </w:tc>
              <w:tc>
                <w:tcPr>
                  <w:tcW w:type="pct" w:w="30%"/>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Community impact projects initiated</w:t>
                  </w:r>
                </w:p>
              </w:tc>
              <w:tc>
                <w:tcPr>
                  <w:tcW w:type="pct" w:w="48%"/>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At least 1 outreach event or service project planned and executed by the group</w:t>
                  </w:r>
                </w:p>
              </w:tc>
            </w:tr>
          </w:tbl>
          <w:p/>
        </w:tc>
      </w:tr>
    </w:tbl>
    <w:p>
      <w:pPr>
        <w:spacing w:after="140" w:line="312"/>
        <w:jc w:val="both"/>
      </w:pPr>
      <w:r>
        <w:rPr>
          <w:rFonts w:ascii="Times New Roman" w:cs="Times New Roman" w:eastAsia="Times New Roman" w:hAnsi="Times New Roman"/>
          <w:color w:val="2D3748"/>
          <w:sz w:val="24"/>
          <w:szCs w:val="24"/>
        </w:rPr>
        <w:t xml:space="preserve">These metrics serve multiple purposes: they provide accountability for facilitators and participants, supply church leadership with data for resource allocation and program evaluation, and create natural celebration points that reinforce the seminar’s momentum. It is important, however, that metrics remain tools for growth rather than ends in themselves. The ultimate measure of success is not found in numbers but in the transformed lives of participants who increasingly reflect the character of Christ as revealed in His Word.</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26" w:name="_Toc100026"/>
      <w:r>
        <w:rPr>
          <w:rFonts w:ascii="Times New Roman" w:cs="Times New Roman" w:eastAsia="Times New Roman" w:hAnsi="Times New Roman"/>
          <w:b/>
          <w:bCs/>
          <w:color w:val="15857A"/>
          <w:sz w:val="32"/>
          <w:szCs w:val="32"/>
        </w:rPr>
        <w:t xml:space="preserve">Adaptation Framework</w:t>
      </w:r>
      <w:bookmarkEnd w:id="100026"/>
    </w:p>
    <w:p>
      <w:pPr>
        <w:spacing w:after="140" w:line="312"/>
        <w:jc w:val="both"/>
      </w:pPr>
      <w:r>
        <w:rPr>
          <w:rFonts w:ascii="Times New Roman" w:cs="Times New Roman" w:eastAsia="Times New Roman" w:hAnsi="Times New Roman"/>
          <w:color w:val="2D3748"/>
          <w:sz w:val="24"/>
          <w:szCs w:val="24"/>
        </w:rPr>
        <w:t xml:space="preserve">The Living Word seminar is designed with built-in flexibility to serve diverse contexts within the Filipino church and beyond. While the core 4-Pillar Architecture and SOAP methodology remain constant, the following adaptation guidelines allow facilitators to modify specific elements to meet the unique needs of different demographic groups. These adaptations are not compromises but contextualizations that honor the universal truth of Scripture while respecting the particularities of each community.</w:t>
      </w:r>
    </w:p>
    <w:tbl>
      <w:tblPr>
        <w:tblW w:type="pct" w:w="96%"/>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57A" w:sz="6"/>
              <w:left w:val="single" w:color="15857A" w:sz="6"/>
              <w:bottom w:val="single" w:color="15857A" w:sz="6"/>
              <w:right w:val="single" w:color="15857A" w:sz="6"/>
            </w:tcBorders>
            <w:shd w:fill="F8F6F1" w:color="auto" w:val="clear"/>
            <w:tcMar>
              <w:top w:type="dxa" w:w="120"/>
              <w:left w:type="dxa" w:w="150"/>
              <w:bottom w:type="dxa" w:w="120"/>
              <w:right w:type="dxa" w:w="15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22%"/>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Context</w:t>
                  </w:r>
                </w:p>
              </w:tc>
              <w:tc>
                <w:tcPr>
                  <w:tcW w:type="pct" w:w="78%"/>
                  <w:tcBorders>
                    <w:top w:val="none" w:color="auto" w:sz="0"/>
                    <w:left w:val="none" w:color="auto" w:sz="0"/>
                    <w:bottom w:val="none" w:color="auto" w:sz="0"/>
                    <w:right w:val="none" w:color="auto" w:sz="0"/>
                  </w:tcBorders>
                  <w:shd w:fill="15857A" w:color="auto" w:val="clear"/>
                  <w:tcMar>
                    <w:top w:type="dxa" w:w="60"/>
                    <w:left w:type="dxa" w:w="120"/>
                    <w:bottom w:type="dxa" w:w="60"/>
                    <w:right w:type="dxa" w:w="120"/>
                  </w:tcMar>
                </w:tcPr>
                <w:p>
                  <w:pPr>
                    <w:spacing w:after="0" w:line="312"/>
                  </w:pPr>
                  <w:r>
                    <w:rPr>
                      <w:rFonts w:ascii="Times New Roman" w:cs="Times New Roman" w:eastAsia="Times New Roman" w:hAnsi="Times New Roman"/>
                      <w:b/>
                      <w:bCs/>
                      <w:color w:val="FFFFFF"/>
                      <w:sz w:val="22"/>
                      <w:szCs w:val="22"/>
                    </w:rPr>
                    <w:t xml:space="preserve">Modification</w:t>
                  </w:r>
                </w:p>
              </w:tc>
            </w:tr>
            <w:tr>
              <w:trPr>
                <w:cantSplit/>
              </w:trPr>
              <w:tc>
                <w:tcPr>
                  <w:tcW w:type="pct" w:w="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Youth Groups</w:t>
                  </w:r>
                </w:p>
              </w:tc>
              <w:tc>
                <w:tcPr>
                  <w:tcW w:type="pct" w:w="78%"/>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Increase interactive elements such as multimedia, role-playing, and creative expression. Shorten lecture-style exposition segments to no more than 10 minutes. Integrate social media journaling (e.g., shared WhatsApp or Facebook group reflections). Use contemporary worship music and culturally relevant illustrations. Consider gamifying the memory verse component.</w:t>
                  </w:r>
                </w:p>
              </w:tc>
            </w:tr>
            <w:tr>
              <w:trPr>
                <w:cantSplit/>
              </w:trPr>
              <w:tc>
                <w:tcPr>
                  <w:tcW w:type="pct" w:w="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Senior Adults</w:t>
                  </w:r>
                </w:p>
              </w:tc>
              <w:tc>
                <w:tcPr>
                  <w:tcW w:type="pct" w:w="78%"/>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Deepen theological reflection and emphasize wisdom transmission from older to younger believers. Allow more time for personal testimony sharing, drawing on the rich life experience of senior participants. Use larger print materials. Offer both seated and movement-based activities. Consider a slower pace through texts, prioritizing depth over coverage.</w:t>
                  </w:r>
                </w:p>
              </w:tc>
            </w:tr>
            <w:tr>
              <w:trPr>
                <w:cantSplit/>
              </w:trPr>
              <w:tc>
                <w:tcPr>
                  <w:tcW w:type="pct" w:w="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New Believers</w:t>
                  </w:r>
                </w:p>
              </w:tc>
              <w:tc>
                <w:tcPr>
                  <w:tcW w:type="pct" w:w="78%"/>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Add foundational vocabulary building, including a glossary of common theological terms (e.g., grace, justification, sanctification). Proceed at a slower pace through texts, ensuring comprehension before advancing. Pair each new believer with a mature believer mentor for between-session check-ins. Provide pre-session reading guides with context and explanatory notes.</w:t>
                  </w:r>
                </w:p>
              </w:tc>
            </w:tr>
            <w:tr>
              <w:trPr>
                <w:cantSplit/>
              </w:trPr>
              <w:tc>
                <w:tcPr>
                  <w:tcW w:type="pct" w:w="22%"/>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Leadership Development</w:t>
                  </w:r>
                </w:p>
              </w:tc>
              <w:tc>
                <w:tcPr>
                  <w:tcW w:type="pct" w:w="78%"/>
                  <w:tcBorders>
                    <w:top w:val="none" w:color="auto" w:sz="0"/>
                    <w:left w:val="none" w:color="auto" w:sz="0"/>
                    <w:bottom w:val="none" w:color="auto" w:sz="0"/>
                    <w:right w:val="none" w:color="auto" w:sz="0"/>
                  </w:tcBorders>
                  <w:shd w:fill="F8F6F1"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Add teaching preparation assignments for advanced participants. Include facilitation training practicum with observed feedback sessions. Create co-lead opportunities where emerging leaders manage specific pillars. Designate mentored facilitation weeks where trainees lead with a mentor present for support and evaluation.</w:t>
                  </w:r>
                </w:p>
              </w:tc>
            </w:tr>
            <w:tr>
              <w:trPr>
                <w:cantSplit/>
              </w:trPr>
              <w:tc>
                <w:tcPr>
                  <w:tcW w:type="pct" w:w="22%"/>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Recovery Groups</w:t>
                  </w:r>
                </w:p>
              </w:tc>
              <w:tc>
                <w:tcPr>
                  <w:tcW w:type="pct" w:w="78%"/>
                  <w:tcBorders>
                    <w:top w:val="none" w:color="auto" w:sz="0"/>
                    <w:left w:val="none" w:color="auto" w:sz="0"/>
                    <w:bottom w:val="none" w:color="auto" w:sz="0"/>
                    <w:right w:val="none" w:color="auto" w:sz="0"/>
                  </w:tcBorders>
                  <w:shd w:fill="FFFFFF" w:color="auto" w:val="clear"/>
                  <w:tcMar>
                    <w:top w:type="dxa" w:w="60"/>
                    <w:left w:type="dxa" w:w="120"/>
                    <w:bottom w:type="dxa" w:w="60"/>
                    <w:right w:type="dxa" w:w="120"/>
                  </w:tcMar>
                </w:tcPr>
                <w:p>
                  <w:pPr>
                    <w:spacing w:after="0" w:line="312"/>
                  </w:pPr>
                  <w:r>
                    <w:rPr>
                      <w:rFonts w:ascii="Times New Roman" w:cs="Times New Roman" w:eastAsia="Times New Roman" w:hAnsi="Times New Roman"/>
                      <w:color w:val="2D3748"/>
                      <w:sz w:val="21"/>
                      <w:szCs w:val="21"/>
                    </w:rPr>
                    <w:t xml:space="preserve">Integrate step-work principles with biblical foundations, showing how Scripture addresses brokenness, redemption, and restoration. Emphasize God’s unconditional love and grace. Extend the Prayer of Consecration time to allow for deeper emotional processing. Ensure the small group environment maintains confidentiality and psychological safety.</w:t>
                  </w:r>
                </w:p>
              </w:tc>
            </w:tr>
          </w:tbl>
          <w:p/>
        </w:tc>
      </w:tr>
    </w:tbl>
    <w:p>
      <w:pPr>
        <w:spacing w:after="140" w:line="312"/>
        <w:jc w:val="both"/>
      </w:pPr>
      <w:r>
        <w:rPr>
          <w:rFonts w:ascii="Times New Roman" w:cs="Times New Roman" w:eastAsia="Times New Roman" w:hAnsi="Times New Roman"/>
          <w:color w:val="2D3748"/>
          <w:sz w:val="24"/>
          <w:szCs w:val="24"/>
        </w:rPr>
        <w:t xml:space="preserve">When adapting the framework, facilitators should maintain the integrity of the SOAP method and the 4-Pillar progression while allowing flexibility in the specific activities, time allocations, and supplementary materials used within each pillar. The key principle is that adaptations should serve the goal of deeper engagement with God’s Word, not dilute it. Church leaders overseeing multiple Living Word groups should ensure that all adaptations are reviewed and approved to maintain programmatic consistency across the church.</w:t>
      </w:r>
    </w:p>
    <w:p>
      <w:pPr>
        <w:pBdr>
          <w:top w:val="single" w:color="FF6A3B" w:sz="4" w:space="4"/>
        </w:pBdr>
        <w:spacing w:after="200" w:before="200"/>
        <w:ind w:left="3000" w:right="3000"/>
        <w:jc w:val="center"/>
      </w:pPr>
    </w:p>
    <w:p>
      <w:pPr>
        <w:pStyle w:val="Heading1"/>
        <w:pBdr>
          <w:bottom w:val="single" w:color="FF6A3B" w:sz="4" w:space="6"/>
        </w:pBdr>
        <w:spacing w:after="200" w:before="400" w:line="312"/>
        <w:jc w:val="center"/>
      </w:pPr>
      <w:bookmarkStart w:id="100027" w:name="_Toc100027"/>
      <w:r>
        <w:rPr>
          <w:rFonts w:ascii="Times New Roman" w:cs="Times New Roman" w:eastAsia="Times New Roman" w:hAnsi="Times New Roman"/>
          <w:b/>
          <w:bCs/>
          <w:color w:val="15857A"/>
          <w:sz w:val="32"/>
          <w:szCs w:val="32"/>
        </w:rPr>
        <w:t xml:space="preserve">Essential Resources</w:t>
      </w:r>
      <w:bookmarkEnd w:id="100027"/>
    </w:p>
    <w:p>
      <w:pPr>
        <w:spacing w:after="140" w:line="312"/>
        <w:jc w:val="both"/>
      </w:pPr>
      <w:r>
        <w:rPr>
          <w:rFonts w:ascii="Times New Roman" w:cs="Times New Roman" w:eastAsia="Times New Roman" w:hAnsi="Times New Roman"/>
          <w:color w:val="2D3748"/>
          <w:sz w:val="24"/>
          <w:szCs w:val="24"/>
        </w:rPr>
        <w:t xml:space="preserve">The following resources are recommended for all participants and facilitators of the Living Word seminar. These tools are selected to support the inductive study method and enhance the overall learning experience. While none of these resources replace the primacy of Scripture itself, they serve as valuable aids for deeper engagement, cross-referencing, and personal reflection.</w:t>
      </w:r>
    </w:p>
    <w:p>
      <w:pPr>
        <w:pStyle w:val="Heading2"/>
        <w:pBdr>
          <w:left w:val="single" w:color="15857A" w:sz="12" w:space="8"/>
        </w:pBdr>
        <w:spacing w:after="140" w:before="300" w:line="312"/>
        <w:ind w:left="200"/>
        <w:jc w:val="left"/>
      </w:pPr>
      <w:bookmarkStart w:id="100028" w:name="_Toc100028"/>
      <w:r>
        <w:rPr>
          <w:rFonts w:ascii="Times New Roman" w:cs="Times New Roman" w:eastAsia="Times New Roman" w:hAnsi="Times New Roman"/>
          <w:b/>
          <w:bCs/>
          <w:color w:val="15857A"/>
          <w:sz w:val="28"/>
          <w:szCs w:val="28"/>
        </w:rPr>
        <w:t xml:space="preserve">Study Bible (ESV, NIV, or NLT Recommended)</w:t>
      </w:r>
      <w:bookmarkEnd w:id="100028"/>
    </w:p>
    <w:p>
      <w:pPr>
        <w:spacing w:after="140" w:line="312"/>
        <w:jc w:val="both"/>
      </w:pPr>
      <w:r>
        <w:rPr>
          <w:rFonts w:ascii="Times New Roman" w:cs="Times New Roman" w:eastAsia="Times New Roman" w:hAnsi="Times New Roman"/>
          <w:color w:val="2D3748"/>
          <w:sz w:val="24"/>
          <w:szCs w:val="24"/>
        </w:rPr>
        <w:t xml:space="preserve">A reliable study Bible serves as the primary text for inductive study. The English Standard Version (ESV) offers a balance of readability and literal accuracy, making it excellent for observation work. The New International Version (NIV) provides accessibility for those less familiar with biblical language, while the New Living Translation (NLT) offers a dynamic equivalent that illuminates meaning. Filipino participants are also encouraged to use the Ang Salita ng Dios (Tagalog) translation alongside their English Bible. Having multiple translations available during group sessions enriches the observation phase and deepens understanding. A study Bible with cross-references, footnotes, and brief book introductions provides the essential background information needed for contextual immersion without replacing the inductive process.</w:t>
      </w:r>
    </w:p>
    <w:p>
      <w:pPr>
        <w:pStyle w:val="Heading2"/>
        <w:pBdr>
          <w:left w:val="single" w:color="15857A" w:sz="12" w:space="8"/>
        </w:pBdr>
        <w:spacing w:after="140" w:before="300" w:line="312"/>
        <w:ind w:left="200"/>
        <w:jc w:val="left"/>
      </w:pPr>
      <w:bookmarkStart w:id="100029" w:name="_Toc100029"/>
      <w:r>
        <w:rPr>
          <w:rFonts w:ascii="Times New Roman" w:cs="Times New Roman" w:eastAsia="Times New Roman" w:hAnsi="Times New Roman"/>
          <w:b/>
          <w:bCs/>
          <w:color w:val="15857A"/>
          <w:sz w:val="28"/>
          <w:szCs w:val="28"/>
        </w:rPr>
        <w:t xml:space="preserve">SOAP Journal (Two Notebooks Required)</w:t>
      </w:r>
      <w:bookmarkEnd w:id="100029"/>
    </w:p>
    <w:p>
      <w:pPr>
        <w:spacing w:after="140" w:line="312"/>
        <w:jc w:val="both"/>
      </w:pPr>
      <w:r>
        <w:rPr>
          <w:rFonts w:ascii="Times New Roman" w:cs="Times New Roman" w:eastAsia="Times New Roman" w:hAnsi="Times New Roman"/>
          <w:color w:val="2D3748"/>
          <w:sz w:val="24"/>
          <w:szCs w:val="24"/>
        </w:rPr>
        <w:t xml:space="preserve">Two separate notebooks are required for the duration of the seminar. The first notebook is the Submission Journal, which participants share with their accountability partner and, periodically, with the facilitator for review and feedback. This journal contains weekly SOAP entries, obedience step commitments, and reflections on how God is working in their life. The second notebook is the Personal Reflection Journal, which is never submitted and serves as a private space for honest prayer, struggle, and processing. This dual-journal system balances the accountability value of shared reflection with the privacy necessary for authentic spiritual growth. Participants should date every entry and bring both journals to each session.</w:t>
      </w:r>
    </w:p>
    <w:p>
      <w:pPr>
        <w:pStyle w:val="Heading2"/>
        <w:pBdr>
          <w:left w:val="single" w:color="15857A" w:sz="12" w:space="8"/>
        </w:pBdr>
        <w:spacing w:after="140" w:before="300" w:line="312"/>
        <w:ind w:left="200"/>
        <w:jc w:val="left"/>
      </w:pPr>
      <w:bookmarkStart w:id="100030" w:name="_Toc100030"/>
      <w:r>
        <w:rPr>
          <w:rFonts w:ascii="Times New Roman" w:cs="Times New Roman" w:eastAsia="Times New Roman" w:hAnsi="Times New Roman"/>
          <w:b/>
          <w:bCs/>
          <w:color w:val="15857A"/>
          <w:sz w:val="28"/>
          <w:szCs w:val="28"/>
        </w:rPr>
        <w:t xml:space="preserve">Cross-Reference Tools (Concordance, Bible Software/Apps)</w:t>
      </w:r>
      <w:bookmarkEnd w:id="100030"/>
    </w:p>
    <w:p>
      <w:pPr>
        <w:spacing w:after="140" w:line="312"/>
        <w:jc w:val="both"/>
      </w:pPr>
      <w:r>
        <w:rPr>
          <w:rFonts w:ascii="Times New Roman" w:cs="Times New Roman" w:eastAsia="Times New Roman" w:hAnsi="Times New Roman"/>
          <w:color w:val="2D3748"/>
          <w:sz w:val="24"/>
          <w:szCs w:val="24"/>
        </w:rPr>
        <w:t xml:space="preserve">Cross-reference tools enable deeper Scripture interpretation by allowing participants to trace themes, words, and concepts across the biblical canon. A printed concordance such as Strong’s Exhaustive Concordance provides word-level study capabilities, while digital tools like the Blue Letter Bible app, YouVersion, or Logos Bible Software offer searchable interfaces, interlinear translations, and access to commentaries. For the Filipino context, several Bible apps offer both English and Tagalog translations with integrated cross-references. Participants should be trained in the basic use of at least one cross-reference tool during the first two weeks of the seminar, building a skill that will serve their Bible engagement long after the program concludes.</w:t>
      </w:r>
    </w:p>
    <w:p>
      <w:pPr>
        <w:pStyle w:val="Heading2"/>
        <w:pBdr>
          <w:left w:val="single" w:color="15857A" w:sz="12" w:space="8"/>
        </w:pBdr>
        <w:spacing w:after="140" w:before="300" w:line="312"/>
        <w:ind w:left="200"/>
        <w:jc w:val="left"/>
      </w:pPr>
      <w:bookmarkStart w:id="100031" w:name="_Toc100031"/>
      <w:r>
        <w:rPr>
          <w:rFonts w:ascii="Times New Roman" w:cs="Times New Roman" w:eastAsia="Times New Roman" w:hAnsi="Times New Roman"/>
          <w:b/>
          <w:bCs/>
          <w:color w:val="15857A"/>
          <w:sz w:val="28"/>
          <w:szCs w:val="28"/>
        </w:rPr>
        <w:t xml:space="preserve">Worship Playlist Curated to Weekly Themes</w:t>
      </w:r>
      <w:bookmarkEnd w:id="100031"/>
    </w:p>
    <w:p>
      <w:pPr>
        <w:spacing w:after="140" w:line="312"/>
        <w:jc w:val="both"/>
      </w:pPr>
      <w:r>
        <w:rPr>
          <w:rFonts w:ascii="Times New Roman" w:cs="Times New Roman" w:eastAsia="Times New Roman" w:hAnsi="Times New Roman"/>
          <w:color w:val="2D3748"/>
          <w:sz w:val="24"/>
          <w:szCs w:val="24"/>
        </w:rPr>
        <w:t xml:space="preserve">A carefully curated worship playlist enhances the Encounter pillar experience by creating a sonic environment that reinforces the weekly theme. The facilitator should prepare 2-3 songs per session that directly connect to the attribute of God being studied. For example, when studying ‘God is Spirit’ (Week 1), songs about worship and surrender would be appropriate. The playlist should include a mix of English and Filipino worship songs, reflecting the bilingual context of the Filipino church. In online settings, screen-sharing lyrics and playing music through the platform ensures that remote participants can fully participate. The worship playlist is not background music but a formative element that prepares hearts for engagement with God’s Word.</w:t>
      </w:r>
    </w:p>
    <w:p>
      <w:pPr>
        <w:pStyle w:val="Heading2"/>
        <w:pBdr>
          <w:left w:val="single" w:color="15857A" w:sz="12" w:space="8"/>
        </w:pBdr>
        <w:spacing w:after="140" w:before="300" w:line="312"/>
        <w:ind w:left="200"/>
        <w:jc w:val="left"/>
      </w:pPr>
      <w:bookmarkStart w:id="100032" w:name="_Toc100032"/>
      <w:r>
        <w:rPr>
          <w:rFonts w:ascii="Times New Roman" w:cs="Times New Roman" w:eastAsia="Times New Roman" w:hAnsi="Times New Roman"/>
          <w:b/>
          <w:bCs/>
          <w:color w:val="15857A"/>
          <w:sz w:val="28"/>
          <w:szCs w:val="28"/>
        </w:rPr>
        <w:t xml:space="preserve">Accountability Partner (Assigned for Duration)</w:t>
      </w:r>
      <w:bookmarkEnd w:id="100032"/>
    </w:p>
    <w:p>
      <w:pPr>
        <w:spacing w:after="140" w:line="312"/>
        <w:jc w:val="both"/>
      </w:pPr>
      <w:r>
        <w:rPr>
          <w:rFonts w:ascii="Times New Roman" w:cs="Times New Roman" w:eastAsia="Times New Roman" w:hAnsi="Times New Roman"/>
          <w:color w:val="2D3748"/>
          <w:sz w:val="24"/>
          <w:szCs w:val="24"/>
        </w:rPr>
        <w:t xml:space="preserve">Each participant is assigned an accountability partner for the full 12 weeks of the seminar. This pairing serves as the primary relational structure for follow-through on obedience steps and between-session engagement. Partners should communicate at least once between sessions (via text, call, or in-person meeting) to check on progress, share prayer requests, and encourage one another. The accountability partner relationship is one of the most powerful elements of the Living Word framework, translating the communal learning of the group session into consistent, personal discipleship. Facilitators should prayerfully consider pairings, matching participants of similar maturity levels and, where possible, complementary gifts and temperaments.</w:t>
      </w:r>
    </w:p>
    <w:p>
      <w:pPr>
        <w:pStyle w:val="Heading2"/>
        <w:pBdr>
          <w:left w:val="single" w:color="15857A" w:sz="12" w:space="8"/>
        </w:pBdr>
        <w:spacing w:after="140" w:before="300" w:line="312"/>
        <w:ind w:left="200"/>
        <w:jc w:val="left"/>
      </w:pPr>
      <w:bookmarkStart w:id="100033" w:name="_Toc100033"/>
      <w:r>
        <w:rPr>
          <w:rFonts w:ascii="Times New Roman" w:cs="Times New Roman" w:eastAsia="Times New Roman" w:hAnsi="Times New Roman"/>
          <w:b/>
          <w:bCs/>
          <w:color w:val="15857A"/>
          <w:sz w:val="28"/>
          <w:szCs w:val="28"/>
        </w:rPr>
        <w:t xml:space="preserve">Daily 5-Day Scripture Reading Plan</w:t>
      </w:r>
      <w:bookmarkEnd w:id="100033"/>
    </w:p>
    <w:p>
      <w:pPr>
        <w:spacing w:after="140" w:line="312"/>
        <w:jc w:val="both"/>
      </w:pPr>
      <w:r>
        <w:rPr>
          <w:rFonts w:ascii="Times New Roman" w:cs="Times New Roman" w:eastAsia="Times New Roman" w:hAnsi="Times New Roman"/>
          <w:color w:val="2D3748"/>
          <w:sz w:val="24"/>
          <w:szCs w:val="24"/>
        </w:rPr>
        <w:t xml:space="preserve">A structured 5-day reading plan provides the framework for between-session engagement, ensuring that participants do not limit their Scripture interaction to the weekly session alone. Each week’s plan includes daily readings related to the current theme, guiding participants deeper into the attribute of God being studied. The plan typically includes the primary study passage divided across multiple days, supplementary cross-references, and a Psalm or Proverb reading for devotional breadth. Day 6 is reserved for catch-up or reflection, and Day 7 is a Sabbath rest. Participants are encouraged to use their SOAP journal during these daily readings, practicing the inductive method in private devotion that prepares them for richer communal engagement.</w:t>
      </w:r>
    </w:p>
    <w:sectPr>
      <w:headerReference w:type="default" r:id="rId9"/>
      <w:footerReference w:type="default" r:id="rId10"/>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1809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18096"/>
        <w:sz w:val="16"/>
        <w:szCs w:val="16"/>
      </w:rPr>
      <w:t xml:space="preserve">Living Word Seminar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18096"/>
        <w:sz w:val="16"/>
        <w:szCs w:val="16"/>
      </w:rPr>
      <w:t xml:space="preserve">Living Word Seminar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Times New Roman" w:cs="Times New Roman" w:eastAsia="Times New Roman" w:hAnsi="Times New Roman"/>
        <w:sz w:val="24"/>
        <w:szCs w:val="24"/>
      </w:rPr>
    </w:lvl>
    <w:lvl w:ilvl="1" w15:tentative="1">
      <w:start w:val="1"/>
      <w:numFmt w:val="bullet"/>
      <w:lvlText w:val="–"/>
      <w:lvlJc w:val="left"/>
      <w:pPr>
        <w:ind w:left="1134" w:hanging="283"/>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374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cs="Times New Roman" w:eastAsia="Times New Roman" w:hAnsi="Times New Roman"/>
      <w:b/>
      <w:bCs/>
      <w:color w:val="15857A"/>
      <w:sz w:val="32"/>
      <w:szCs w:val="32"/>
    </w:rPr>
  </w:style>
  <w:style w:type="paragraph" w:styleId="Heading2">
    <w:name w:val="Heading 2"/>
    <w:basedOn w:val="Normal"/>
    <w:next w:val="Normal"/>
    <w:qFormat/>
    <w:pPr>
      <w:spacing w:after="140" w:before="300" w:line="312"/>
      <w:outlineLvl w:val="1"/>
    </w:pPr>
    <w:rPr>
      <w:rFonts w:ascii="Times New Roman" w:cs="Times New Roman" w:eastAsia="Times New Roman" w:hAnsi="Times New Roman"/>
      <w:b/>
      <w:bCs/>
      <w:color w:val="15857A"/>
      <w:sz w:val="28"/>
      <w:szCs w:val="28"/>
    </w:rPr>
  </w:style>
  <w:style w:type="paragraph" w:styleId="Heading3">
    <w:name w:val="Heading 3"/>
    <w:basedOn w:val="Normal"/>
    <w:next w:val="Normal"/>
    <w:qFormat/>
    <w:pPr>
      <w:spacing w:after="120" w:before="240" w:line="312"/>
      <w:outlineLvl w:val="2"/>
    </w:pPr>
    <w:rPr>
      <w:rFonts w:ascii="Times New Roman" w:cs="Times New Roman" w:eastAsia="Times New Roman" w:hAnsi="Times New Roman"/>
      <w:b/>
      <w:bCs/>
      <w:color w:val="1585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Word: A Transformative Bible Study Seminar</dc:title>
  <dc:creator>Living Word Seminar Team</dc:creator>
  <dc:description>A 12-week comprehensive Bible study framework for Filipino Christian communities</dc:description>
  <cp:lastModifiedBy>Un-named</cp:lastModifiedBy>
  <cp:revision>1</cp:revision>
  <dcterms:created xsi:type="dcterms:W3CDTF">2026-04-12T15:57:23.497Z</dcterms:created>
  <dcterms:modified xsi:type="dcterms:W3CDTF">2026-04-12T15:57:23.498Z</dcterms:modified>
</cp:coreProperties>
</file>

<file path=docProps/custom.xml><?xml version="1.0" encoding="utf-8"?>
<Properties xmlns="http://schemas.openxmlformats.org/officeDocument/2006/custom-properties" xmlns:vt="http://schemas.openxmlformats.org/officeDocument/2006/docPropsVTypes"/>
</file>