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Semantic Content Seeding Map</w:t>
      </w:r>
    </w:p>
    <w:p>
      <w:pPr>
        <w:spacing w:after="400"/>
        <w:jc w:val="center"/>
      </w:pPr>
      <w:r>
        <w:rPr>
          <w:color w:val="64748B"/>
          <w:sz w:val="24"/>
          <w:szCs w:val="24"/>
        </w:rPr>
        <w:t xml:space="preserve">Mode C — Pacific Cross / Non-Life Insurance / HMO Philippines</w:t>
      </w:r>
    </w:p>
    <w:p>
      <w:pPr>
        <w:spacing w:after="600"/>
        <w:jc w:val="center"/>
      </w:pPr>
      <w:r>
        <w:rPr>
          <w:i/>
          <w:iCs/>
          <w:color w:val="1E293B"/>
          <w:sz w:val="22"/>
          <w:szCs w:val="22"/>
        </w:rPr>
        <w:t xml:space="preserve">Core Topic: Health Insurance for Self-Employed Filipinos</w:t>
      </w:r>
    </w:p>
    <w:p>
      <w:pPr>
        <w:pStyle w:val="Heading1"/>
      </w:pPr>
      <w:r>
        <w:t xml:space="preserve">1. PILLAR PAGE: Complete H2 Outline</w:t>
      </w:r>
    </w:p>
    <w:p>
      <w:pPr>
        <w:spacing w:after="200"/>
      </w:pPr>
      <w:r>
        <w:rPr>
          <w:b/>
          <w:bCs/>
        </w:rPr>
        <w:t xml:space="preserve">Pillar Page Title: </w:t>
      </w:r>
      <w:r>
        <w:t xml:space="preserve">"The Ultimate Guide to Health Insurance for Self-Employed Filipinos: HMO vs Insurance vs Stacking Strategies"</w:t>
      </w:r>
    </w:p>
    <w:p>
      <w:pPr>
        <w:spacing w:after="300"/>
      </w:pPr>
      <w:r>
        <w:rPr>
          <w:b/>
          <w:bCs/>
        </w:rPr>
        <w:t xml:space="preserve">Target Word Count: </w:t>
      </w:r>
      <w:r>
        <w:t xml:space="preserve">4,000–5,000 words | Primary Keyword: health insurance for self-employed Philippines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Section</w:t>
            </w:r>
          </w:p>
        </w:tc>
        <w:tc>
          <w:tcPr>
            <w:tcW w:type="dxa" w:w="656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Content Description &amp; SEO Notes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What is Health Insurance for Self-Employed Filipinos?</w:t>
            </w:r>
          </w:p>
        </w:tc>
        <w:tc>
          <w:tcPr>
            <w:tcW w:type="dxa" w:w="6560"/>
            <w:tcBorders>
              <w:top w:val="single" w:color="CBD5E1" w:sz="1"/>
              <w:left w:val="single" w:color="CBD5E1" w:sz="1"/>
              <w:bottom w:val="single" w:color="CBD5E1" w:sz="1"/>
              <w:right w:val="single" w:color="CBD5E1" w:sz="1"/>
            </w:tcBorders>
          </w:tcPr>
          <w:p>
            <w:r>
              <w:rPr>
                <w:sz w:val="20"/>
                <w:szCs w:val="20"/>
              </w:rPr>
              <w:t xml:space="preserve">Define the concept clearly. Explain how it differs from corporate HMO coverage. Cover the fundamental differences between individual health insurance and group plans. Establish the core vocabulary readers need to understand the rest of the guide. Include statistics on self-employed Filipinos and their coverage gaps.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HMO vs Health Insurance — Which is Better for Freelancers?</w:t>
            </w:r>
          </w:p>
        </w:tc>
        <w:tc>
          <w:tcPr>
            <w:tcW w:type="dxa" w:w="6560"/>
            <w:tcBorders>
              <w:top w:val="single" w:color="CBD5E1" w:sz="1"/>
              <w:left w:val="single" w:color="CBD5E1" w:sz="1"/>
              <w:bottom w:val="single" w:color="CBD5E1" w:sz="1"/>
              <w:right w:val="single" w:color="CBD5E1" w:sz="1"/>
            </w:tcBorders>
          </w:tcPr>
          <w:p>
            <w:r>
              <w:rPr>
                <w:sz w:val="20"/>
                <w:szCs w:val="20"/>
              </w:rPr>
              <w:t xml:space="preserve">Create a detailed comparison table. Explain prepaid healthcare vs indemnity coverage. Address the year-to-year renewal risk of HMOs. Cover guaranteed renewability provisions in insurance. Discuss portability benefits when switching jobs or losing employment.</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Top 10 Health Insurance Providers in the Philippines (2024)</w:t>
            </w:r>
          </w:p>
        </w:tc>
        <w:tc>
          <w:tcPr>
            <w:tcW w:type="dxa" w:w="6560"/>
            <w:tcBorders>
              <w:top w:val="single" w:color="CBD5E1" w:sz="1"/>
              <w:left w:val="single" w:color="CBD5E1" w:sz="1"/>
              <w:bottom w:val="single" w:color="CBD5E1" w:sz="1"/>
              <w:right w:val="single" w:color="CBD5E1" w:sz="1"/>
            </w:tcBorders>
          </w:tcPr>
          <w:p>
            <w:r>
              <w:rPr>
                <w:sz w:val="20"/>
                <w:szCs w:val="20"/>
              </w:rPr>
              <w:t xml:space="preserve">Provide a comparison matrix of Pacific Cross, MediCard, PhilCare, Etiqa, ValuCare, Oona Insurance, iCare, Cocolife, IMS Wellthcare, and Keystone. Include network sizes (1,600–30,000 doctors), annual benefit limits, pre-existing condition policies, and price ranges. Highlight which providers specialize in self-employed individuals.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How to Choose the Right Plan When You're Self-Employed</w:t>
            </w:r>
          </w:p>
        </w:tc>
        <w:tc>
          <w:tcPr>
            <w:tcW w:type="dxa" w:w="6560"/>
            <w:tcBorders>
              <w:top w:val="single" w:color="CBD5E1" w:sz="1"/>
              <w:left w:val="single" w:color="CBD5E1" w:sz="1"/>
              <w:bottom w:val="single" w:color="CBD5E1" w:sz="1"/>
              <w:right w:val="single" w:color="CBD5E1" w:sz="1"/>
            </w:tcBorders>
          </w:tcPr>
          <w:p>
            <w:r>
              <w:rPr>
                <w:sz w:val="20"/>
                <w:szCs w:val="20"/>
              </w:rPr>
              <w:t xml:space="preserve">Create a step-by-step decision framework. Cover age brackets, health history, family status, budget constraints, and network accessibility. Include a checklist for evaluating plan documents. Provide guidance on reading the fine print on exclusions and waiting periods.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Understanding Pre-Existing Conditions and Waiting Periods</w:t>
            </w:r>
          </w:p>
        </w:tc>
        <w:tc>
          <w:tcPr>
            <w:tcW w:type="dxa" w:w="6560"/>
            <w:tcBorders>
              <w:top w:val="single" w:color="CBD5E1" w:sz="1"/>
              <w:left w:val="single" w:color="CBD5E1" w:sz="1"/>
              <w:bottom w:val="single" w:color="CBD5E1" w:sz="1"/>
              <w:right w:val="single" w:color="CBD5E1" w:sz="1"/>
            </w:tcBorders>
          </w:tcPr>
          <w:p>
            <w:r>
              <w:rPr>
                <w:sz w:val="20"/>
                <w:szCs w:val="20"/>
              </w:rPr>
              <w:t xml:space="preserve">Explain the 6–12 month waiting period standard. Cover disclosure requirements and the consequences of non-disclosure. Address common conditions: hypertension, diabetes, asthma, and previous surgeries. Provide real examples of claim denials due to non-disclosure.</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The Stacking Strategy: PhilHealth + HMO + Health Insurance</w:t>
            </w:r>
          </w:p>
        </w:tc>
        <w:tc>
          <w:tcPr>
            <w:tcW w:type="dxa" w:w="6560"/>
            <w:tcBorders>
              <w:top w:val="single" w:color="CBD5E1" w:sz="1"/>
              <w:left w:val="single" w:color="CBD5E1" w:sz="1"/>
              <w:bottom w:val="single" w:color="CBD5E1" w:sz="1"/>
              <w:right w:val="single" w:color="CBD5E1" w:sz="1"/>
            </w:tcBorders>
          </w:tcPr>
          <w:p>
            <w:r>
              <w:rPr>
                <w:sz w:val="20"/>
                <w:szCs w:val="20"/>
              </w:rPr>
              <w:t xml:space="preserve">Explain the three-layer protection model. Show how PhilHealth covers the base, HMO handles routine care, and insurance covers catastrophic events. Provide a visual diagram concept. Include sample scenarios with cost breakdowns showing the benefit of stacking.</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Premium Loading and What It Means for Your Wallet</w:t>
            </w:r>
          </w:p>
        </w:tc>
        <w:tc>
          <w:tcPr>
            <w:tcW w:type="dxa" w:w="6560"/>
            <w:tcBorders>
              <w:top w:val="single" w:color="CBD5E1" w:sz="1"/>
              <w:left w:val="single" w:color="CBD5E1" w:sz="1"/>
              <w:bottom w:val="single" w:color="CBD5E1" w:sz="1"/>
              <w:right w:val="single" w:color="CBD5E1" w:sz="1"/>
            </w:tcBorders>
          </w:tcPr>
          <w:p>
            <w:r>
              <w:rPr>
                <w:sz w:val="20"/>
                <w:szCs w:val="20"/>
              </w:rPr>
              <w:t xml:space="preserve">Address the Pacific Cross pain point about premiums jumping 50% after claims. Explain why insurers do this and how to prepare for it. Compare providers with more stable premium structures. Provide strategies to minimize premium loading impact.</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OFW Families: Protecting Your Loved Ones While Abroad</w:t>
            </w:r>
          </w:p>
        </w:tc>
        <w:tc>
          <w:tcPr>
            <w:tcW w:type="dxa" w:w="6560"/>
            <w:tcBorders>
              <w:top w:val="single" w:color="CBD5E1" w:sz="1"/>
              <w:left w:val="single" w:color="CBD5E1" w:sz="1"/>
              <w:bottom w:val="single" w:color="CBD5E1" w:sz="1"/>
              <w:right w:val="single" w:color="CBD5E1" w:sz="1"/>
            </w:tcBorders>
          </w:tcPr>
          <w:p>
            <w:r>
              <w:rPr>
                <w:sz w:val="20"/>
                <w:szCs w:val="20"/>
              </w:rPr>
              <w:t xml:space="preserve">Cover the unique challenges OFWs face when buying coverage for family members in the Philippines. Discuss coordination between overseas workers and local dependents. Address currency considerations and premium payment logistics. Include provider recommendations for OFW family plans.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Common Mistakes First-Time Buyers Make (And How to Avoid Them)</w:t>
            </w:r>
          </w:p>
        </w:tc>
        <w:tc>
          <w:tcPr>
            <w:tcW w:type="dxa" w:w="6560"/>
            <w:tcBorders>
              <w:top w:val="single" w:color="CBD5E1" w:sz="1"/>
              <w:left w:val="single" w:color="CBD5E1" w:sz="1"/>
              <w:bottom w:val="single" w:color="CBD5E1" w:sz="1"/>
              <w:right w:val="single" w:color="CBD5E1" w:sz="1"/>
            </w:tcBorders>
          </w:tcPr>
          <w:p>
            <w:r>
              <w:rPr>
                <w:sz w:val="20"/>
                <w:szCs w:val="20"/>
              </w:rPr>
              <w:t xml:space="preserve">List the top 7 buyer mistakes: choosing cheapest over best coverage, not disclosing conditions, ignoring network size, misunderstanding cashless vs reimbursement, skipping the fine print, not planning for premium increases, and forgetting about deductibles. Provide actionable prevention tips for each.</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H2: How to File a Claim Without the Headache</w:t>
            </w:r>
          </w:p>
        </w:tc>
        <w:tc>
          <w:tcPr>
            <w:tcW w:type="dxa" w:w="6560"/>
            <w:tcBorders>
              <w:top w:val="single" w:color="CBD5E1" w:sz="1"/>
              <w:left w:val="single" w:color="CBD5E1" w:sz="1"/>
              <w:bottom w:val="single" w:color="CBD5E1" w:sz="1"/>
              <w:right w:val="single" w:color="CBD5E1" w:sz="1"/>
            </w:tcBorders>
          </w:tcPr>
          <w:p>
            <w:r>
              <w:rPr>
                <w:sz w:val="20"/>
                <w:szCs w:val="20"/>
              </w:rPr>
              <w:t xml:space="preserve">Walk through the Letter of Authorization process. Explain cashless hospitalization step-by-step. Cover reimbursement claims with a checklist of required documents. Provide typical processing timelines per provider. Include common reasons for claim delays and how to prevent them.</w:t>
            </w:r>
          </w:p>
        </w:tc>
      </w:tr>
    </w:tbl>
    <w:p>
      <w:pPr>
        <w:spacing w:after="400"/>
      </w:pPr>
      <w:r>
        <w:rPr>
          <w:i/>
          <w:iCs/>
          <w:color w:val="64748B"/>
          <w:sz w:val="18"/>
          <w:szCs w:val="18"/>
        </w:rPr>
        <w:t xml:space="preserve">Table 1: Pillar Page H2 Outline with Content Descriptions</w:t>
      </w:r>
    </w:p>
    <w:p>
      <w:pPr>
        <w:pStyle w:val="Heading1"/>
      </w:pPr>
      <w:r>
        <w:t xml:space="preserve">2. CLUSTER POSTS: 8 Long-Tail Titles by Buyer Journey</w:t>
      </w:r>
    </w:p>
    <w:p>
      <w:pPr>
        <w:spacing w:after="200"/>
      </w:pPr>
      <w:r>
        <w:t xml:space="preserve">These cluster posts support the pillar page and target specific search intents across the buyer journey funnel.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5200"/>
        <w:gridCol w:w="2660"/>
      </w:tblGrid>
      <w:tr>
        <w:trPr>
          <w:tblHeader/>
        </w:trPr>
        <w:tc>
          <w:tcPr>
            <w:tcW w:type="dxa" w:w="15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Stage</w:t>
            </w:r>
          </w:p>
        </w:tc>
        <w:tc>
          <w:tcPr>
            <w:tcW w:type="dxa" w:w="52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Post Title</w:t>
            </w:r>
          </w:p>
        </w:tc>
        <w:tc>
          <w:tcPr>
            <w:tcW w:type="dxa" w:w="266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Primary Keyword</w:t>
            </w:r>
          </w:p>
        </w:tc>
      </w:tr>
      <w:tr>
        <w:tc>
          <w:tcPr>
            <w:tcW w:type="dxa" w:w="1500"/>
            <w:tcBorders>
              <w:top w:val="single" w:color="CBD5E1" w:sz="1"/>
              <w:left w:val="single" w:color="CBD5E1" w:sz="1"/>
              <w:bottom w:val="single" w:color="CBD5E1" w:sz="1"/>
              <w:right w:val="single" w:color="CBD5E1" w:sz="1"/>
            </w:tcBorders>
            <w:shd w:fill="DBEAFE" w:val="clear"/>
            <w:vAlign w:val="center"/>
          </w:tcPr>
          <w:p>
            <w:pPr>
              <w:jc w:val="center"/>
            </w:pPr>
            <w:r>
              <w:rPr>
                <w:b/>
                <w:bCs/>
                <w:sz w:val="20"/>
                <w:szCs w:val="20"/>
              </w:rPr>
              <w:t xml:space="preserve">Awareness</w:t>
            </w:r>
          </w:p>
        </w:tc>
        <w:tc>
          <w:tcPr>
            <w:tcW w:type="dxa" w:w="5200"/>
            <w:tcBorders>
              <w:top w:val="single" w:color="CBD5E1" w:sz="1"/>
              <w:left w:val="single" w:color="CBD5E1" w:sz="1"/>
              <w:bottom w:val="single" w:color="CBD5E1" w:sz="1"/>
              <w:right w:val="single" w:color="CBD5E1" w:sz="1"/>
            </w:tcBorders>
          </w:tcPr>
          <w:p>
            <w:r>
              <w:rPr>
                <w:sz w:val="20"/>
                <w:szCs w:val="20"/>
              </w:rPr>
              <w:t xml:space="preserve">7 Signs You Need Health Insurance (Even If You're Young and Healthy)</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health insurance Philippines</w:t>
            </w:r>
          </w:p>
        </w:tc>
      </w:tr>
      <w:tr>
        <w:tc>
          <w:tcPr>
            <w:tcW w:type="dxa" w:w="1500"/>
            <w:tcBorders>
              <w:top w:val="single" w:color="CBD5E1" w:sz="1"/>
              <w:left w:val="single" w:color="CBD5E1" w:sz="1"/>
              <w:bottom w:val="single" w:color="CBD5E1" w:sz="1"/>
              <w:right w:val="single" w:color="CBD5E1" w:sz="1"/>
            </w:tcBorders>
            <w:shd w:fill="DBEAFE" w:val="clear"/>
            <w:vAlign w:val="center"/>
          </w:tcPr>
          <w:p>
            <w:pPr>
              <w:jc w:val="center"/>
            </w:pPr>
            <w:r>
              <w:rPr>
                <w:b/>
                <w:bCs/>
                <w:sz w:val="20"/>
                <w:szCs w:val="20"/>
              </w:rPr>
              <w:t xml:space="preserve">Awareness</w:t>
            </w:r>
          </w:p>
        </w:tc>
        <w:tc>
          <w:tcPr>
            <w:tcW w:type="dxa" w:w="5200"/>
            <w:tcBorders>
              <w:top w:val="single" w:color="CBD5E1" w:sz="1"/>
              <w:left w:val="single" w:color="CBD5E1" w:sz="1"/>
              <w:bottom w:val="single" w:color="CBD5E1" w:sz="1"/>
              <w:right w:val="single" w:color="CBD5E1" w:sz="1"/>
            </w:tcBorders>
          </w:tcPr>
          <w:p>
            <w:r>
              <w:rPr>
                <w:sz w:val="20"/>
                <w:szCs w:val="20"/>
              </w:rPr>
              <w:t xml:space="preserve">What Happens When You Lose Your Company HMO: A Freelancer's Guide</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company HMO vs personal health insurance</w:t>
            </w:r>
          </w:p>
        </w:tc>
      </w:tr>
      <w:tr>
        <w:tc>
          <w:tcPr>
            <w:tcW w:type="dxa" w:w="150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Consideration</w:t>
            </w:r>
          </w:p>
        </w:tc>
        <w:tc>
          <w:tcPr>
            <w:tcW w:type="dxa" w:w="5200"/>
            <w:tcBorders>
              <w:top w:val="single" w:color="CBD5E1" w:sz="1"/>
              <w:left w:val="single" w:color="CBD5E1" w:sz="1"/>
              <w:bottom w:val="single" w:color="CBD5E1" w:sz="1"/>
              <w:right w:val="single" w:color="CBD5E1" w:sz="1"/>
            </w:tcBorders>
          </w:tcPr>
          <w:p>
            <w:r>
              <w:rPr>
                <w:sz w:val="20"/>
                <w:szCs w:val="20"/>
              </w:rPr>
              <w:t xml:space="preserve">Pacific Cross FlexiShield Review: Is It Worth It for Self-Employed Filipinos?</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Pacific Cross health insurance review</w:t>
            </w:r>
          </w:p>
        </w:tc>
      </w:tr>
      <w:tr>
        <w:tc>
          <w:tcPr>
            <w:tcW w:type="dxa" w:w="150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Consideration</w:t>
            </w:r>
          </w:p>
        </w:tc>
        <w:tc>
          <w:tcPr>
            <w:tcW w:type="dxa" w:w="5200"/>
            <w:tcBorders>
              <w:top w:val="single" w:color="CBD5E1" w:sz="1"/>
              <w:left w:val="single" w:color="CBD5E1" w:sz="1"/>
              <w:bottom w:val="single" w:color="CBD5E1" w:sz="1"/>
              <w:right w:val="single" w:color="CBD5E1" w:sz="1"/>
            </w:tcBorders>
          </w:tcPr>
          <w:p>
            <w:r>
              <w:rPr>
                <w:sz w:val="20"/>
                <w:szCs w:val="20"/>
              </w:rPr>
              <w:t xml:space="preserve">HMO or Health Insurance? The Complete Comparison for Filipino Professionals</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HMO vs health insurance Philippines</w:t>
            </w:r>
          </w:p>
        </w:tc>
      </w:tr>
      <w:tr>
        <w:tc>
          <w:tcPr>
            <w:tcW w:type="dxa" w:w="150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Consideration</w:t>
            </w:r>
          </w:p>
        </w:tc>
        <w:tc>
          <w:tcPr>
            <w:tcW w:type="dxa" w:w="5200"/>
            <w:tcBorders>
              <w:top w:val="single" w:color="CBD5E1" w:sz="1"/>
              <w:left w:val="single" w:color="CBD5E1" w:sz="1"/>
              <w:bottom w:val="single" w:color="CBD5E1" w:sz="1"/>
              <w:right w:val="single" w:color="CBD5E1" w:sz="1"/>
            </w:tcBorders>
          </w:tcPr>
          <w:p>
            <w:r>
              <w:rPr>
                <w:sz w:val="20"/>
                <w:szCs w:val="20"/>
              </w:rPr>
              <w:t xml:space="preserve">Best Health Insurance for OFW Families: 2024 Provider Comparison</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health insurance for OFW families Philippines</w:t>
            </w:r>
          </w:p>
        </w:tc>
      </w:tr>
      <w:tr>
        <w:tc>
          <w:tcPr>
            <w:tcW w:type="dxa" w:w="150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Decision</w:t>
            </w:r>
          </w:p>
        </w:tc>
        <w:tc>
          <w:tcPr>
            <w:tcW w:type="dxa" w:w="5200"/>
            <w:tcBorders>
              <w:top w:val="single" w:color="CBD5E1" w:sz="1"/>
              <w:left w:val="single" w:color="CBD5E1" w:sz="1"/>
              <w:bottom w:val="single" w:color="CBD5E1" w:sz="1"/>
              <w:right w:val="single" w:color="CBD5E1" w:sz="1"/>
            </w:tcBorders>
          </w:tcPr>
          <w:p>
            <w:r>
              <w:rPr>
                <w:sz w:val="20"/>
                <w:szCs w:val="20"/>
              </w:rPr>
              <w:t xml:space="preserve">How to Buy Health Insurance in the Philippines: Step-by-Step Application Guide</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how to apply for health insurance Philippines</w:t>
            </w:r>
          </w:p>
        </w:tc>
      </w:tr>
      <w:tr>
        <w:tc>
          <w:tcPr>
            <w:tcW w:type="dxa" w:w="150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Decision</w:t>
            </w:r>
          </w:p>
        </w:tc>
        <w:tc>
          <w:tcPr>
            <w:tcW w:type="dxa" w:w="5200"/>
            <w:tcBorders>
              <w:top w:val="single" w:color="CBD5E1" w:sz="1"/>
              <w:left w:val="single" w:color="CBD5E1" w:sz="1"/>
              <w:bottom w:val="single" w:color="CBD5E1" w:sz="1"/>
              <w:right w:val="single" w:color="CBD5E1" w:sz="1"/>
            </w:tcBorders>
          </w:tcPr>
          <w:p>
            <w:r>
              <w:rPr>
                <w:sz w:val="20"/>
                <w:szCs w:val="20"/>
              </w:rPr>
              <w:t xml:space="preserve">Pre-Existing Conditions? Here's Which Providers Will Still Cover You</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health insurance pre-existing conditions Philippines</w:t>
            </w:r>
          </w:p>
        </w:tc>
      </w:tr>
      <w:tr>
        <w:tc>
          <w:tcPr>
            <w:tcW w:type="dxa" w:w="150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Decision</w:t>
            </w:r>
          </w:p>
        </w:tc>
        <w:tc>
          <w:tcPr>
            <w:tcW w:type="dxa" w:w="5200"/>
            <w:tcBorders>
              <w:top w:val="single" w:color="CBD5E1" w:sz="1"/>
              <w:left w:val="single" w:color="CBD5E1" w:sz="1"/>
              <w:bottom w:val="single" w:color="CBD5E1" w:sz="1"/>
              <w:right w:val="single" w:color="CBD5E1" w:sz="1"/>
            </w:tcBorders>
          </w:tcPr>
          <w:p>
            <w:r>
              <w:rPr>
                <w:sz w:val="20"/>
                <w:szCs w:val="20"/>
              </w:rPr>
              <w:t xml:space="preserve">Health Insurance Cost Calculator: Estimate Your Monthly Premium in 5 Minutes</w:t>
            </w:r>
          </w:p>
        </w:tc>
        <w:tc>
          <w:tcPr>
            <w:tcW w:type="dxa" w:w="2660"/>
            <w:tcBorders>
              <w:top w:val="single" w:color="CBD5E1" w:sz="1"/>
              <w:left w:val="single" w:color="CBD5E1" w:sz="1"/>
              <w:bottom w:val="single" w:color="CBD5E1" w:sz="1"/>
              <w:right w:val="single" w:color="CBD5E1" w:sz="1"/>
            </w:tcBorders>
            <w:vAlign w:val="center"/>
          </w:tcPr>
          <w:p>
            <w:pPr>
              <w:jc w:val="center"/>
            </w:pPr>
            <w:r>
              <w:rPr>
                <w:i/>
                <w:iCs/>
                <w:sz w:val="18"/>
                <w:szCs w:val="18"/>
              </w:rPr>
              <w:t xml:space="preserve">health insurance cost Philippines</w:t>
            </w:r>
          </w:p>
        </w:tc>
      </w:tr>
    </w:tbl>
    <w:p>
      <w:pPr>
        <w:spacing w:after="200"/>
      </w:pPr>
      <w:r>
        <w:rPr>
          <w:i/>
          <w:iCs/>
          <w:color w:val="64748B"/>
          <w:sz w:val="18"/>
          <w:szCs w:val="18"/>
        </w:rPr>
        <w:t xml:space="preserve">Table 2: Cluster Posts Mapped to Buyer Journey Stages</w:t>
      </w:r>
    </w:p>
    <w:p>
      <w:pPr>
        <w:pStyle w:val="Heading3"/>
      </w:pPr>
      <w:r>
        <w:t xml:space="preserve">Buyer Journey Stage Definitions</w:t>
      </w:r>
    </w:p>
    <w:p>
      <w:pPr>
        <w:pStyle w:val="ListParagraph"/>
        <w:numPr>
          <w:ilvl w:val="0"/>
          <w:numId w:val="2"/>
        </w:numPr>
      </w:pPr>
      <w:r>
        <w:rPr>
          <w:b/>
          <w:bCs/>
        </w:rPr>
        <w:t xml:space="preserve">Awareness: </w:t>
      </w:r>
      <w:r>
        <w:t xml:space="preserve">Readers don't know they have a problem yet. Content triggers realization of coverage gaps or risks.</w:t>
      </w:r>
    </w:p>
    <w:p>
      <w:pPr>
        <w:pStyle w:val="ListParagraph"/>
        <w:numPr>
          <w:ilvl w:val="0"/>
          <w:numId w:val="2"/>
        </w:numPr>
      </w:pPr>
      <w:r>
        <w:rPr>
          <w:b/>
          <w:bCs/>
        </w:rPr>
        <w:t xml:space="preserve">Consideration: </w:t>
      </w:r>
      <w:r>
        <w:t xml:space="preserve">Readers are comparing options. Content provides detailed comparisons, reviews, and provider deep-dives.</w:t>
      </w:r>
    </w:p>
    <w:p>
      <w:pPr>
        <w:pStyle w:val="ListParagraph"/>
        <w:numPr>
          <w:ilvl w:val="0"/>
          <w:numId w:val="2"/>
        </w:numPr>
        <w:spacing w:after="400"/>
      </w:pPr>
      <w:r>
        <w:rPr>
          <w:b/>
          <w:bCs/>
        </w:rPr>
        <w:t xml:space="preserve">Decision: </w:t>
      </w:r>
      <w:r>
        <w:t xml:space="preserve">Readers are ready to buy. Content provides step-by-step guides, cost calculators, and final objection handlers.</w:t>
      </w:r>
    </w:p>
    <w:p>
      <w:pPr>
        <w:pStyle w:val="Heading1"/>
      </w:pPr>
      <w:r>
        <w:t xml:space="preserve">3. PEOPLE ALSO ASK: 8 Questions for FAQ Optimization</w:t>
      </w:r>
    </w:p>
    <w:p>
      <w:pPr>
        <w:spacing w:after="200"/>
      </w:pPr>
      <w:r>
        <w:t xml:space="preserve">These questions are optimized for Google's People Also Ask feature and FAQPage schema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5500"/>
        <w:gridCol w:w="1800"/>
        <w:gridCol w:w="2060"/>
      </w:tblGrid>
      <w:tr>
        <w:trPr>
          <w:tblHeader/>
        </w:trPr>
        <w:tc>
          <w:tcPr>
            <w:tcW w:type="dxa" w:w="55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Question</w:t>
            </w:r>
          </w:p>
        </w:tc>
        <w:tc>
          <w:tcPr>
            <w:tcW w:type="dxa" w:w="18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Search Volume</w:t>
            </w:r>
          </w:p>
        </w:tc>
        <w:tc>
          <w:tcPr>
            <w:tcW w:type="dxa" w:w="206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Competition</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1. What is the best health insurance for self-employed in the Philippines?</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2,400/month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Medium</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2. How much is health insurance in Philippines per month?</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3,100/month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High</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3. Is Pacific Cross a good health insurance provider?</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880/month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Low</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4. What is the difference between HMO and health insurance Philippines?</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1,900/month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Medium</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5. Can I get health insurance with pre-existing conditions Philippines?</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1,200/month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Low</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6. How does PhilHealth work with private health insurance?</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1,600/month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Low</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7. What is the waiting period for health insurance Philippines?</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720/month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Low</w:t>
            </w:r>
          </w:p>
        </w:tc>
      </w:tr>
      <w:tr>
        <w:tc>
          <w:tcPr>
            <w:tcW w:type="dxa" w:w="5500"/>
            <w:tcBorders>
              <w:top w:val="single" w:color="CBD5E1" w:sz="1"/>
              <w:left w:val="single" w:color="CBD5E1" w:sz="1"/>
              <w:bottom w:val="single" w:color="CBD5E1" w:sz="1"/>
              <w:right w:val="single" w:color="CBD5E1" w:sz="1"/>
            </w:tcBorders>
          </w:tcPr>
          <w:p>
            <w:r>
              <w:rPr>
                <w:sz w:val="20"/>
                <w:szCs w:val="20"/>
              </w:rPr>
              <w:t xml:space="preserve">8. Which health insurance has the largest hospital network in Philippines?</w:t>
            </w:r>
          </w:p>
        </w:tc>
        <w:tc>
          <w:tcPr>
            <w:tcW w:type="dxa" w:w="1800"/>
            <w:tcBorders>
              <w:top w:val="single" w:color="CBD5E1" w:sz="1"/>
              <w:left w:val="single" w:color="CBD5E1" w:sz="1"/>
              <w:bottom w:val="single" w:color="CBD5E1" w:sz="1"/>
              <w:right w:val="single" w:color="CBD5E1" w:sz="1"/>
            </w:tcBorders>
            <w:vAlign w:val="center"/>
          </w:tcPr>
          <w:p>
            <w:pPr>
              <w:jc w:val="center"/>
            </w:pPr>
            <w:r>
              <w:rPr>
                <w:sz w:val="20"/>
                <w:szCs w:val="20"/>
              </w:rPr>
              <w:t xml:space="preserve">590/month</w:t>
            </w:r>
          </w:p>
        </w:tc>
        <w:tc>
          <w:tcPr>
            <w:tcW w:type="dxa" w:w="2060"/>
            <w:tcBorders>
              <w:top w:val="single" w:color="CBD5E1" w:sz="1"/>
              <w:left w:val="single" w:color="CBD5E1" w:sz="1"/>
              <w:bottom w:val="single" w:color="CBD5E1" w:sz="1"/>
              <w:right w:val="single" w:color="CBD5E1" w:sz="1"/>
            </w:tcBorders>
            <w:vAlign w:val="center"/>
          </w:tcPr>
          <w:p>
            <w:pPr>
              <w:jc w:val="center"/>
            </w:pPr>
            <w:r>
              <w:rPr>
                <w:sz w:val="20"/>
                <w:szCs w:val="20"/>
              </w:rPr>
              <w:t xml:space="preserve">Medium</w:t>
            </w:r>
          </w:p>
        </w:tc>
      </w:tr>
    </w:tbl>
    <w:p>
      <w:pPr>
        <w:spacing w:after="400"/>
      </w:pPr>
      <w:r>
        <w:rPr>
          <w:i/>
          <w:iCs/>
          <w:color w:val="64748B"/>
          <w:sz w:val="18"/>
          <w:szCs w:val="18"/>
        </w:rPr>
        <w:t xml:space="preserve">Table 3: People Also Ask Questions with Search Volume Data</w:t>
      </w:r>
    </w:p>
    <w:p>
      <w:pPr>
        <w:pStyle w:val="Heading1"/>
      </w:pPr>
      <w:r>
        <w:t xml:space="preserve">4. SEMANTIC SEED TERMS: 15 Terms for Body Copy</w:t>
      </w:r>
    </w:p>
    <w:p>
      <w:pPr>
        <w:spacing w:after="200"/>
      </w:pPr>
      <w:r>
        <w:t xml:space="preserve">Plant these terms naturally throughout body copy to build topical authority and semantic relevance. Avoid keyword stuffing—each term should appear 2-4 times per 2,000-word article.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Semantic Term</w:t>
            </w:r>
          </w:p>
        </w:tc>
        <w:tc>
          <w:tcPr>
            <w:tcW w:type="dxa" w:w="656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Context &amp; Placement Strategy</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 pre-existing condition</w:t>
            </w:r>
          </w:p>
        </w:tc>
        <w:tc>
          <w:tcPr>
            <w:tcW w:type="dxa" w:w="6560"/>
            <w:tcBorders>
              <w:top w:val="single" w:color="CBD5E1" w:sz="1"/>
              <w:left w:val="single" w:color="CBD5E1" w:sz="1"/>
              <w:bottom w:val="single" w:color="CBD5E1" w:sz="1"/>
              <w:right w:val="single" w:color="CBD5E1" w:sz="1"/>
            </w:tcBorders>
          </w:tcPr>
          <w:p>
            <w:r>
              <w:rPr>
                <w:sz w:val="20"/>
                <w:szCs w:val="20"/>
              </w:rPr>
              <w:t xml:space="preserve">Use in sections about waiting periods, disclosures, and claim denials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2. premium loading</w:t>
            </w:r>
          </w:p>
        </w:tc>
        <w:tc>
          <w:tcPr>
            <w:tcW w:type="dxa" w:w="6560"/>
            <w:tcBorders>
              <w:top w:val="single" w:color="CBD5E1" w:sz="1"/>
              <w:left w:val="single" w:color="CBD5E1" w:sz="1"/>
              <w:bottom w:val="single" w:color="CBD5E1" w:sz="1"/>
              <w:right w:val="single" w:color="CBD5E1" w:sz="1"/>
            </w:tcBorders>
          </w:tcPr>
          <w:p>
            <w:r>
              <w:rPr>
                <w:sz w:val="20"/>
                <w:szCs w:val="20"/>
              </w:rPr>
              <w:t xml:space="preserve">Essential for Pacific Cross content and post-claim scenarios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3. Letter of Authorization</w:t>
            </w:r>
          </w:p>
        </w:tc>
        <w:tc>
          <w:tcPr>
            <w:tcW w:type="dxa" w:w="6560"/>
            <w:tcBorders>
              <w:top w:val="single" w:color="CBD5E1" w:sz="1"/>
              <w:left w:val="single" w:color="CBD5E1" w:sz="1"/>
              <w:bottom w:val="single" w:color="CBD5E1" w:sz="1"/>
              <w:right w:val="single" w:color="CBD5E1" w:sz="1"/>
            </w:tcBorders>
          </w:tcPr>
          <w:p>
            <w:r>
              <w:rPr>
                <w:sz w:val="20"/>
                <w:szCs w:val="20"/>
              </w:rPr>
              <w:t xml:space="preserve">Claims process, hospital admission procedures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4. annual benefit limit</w:t>
            </w:r>
          </w:p>
        </w:tc>
        <w:tc>
          <w:tcPr>
            <w:tcW w:type="dxa" w:w="6560"/>
            <w:tcBorders>
              <w:top w:val="single" w:color="CBD5E1" w:sz="1"/>
              <w:left w:val="single" w:color="CBD5E1" w:sz="1"/>
              <w:bottom w:val="single" w:color="CBD5E1" w:sz="1"/>
              <w:right w:val="single" w:color="CBD5E1" w:sz="1"/>
            </w:tcBorders>
          </w:tcPr>
          <w:p>
            <w:r>
              <w:rPr>
                <w:sz w:val="20"/>
                <w:szCs w:val="20"/>
              </w:rPr>
              <w:t xml:space="preserve">Plan comparisons, coverage maximums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5. cashless hospitalization</w:t>
            </w:r>
          </w:p>
        </w:tc>
        <w:tc>
          <w:tcPr>
            <w:tcW w:type="dxa" w:w="6560"/>
            <w:tcBorders>
              <w:top w:val="single" w:color="CBD5E1" w:sz="1"/>
              <w:left w:val="single" w:color="CBD5E1" w:sz="1"/>
              <w:bottom w:val="single" w:color="CBD5E1" w:sz="1"/>
              <w:right w:val="single" w:color="CBD5E1" w:sz="1"/>
            </w:tcBorders>
          </w:tcPr>
          <w:p>
            <w:r>
              <w:rPr>
                <w:sz w:val="20"/>
                <w:szCs w:val="20"/>
              </w:rPr>
              <w:t xml:space="preserve">Convenience selling point, network requirements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6. health card Philippines</w:t>
            </w:r>
          </w:p>
        </w:tc>
        <w:tc>
          <w:tcPr>
            <w:tcW w:type="dxa" w:w="6560"/>
            <w:tcBorders>
              <w:top w:val="single" w:color="CBD5E1" w:sz="1"/>
              <w:left w:val="single" w:color="CBD5E1" w:sz="1"/>
              <w:bottom w:val="single" w:color="CBD5E1" w:sz="1"/>
              <w:right w:val="single" w:color="CBD5E1" w:sz="1"/>
            </w:tcBorders>
          </w:tcPr>
          <w:p>
            <w:r>
              <w:rPr>
                <w:sz w:val="20"/>
                <w:szCs w:val="20"/>
              </w:rPr>
              <w:t xml:space="preserve">Product terminology, card-based access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7. non-life insurance IC Philippines</w:t>
            </w:r>
          </w:p>
        </w:tc>
        <w:tc>
          <w:tcPr>
            <w:tcW w:type="dxa" w:w="6560"/>
            <w:tcBorders>
              <w:top w:val="single" w:color="CBD5E1" w:sz="1"/>
              <w:left w:val="single" w:color="CBD5E1" w:sz="1"/>
              <w:bottom w:val="single" w:color="CBD5E1" w:sz="1"/>
              <w:right w:val="single" w:color="CBD5E1" w:sz="1"/>
            </w:tcBorders>
          </w:tcPr>
          <w:p>
            <w:r>
              <w:rPr>
                <w:sz w:val="20"/>
                <w:szCs w:val="20"/>
              </w:rPr>
              <w:t xml:space="preserve">Regulatory compliance, trust signals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8. HMO accredited hospitals</w:t>
            </w:r>
          </w:p>
        </w:tc>
        <w:tc>
          <w:tcPr>
            <w:tcW w:type="dxa" w:w="6560"/>
            <w:tcBorders>
              <w:top w:val="single" w:color="CBD5E1" w:sz="1"/>
              <w:left w:val="single" w:color="CBD5E1" w:sz="1"/>
              <w:bottom w:val="single" w:color="CBD5E1" w:sz="1"/>
              <w:right w:val="single" w:color="CBD5E1" w:sz="1"/>
            </w:tcBorders>
          </w:tcPr>
          <w:p>
            <w:r>
              <w:rPr>
                <w:sz w:val="20"/>
                <w:szCs w:val="20"/>
              </w:rPr>
              <w:t xml:space="preserve">Network size comparisons, provider differentiation</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9. guaranteed renewability</w:t>
            </w:r>
          </w:p>
        </w:tc>
        <w:tc>
          <w:tcPr>
            <w:tcW w:type="dxa" w:w="6560"/>
            <w:tcBorders>
              <w:top w:val="single" w:color="CBD5E1" w:sz="1"/>
              <w:left w:val="single" w:color="CBD5E1" w:sz="1"/>
              <w:bottom w:val="single" w:color="CBD5E1" w:sz="1"/>
              <w:right w:val="single" w:color="CBD5E1" w:sz="1"/>
            </w:tcBorders>
          </w:tcPr>
          <w:p>
            <w:r>
              <w:rPr>
                <w:sz w:val="20"/>
                <w:szCs w:val="20"/>
              </w:rPr>
              <w:t xml:space="preserve">Long-term value proposition vs HMOs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10. reimbursement claim process</w:t>
            </w:r>
          </w:p>
        </w:tc>
        <w:tc>
          <w:tcPr>
            <w:tcW w:type="dxa" w:w="6560"/>
            <w:tcBorders>
              <w:top w:val="single" w:color="CBD5E1" w:sz="1"/>
              <w:left w:val="single" w:color="CBD5E1" w:sz="1"/>
              <w:bottom w:val="single" w:color="CBD5E1" w:sz="1"/>
              <w:right w:val="single" w:color="CBD5E1" w:sz="1"/>
            </w:tcBorders>
          </w:tcPr>
          <w:p>
            <w:r>
              <w:rPr>
                <w:sz w:val="20"/>
                <w:szCs w:val="20"/>
              </w:rPr>
              <w:t xml:space="preserve">Alternative to cashless, out-of-pocket scenarios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11. IC Philippines licensed agent</w:t>
            </w:r>
          </w:p>
        </w:tc>
        <w:tc>
          <w:tcPr>
            <w:tcW w:type="dxa" w:w="6560"/>
            <w:tcBorders>
              <w:top w:val="single" w:color="CBD5E1" w:sz="1"/>
              <w:left w:val="single" w:color="CBD5E1" w:sz="1"/>
              <w:bottom w:val="single" w:color="CBD5E1" w:sz="1"/>
              <w:right w:val="single" w:color="CBD5E1" w:sz="1"/>
            </w:tcBorders>
          </w:tcPr>
          <w:p>
            <w:r>
              <w:rPr>
                <w:sz w:val="20"/>
                <w:szCs w:val="20"/>
              </w:rPr>
              <w:t xml:space="preserve">Trust signal, compliance mention</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12. PhilHealth coordination</w:t>
            </w:r>
          </w:p>
        </w:tc>
        <w:tc>
          <w:tcPr>
            <w:tcW w:type="dxa" w:w="6560"/>
            <w:tcBorders>
              <w:top w:val="single" w:color="CBD5E1" w:sz="1"/>
              <w:left w:val="single" w:color="CBD5E1" w:sz="1"/>
              <w:bottom w:val="single" w:color="CBD5E1" w:sz="1"/>
              <w:right w:val="single" w:color="CBD5E1" w:sz="1"/>
            </w:tcBorders>
          </w:tcPr>
          <w:p>
            <w:r>
              <w:rPr>
                <w:sz w:val="20"/>
                <w:szCs w:val="20"/>
              </w:rPr>
              <w:t xml:space="preserve">Stacking strategy, layered protection</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13. waiting period waiver</w:t>
            </w:r>
          </w:p>
        </w:tc>
        <w:tc>
          <w:tcPr>
            <w:tcW w:type="dxa" w:w="6560"/>
            <w:tcBorders>
              <w:top w:val="single" w:color="CBD5E1" w:sz="1"/>
              <w:left w:val="single" w:color="CBD5E1" w:sz="1"/>
              <w:bottom w:val="single" w:color="CBD5E1" w:sz="1"/>
              <w:right w:val="single" w:color="CBD5E1" w:sz="1"/>
            </w:tcBorders>
          </w:tcPr>
          <w:p>
            <w:r>
              <w:rPr>
                <w:sz w:val="20"/>
                <w:szCs w:val="20"/>
              </w:rPr>
              <w:t xml:space="preserve">Premium feature, underwriting considerations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14. portability benefit</w:t>
            </w:r>
          </w:p>
        </w:tc>
        <w:tc>
          <w:tcPr>
            <w:tcW w:type="dxa" w:w="6560"/>
            <w:tcBorders>
              <w:top w:val="single" w:color="CBD5E1" w:sz="1"/>
              <w:left w:val="single" w:color="CBD5E1" w:sz="1"/>
              <w:bottom w:val="single" w:color="CBD5E1" w:sz="1"/>
              <w:right w:val="single" w:color="CBD5E1" w:sz="1"/>
            </w:tcBorders>
          </w:tcPr>
          <w:p>
            <w:r>
              <w:rPr>
                <w:sz w:val="20"/>
                <w:szCs w:val="20"/>
              </w:rPr>
              <w:t xml:space="preserve">Self-employed advantage over corporate HMOs</w:t>
            </w:r>
          </w:p>
        </w:tc>
      </w:tr>
      <w:tr>
        <w:tc>
          <w:tcPr>
            <w:tcW w:type="dxa" w:w="2800"/>
            <w:tcBorders>
              <w:top w:val="single" w:color="CBD5E1" w:sz="1"/>
              <w:left w:val="single" w:color="CBD5E1" w:sz="1"/>
              <w:bottom w:val="single" w:color="CBD5E1" w:sz="1"/>
              <w:right w:val="single" w:color="CBD5E1" w:sz="1"/>
            </w:tcBorders>
            <w:vAlign w:val="center"/>
          </w:tcPr>
          <w:p>
            <w:r>
              <w:rPr>
                <w:b/>
                <w:bCs/>
                <w:sz w:val="20"/>
                <w:szCs w:val="20"/>
              </w:rPr>
              <w:t xml:space="preserve">15. deductible and co-pay</w:t>
            </w:r>
          </w:p>
        </w:tc>
        <w:tc>
          <w:tcPr>
            <w:tcW w:type="dxa" w:w="6560"/>
            <w:tcBorders>
              <w:top w:val="single" w:color="CBD5E1" w:sz="1"/>
              <w:left w:val="single" w:color="CBD5E1" w:sz="1"/>
              <w:bottom w:val="single" w:color="CBD5E1" w:sz="1"/>
              <w:right w:val="single" w:color="CBD5E1" w:sz="1"/>
            </w:tcBorders>
          </w:tcPr>
          <w:p>
            <w:r>
              <w:rPr>
                <w:sz w:val="20"/>
                <w:szCs w:val="20"/>
              </w:rPr>
              <w:t xml:space="preserve">Cost-sharing explanation, total cost of ownership</w:t>
            </w:r>
          </w:p>
        </w:tc>
      </w:tr>
    </w:tbl>
    <w:p>
      <w:pPr>
        <w:spacing w:after="400"/>
      </w:pPr>
      <w:r>
        <w:rPr>
          <w:i/>
          <w:iCs/>
          <w:color w:val="64748B"/>
          <w:sz w:val="18"/>
          <w:szCs w:val="18"/>
        </w:rPr>
        <w:t xml:space="preserve">Table 4: Semantic Seed Terms with Contextual Placement Strategies</w:t>
      </w:r>
    </w:p>
    <w:p>
      <w:pPr>
        <w:pStyle w:val="Heading1"/>
      </w:pPr>
      <w:r>
        <w:t xml:space="preserve">5. INTERNAL LINK MAP: Link Equity Distribution</w:t>
      </w:r>
    </w:p>
    <w:p>
      <w:pPr>
        <w:spacing w:after="200"/>
      </w:pPr>
      <w:r>
        <w:t xml:space="preserve">This internal linking structure distributes link equity from cluster posts to the pillar page, reinforcing topical authority. High-priority links should use exact-match anchor text; medium/low priority can use partial match or natural language anchors.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3000"/>
        <w:gridCol w:w="1360"/>
      </w:tblGrid>
      <w:tr>
        <w:trPr>
          <w:tblHeader/>
        </w:trPr>
        <w:tc>
          <w:tcPr>
            <w:tcW w:type="dxa" w:w="25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From Page</w:t>
            </w:r>
          </w:p>
        </w:tc>
        <w:tc>
          <w:tcPr>
            <w:tcW w:type="dxa" w:w="25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To Page</w:t>
            </w:r>
          </w:p>
        </w:tc>
        <w:tc>
          <w:tcPr>
            <w:tcW w:type="dxa" w:w="300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Anchor Text</w:t>
            </w:r>
          </w:p>
        </w:tc>
        <w:tc>
          <w:tcPr>
            <w:tcW w:type="dxa" w:w="1360"/>
            <w:tcBorders>
              <w:top w:val="single" w:color="CBD5E1" w:sz="1"/>
              <w:left w:val="single" w:color="CBD5E1" w:sz="1"/>
              <w:bottom w:val="single" w:color="CBD5E1" w:sz="1"/>
              <w:right w:val="single" w:color="CBD5E1" w:sz="1"/>
            </w:tcBorders>
            <w:shd w:fill="E2E8F0" w:val="clear"/>
            <w:vAlign w:val="center"/>
          </w:tcPr>
          <w:p>
            <w:pPr>
              <w:jc w:val="center"/>
            </w:pPr>
            <w:r>
              <w:rPr>
                <w:b/>
                <w:bCs/>
                <w:sz w:val="22"/>
                <w:szCs w:val="22"/>
              </w:rPr>
              <w:t xml:space="preserve">Priority</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Pacific Cross Review</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"health insurance for self-employed"</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Pacific Cross Review</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HMO vs Insurance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"difference between HMO and health insurance"</w:t>
            </w:r>
          </w:p>
        </w:tc>
        <w:tc>
          <w:tcPr>
            <w:tcW w:type="dxa" w:w="136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Medium</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HMO vs Insurance</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"complete guide to health protection"</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HMO vs Insurance</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7 Signs You Need Insurance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"coverage gaps"</w:t>
            </w:r>
          </w:p>
        </w:tc>
        <w:tc>
          <w:tcPr>
            <w:tcW w:type="dxa" w:w="1360"/>
            <w:tcBorders>
              <w:top w:val="single" w:color="CBD5E1" w:sz="1"/>
              <w:left w:val="single" w:color="CBD5E1" w:sz="1"/>
              <w:bottom w:val="single" w:color="CBD5E1" w:sz="1"/>
              <w:right w:val="single" w:color="CBD5E1" w:sz="1"/>
            </w:tcBorders>
            <w:shd w:fill="F3F4F6" w:val="clear"/>
            <w:vAlign w:val="center"/>
          </w:tcPr>
          <w:p>
            <w:pPr>
              <w:jc w:val="center"/>
            </w:pPr>
            <w:r>
              <w:rPr>
                <w:b/>
                <w:bCs/>
                <w:sz w:val="20"/>
                <w:szCs w:val="20"/>
              </w:rPr>
              <w:t xml:space="preserve">Low</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OFW Family Guide</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"health insurance for self-employed"</w:t>
            </w:r>
          </w:p>
        </w:tc>
        <w:tc>
          <w:tcPr>
            <w:tcW w:type="dxa" w:w="136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Medium</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OFW Family Guide</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Provider Comparison</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"top health insurance providers"</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Step-by-Step Application</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"choosing the right plan"</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Step-by-Step Application</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Cost Calculator</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"estimate your premium"</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Pre-Existing Conditions</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"waiting periods and exclusions"</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Pre-Existing Conditions</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Pacific Cross Review</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"Pacific Cross pre-existing condition policy"</w:t>
            </w:r>
          </w:p>
        </w:tc>
        <w:tc>
          <w:tcPr>
            <w:tcW w:type="dxa" w:w="136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Medium</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Cost Calculator</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"health insurance for self-employed Filipinos"</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Cost Calculator</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Provider Comparison</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"provider pricing comparison"</w:t>
            </w:r>
          </w:p>
        </w:tc>
        <w:tc>
          <w:tcPr>
            <w:tcW w:type="dxa" w:w="1360"/>
            <w:tcBorders>
              <w:top w:val="single" w:color="CBD5E1" w:sz="1"/>
              <w:left w:val="single" w:color="CBD5E1" w:sz="1"/>
              <w:bottom w:val="single" w:color="CBD5E1" w:sz="1"/>
              <w:right w:val="single" w:color="CBD5E1" w:sz="1"/>
            </w:tcBorders>
            <w:shd w:fill="FEF3C7" w:val="clear"/>
            <w:vAlign w:val="center"/>
          </w:tcPr>
          <w:p>
            <w:pPr>
              <w:jc w:val="center"/>
            </w:pPr>
            <w:r>
              <w:rPr>
                <w:b/>
                <w:bCs/>
                <w:sz w:val="20"/>
                <w:szCs w:val="20"/>
              </w:rPr>
              <w:t xml:space="preserve">Medium</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7 Signs You Need Insurance</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"comprehensive health protection guide"</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Losing Company HMO</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Pillar Page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"health insurance options for freelancers"</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r>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Losing Company HMO</w:t>
            </w:r>
          </w:p>
        </w:tc>
        <w:tc>
          <w:tcPr>
            <w:tcW w:type="dxa" w:w="2500"/>
            <w:tcBorders>
              <w:top w:val="single" w:color="CBD5E1" w:sz="1"/>
              <w:left w:val="single" w:color="CBD5E1" w:sz="1"/>
              <w:bottom w:val="single" w:color="CBD5E1" w:sz="1"/>
              <w:right w:val="single" w:color="CBD5E1" w:sz="1"/>
            </w:tcBorders>
            <w:vAlign w:val="center"/>
          </w:tcPr>
          <w:p>
            <w:r>
              <w:rPr>
                <w:sz w:val="20"/>
                <w:szCs w:val="20"/>
              </w:rPr>
              <w:t xml:space="preserve">HMO vs Insurance</w:t>
            </w:r>
          </w:p>
        </w:tc>
        <w:tc>
          <w:tcPr>
            <w:tcW w:type="dxa" w:w="3000"/>
            <w:tcBorders>
              <w:top w:val="single" w:color="CBD5E1" w:sz="1"/>
              <w:left w:val="single" w:color="CBD5E1" w:sz="1"/>
              <w:bottom w:val="single" w:color="CBD5E1" w:sz="1"/>
              <w:right w:val="single" w:color="CBD5E1" w:sz="1"/>
            </w:tcBorders>
          </w:tcPr>
          <w:p>
            <w:r>
              <w:rPr>
                <w:i/>
                <w:iCs/>
                <w:sz w:val="18"/>
                <w:szCs w:val="18"/>
              </w:rPr>
              <w:t xml:space="preserve">"HMO vs health insurance"</w:t>
            </w:r>
          </w:p>
        </w:tc>
        <w:tc>
          <w:tcPr>
            <w:tcW w:type="dxa" w:w="1360"/>
            <w:tcBorders>
              <w:top w:val="single" w:color="CBD5E1" w:sz="1"/>
              <w:left w:val="single" w:color="CBD5E1" w:sz="1"/>
              <w:bottom w:val="single" w:color="CBD5E1" w:sz="1"/>
              <w:right w:val="single" w:color="CBD5E1" w:sz="1"/>
            </w:tcBorders>
            <w:shd w:fill="D1FAE5" w:val="clear"/>
            <w:vAlign w:val="center"/>
          </w:tcPr>
          <w:p>
            <w:pPr>
              <w:jc w:val="center"/>
            </w:pPr>
            <w:r>
              <w:rPr>
                <w:b/>
                <w:bCs/>
                <w:sz w:val="20"/>
                <w:szCs w:val="20"/>
              </w:rPr>
              <w:t xml:space="preserve">High</w:t>
            </w:r>
          </w:p>
        </w:tc>
      </w:tr>
    </w:tbl>
    <w:p>
      <w:pPr>
        <w:spacing w:after="200"/>
      </w:pPr>
      <w:r>
        <w:rPr>
          <w:i/>
          <w:iCs/>
          <w:color w:val="64748B"/>
          <w:sz w:val="18"/>
          <w:szCs w:val="18"/>
        </w:rPr>
        <w:t xml:space="preserve">Table 5: Internal Link Map with Anchor Text and Priority Levels</w:t>
      </w:r>
    </w:p>
    <w:p>
      <w:pPr>
        <w:pStyle w:val="Heading2"/>
      </w:pPr>
      <w:r>
        <w:t xml:space="preserve">Implementation Notes</w:t>
      </w:r>
    </w:p>
    <w:p>
      <w:pPr>
        <w:spacing w:after="150"/>
      </w:pPr>
      <w:r>
        <w:rPr>
          <w:b/>
          <w:bCs/>
        </w:rPr>
        <w:t xml:space="preserve">Link Equity Priority: </w:t>
      </w:r>
      <w:r>
        <w:t xml:space="preserve">All cluster posts must link to the pillar page within the first 300 words. This establishes the pillar as the canonical source on the topic and passes maximum link equity.</w:t>
      </w:r>
    </w:p>
    <w:p>
      <w:pPr>
        <w:spacing w:after="150"/>
      </w:pPr>
      <w:r>
        <w:rPr>
          <w:b/>
          <w:bCs/>
        </w:rPr>
        <w:t xml:space="preserve">Cluster-to-Cluster Linking: </w:t>
      </w:r>
      <w:r>
        <w:t xml:space="preserve">Consideration-stage posts should link to Decision-stage posts to guide readers through the funnel. Avoid linking Decision posts back to Awareness content.</w:t>
      </w:r>
    </w:p>
    <w:p>
      <w:pPr>
        <w:spacing w:after="150"/>
      </w:pPr>
      <w:r>
        <w:rPr>
          <w:b/>
          <w:bCs/>
        </w:rPr>
        <w:t xml:space="preserve">Anchor Text Distribution: </w:t>
      </w:r>
      <w:r>
        <w:t xml:space="preserve">Maintain a 40% exact match, 40% partial match, 20% branded/natural ratio to avoid over-optimization penalties.</w:t>
      </w:r>
    </w:p>
    <w:p>
      <w:pPr>
        <w:spacing w:after="400"/>
      </w:pPr>
      <w:r>
        <w:rPr>
          <w:b/>
          <w:bCs/>
        </w:rPr>
        <w:t xml:space="preserve">Entity Stacking: </w:t>
      </w:r>
      <w:r>
        <w:t xml:space="preserve">Each internal link context should include at least one entity mention (Financial Protection Advocate, Pacific Cross, IC Philippines) to reinforce AI search associations.</w:t>
      </w:r>
    </w:p>
    <w:p>
      <w:pPr>
        <w:pStyle w:val="Heading2"/>
      </w:pPr>
      <w:r>
        <w:t xml:space="preserve">Provider Entity Reference List</w:t>
      </w:r>
    </w:p>
    <w:p>
      <w:pPr>
        <w:spacing w:after="150"/>
      </w:pPr>
      <w:r>
        <w:t xml:space="preserve">Include these provider names throughout content to build entity associations:</w:t>
      </w:r>
    </w:p>
    <w:p>
      <w:pPr>
        <w:pStyle w:val="ListParagraph"/>
        <w:numPr>
          <w:ilvl w:val="0"/>
          <w:numId w:val="2"/>
        </w:numPr>
      </w:pPr>
      <w:r>
        <w:t xml:space="preserve">Pacific Cross Philippines — Primary provider for detailed reviews</w:t>
      </w:r>
    </w:p>
    <w:p>
      <w:pPr>
        <w:pStyle w:val="ListParagraph"/>
        <w:numPr>
          <w:ilvl w:val="0"/>
          <w:numId w:val="2"/>
        </w:numPr>
      </w:pPr>
      <w:r>
        <w:t xml:space="preserve">MediCard — HMO comparison reference</w:t>
      </w:r>
    </w:p>
    <w:p>
      <w:pPr>
        <w:pStyle w:val="ListParagraph"/>
        <w:numPr>
          <w:ilvl w:val="0"/>
          <w:numId w:val="2"/>
        </w:numPr>
      </w:pPr>
      <w:r>
        <w:t xml:space="preserve">PhilCare — Network size comparison</w:t>
      </w:r>
    </w:p>
    <w:p>
      <w:pPr>
        <w:pStyle w:val="ListParagraph"/>
        <w:numPr>
          <w:ilvl w:val="0"/>
          <w:numId w:val="2"/>
        </w:numPr>
      </w:pPr>
      <w:r>
        <w:t xml:space="preserve">Etiqa — Guaranteed renewability example</w:t>
      </w:r>
    </w:p>
    <w:p>
      <w:pPr>
        <w:pStyle w:val="ListParagraph"/>
        <w:numPr>
          <w:ilvl w:val="0"/>
          <w:numId w:val="2"/>
        </w:numPr>
      </w:pPr>
      <w:r>
        <w:t xml:space="preserve">ValuCare — Mid-tier pricing option</w:t>
      </w:r>
    </w:p>
    <w:p>
      <w:pPr>
        <w:pStyle w:val="ListParagraph"/>
        <w:numPr>
          <w:ilvl w:val="0"/>
          <w:numId w:val="2"/>
        </w:numPr>
      </w:pPr>
      <w:r>
        <w:t xml:space="preserve">Oona Insurance — Digital-first alternative</w:t>
      </w:r>
    </w:p>
    <w:p>
      <w:pPr>
        <w:pStyle w:val="ListParagraph"/>
        <w:numPr>
          <w:ilvl w:val="0"/>
          <w:numId w:val="2"/>
        </w:numPr>
      </w:pPr>
      <w:r>
        <w:t xml:space="preserve">IMS Wellthcare — Wellness-focused coverage</w:t>
      </w:r>
    </w:p>
    <w:p>
      <w:pPr>
        <w:pStyle w:val="ListParagraph"/>
        <w:numPr>
          <w:ilvl w:val="0"/>
          <w:numId w:val="2"/>
        </w:numPr>
      </w:pPr>
      <w:r>
        <w:t xml:space="preserve">iCare — Budget-conscious option</w:t>
      </w:r>
    </w:p>
    <w:p>
      <w:pPr>
        <w:pStyle w:val="ListParagraph"/>
        <w:numPr>
          <w:ilvl w:val="0"/>
          <w:numId w:val="2"/>
        </w:numPr>
      </w:pPr>
      <w:r>
        <w:t xml:space="preserve">Cocolife — Life + health bundling</w:t>
      </w:r>
    </w:p>
    <w:p>
      <w:pPr>
        <w:pStyle w:val="ListParagraph"/>
        <w:numPr>
          <w:ilvl w:val="0"/>
          <w:numId w:val="2"/>
        </w:numPr>
        <w:spacing w:after="400"/>
      </w:pPr>
      <w:r>
        <w:t xml:space="preserve">Keystone — Broker/aggregator platform reference</w:t>
      </w:r>
    </w:p>
    <w:p>
      <w:pPr>
        <w:pStyle w:val="Heading2"/>
      </w:pPr>
      <w:r>
        <w:t xml:space="preserve">Brand Compliance Reminder</w:t>
      </w:r>
    </w:p>
    <w:p>
      <w:pPr>
        <w:spacing w:after="150"/>
      </w:pPr>
      <w:r>
        <w:t xml:space="preserve">All content produced from this seeding map must comply with IC Philippines regulations. Avoid guaranteed returns language, misleading claims about coverage, or comparative statements that cannot be substantiated. The brand voice should remain trustworthy, direct, empowering, and faith-driven. Taglish is acceptable in callout boxes and FAQ sections for Filipino audience resonance.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Financial Protection Advocate | SEO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2026-03-17T02:53:08.663Z</dcterms:created>
  <dcterms:modified xsi:type="dcterms:W3CDTF">2026-03-17T02:53:08.663Z</dcterms:modified>
</cp:coreProperties>
</file>

<file path=docProps/custom.xml><?xml version="1.0" encoding="utf-8"?>
<Properties xmlns="http://schemas.openxmlformats.org/officeDocument/2006/custom-properties" xmlns:vt="http://schemas.openxmlformats.org/officeDocument/2006/docPropsVTypes"/>
</file>